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UNIVERSITAS STIKUBANK (UNISBANK) SEMARANG</w:t>
      </w:r>
    </w:p>
    <w:p>
      <w:pPr>
        <w:jc w:val="center"/>
      </w:pPr>
      <w:r>
        <w:rPr>
          <w:b/>
          <w:sz w:val="32"/>
        </w:rPr>
        <w:t>STANDAR PROSES PkM</w:t>
      </w:r>
    </w:p>
    <w:p>
      <w:pPr>
        <w:jc w:val="center"/>
      </w:pPr>
      <w:r>
        <w:rPr>
          <w:b/>
          <w:sz w:val="26"/>
        </w:rPr>
        <w:t>PROGRAM STUDI TEKNIK INFORMATIKA</w:t>
      </w:r>
    </w:p>
    <w:p>
      <w:pPr>
        <w:jc w:val="center"/>
      </w:pPr>
      <w:r>
        <w:rPr>
          <w:b/>
          <w:sz w:val="26"/>
        </w:rPr>
        <w:t>FAKULTAS TEKNOLOGI INFORMASI DAN INDUSTRI (FTII)</w:t>
      </w:r>
    </w:p>
    <w:p>
      <w:pPr>
        <w:jc w:val="center"/>
      </w:pPr>
      <w:r>
        <w:rPr>
          <w:b w:val="0"/>
          <w:sz w:val="22"/>
        </w:rPr>
        <w:t>Disusun untuk memenuhi ambang kriteria status Terakreditasi Unggul LAM INFOKOM dan LAM Teknik (APS-AV 2025 1.0), dengan indikator standar yang terukur</w:t>
      </w:r>
    </w:p>
    <w:p>
      <w:pPr/>
    </w:p>
    <w:p>
      <w:pPr>
        <w:spacing w:after="120"/>
      </w:pPr>
      <w:r>
        <w:rPr>
          <w:b w:val="0"/>
          <w:i w:val="0"/>
        </w:rPr>
        <w:t>Dokumen ini merupakan revisi dari Standar Proses PkM Program Studi Teknik Informatika UNISBANK (draft pembaruan), disempurnakan berdasarkan hasil pemetaan terhadap 5 dokumen rujukan (Panduan SPMI Program Sarjana dan Sarjana Terapan, Matriks Penilaian LAM Teknik APS-AV 2025 1.0, Standar Terakreditasi Unggul LAM INFOKOM, Dokumen SPMI fakultas sejenis, serta Buku Standar Proses dan Pengelolaan PkM perguruan tinggi rujukan) sebagaimana didokumentasikan pada standarprosespkm.docx. Seluruh ambang indikator kuantitatif pada dokumen ini ditetapkan setara atau melampaui skor tertinggi (skor 4) pada instrumen penilaian LAM Teknik dan kriteria Unggul LAM INFOKOM. Dokumen ini kini direstrukturisasi menjadi 3 (tiga) sub-standar terpisah — Standar Perencanaan PkM, Standar Pelaksanaan PkM, dan Standar Etika dan Pengelolaan PkM — konsisten dengan pola restrukturisasi yang telah diterapkan pada Standar Proses Penelitian, Standar Proses Pendidikan, dan Standar Masukan Penelitian/PkM Unggul FTII.</w:t>
      </w:r>
    </w:p>
    <w:p>
      <w:pPr/>
    </w:p>
    <w:p>
      <w:pPr>
        <w:spacing w:before="320" w:after="120"/>
      </w:pPr>
      <w:r>
        <w:rPr>
          <w:b/>
          <w:sz w:val="28"/>
        </w:rPr>
        <w:t>1. RASIONAL</w:t>
      </w:r>
    </w:p>
    <w:p>
      <w:pPr>
        <w:spacing w:after="120"/>
      </w:pPr>
      <w:r>
        <w:rPr>
          <w:b w:val="0"/>
          <w:i w:val="0"/>
        </w:rPr>
        <w:t>Fakultas Teknologi Informasi dan Industri (FTII) UNISBANK menetapkan Standar Proses Pengabdian kepada Masyarakat (PkM) sebagai perwujudan pencapaian Visi "Pada tahun 2035 menjadi Fakultas Teknologi Informasi dan Industri yang unggul, inovatif, adaptif dalam penerapan ilmu komputer, informatika dan industri berjiwa kewirausahaan dan berdaya saing internasional", dengan menjamin bahwa seluruh kegiatan PkM dilaksanakan secara sistematis, terencana, terukur, terdokumentasi, dan berkelanjutan sesuai kaidah ilmiah, etika, keselamatan kerja, dan arah pengembangan pada Rencana Induk PkM (RIP)/roadmap PkM fakultas dan program studi.</w:t>
      </w:r>
    </w:p>
    <w:p>
      <w:pPr>
        <w:spacing w:after="120"/>
      </w:pPr>
      <w:r>
        <w:rPr>
          <w:b w:val="0"/>
          <w:i w:val="0"/>
        </w:rPr>
        <w:t>Standar ini disusun tidak hanya untuk memenuhi ketentuan minimal Standar Nasional Pendidikan Tinggi (SN Dikti), tetapi secara khusus dirancang agar setiap indikator kinerjanya memenuhi atau melampaui ambang skor tertinggi (skor 4) pada Matriks Penilaian Laporan Evaluasi Diri dan Laporan Kinerja Program Studi LAM Teknik (APS-AV 2025 1.0) — mencakup kesesuaian PkM dengan roadmap, kelengkapan bukti proses (review, kontrak, monev, dokumentasi luaran), keterlibatan mahasiswa dalam PkM, keselamatan kerja (K3) pelaksanaan PkM, kerja sama PkM dengan mitra eksternal, serta tindak lanjut hasil monitoring-evaluasi dan pengelolaan kelembagaan PkM — dan memenuhi deskriptor tertinggi Kriteria 4 (Relevansi PkM) LAM INFOKOM untuk status Terakreditasi Unggul.</w:t>
      </w:r>
    </w:p>
    <w:p>
      <w:pPr>
        <w:spacing w:after="120"/>
      </w:pPr>
      <w:r>
        <w:rPr>
          <w:b w:val="0"/>
          <w:i w:val="0"/>
        </w:rPr>
        <w:t>Penyusunan standar ini didasarkan pada hasil analisis kesenjangan (gap analysis) terhadap draft Standar Proses PkM Program Studi Teknik Informatika sebelumnya (standarprosespkm.docx), yang mengidentifikasi tujuh area prioritas penyesuaian: (a) klarifikasi dan penyatuan definisi indikator keterlibatan mahasiswa dalam PkM yang sebelumnya memiliki dua angka berbeda (20%→30% vs 5%→8%) untuk metrik yang tampak identik; (b) konversi checklist bukti proses PkM (9 unsur) dari status kualitatif "Tersedia" menjadi persentase terukur; (c) penambahan indikator kuantitatif kesesuaian PkM dengan roadmap/peta jalan; (d) penambahan syarat verifikasi keselamatan kerja (K3) dalam proses review proposal PkM; (e) kuantifikasi kerja sama PkM per kategori mitra; (f) penambahan indikator persentase tindak lanjut rekomendasi monev/AMI; dan (g) peninjauan frekuensi monev yang sebelumnya flat menjadi terukur dan bertahap. Sebaliknya, capaian yang sudah melampaui ambang rujukan — persentase kegiatan PkM yang melibatkan mahasiswa (100%) dan nol kasus pelanggaran kaidah ilmiah/etika PkM — dipertahankan dan diperkuat sebagai praktik baik. Indikator keterlibatan mahasiswa sebagai co-author pada publikasi hasil PkM diatur secara khusus pada Standar Luaran PkM Program Studi Teknik Informatika versi Unggul, bukan pada standar ini, agar tidak terjadi duplikasi indikator antar-standar.</w:t>
      </w:r>
    </w:p>
    <w:p>
      <w:pPr>
        <w:spacing w:after="120"/>
      </w:pPr>
      <w:r>
        <w:rPr>
          <w:b w:val="0"/>
          <w:i w:val="0"/>
        </w:rPr>
        <w:t>Melalui penerapan Standar Proses PkM versi Unggul ini, Program Studi Teknik Informatika FTII UNISBANK diharapkan memiliki proses PkM yang setara dengan program studi berakreditasi Unggul, sekaligus berfungsi ganda sebagai instrumen penjaminan mutu internal (SPMI) dan instrumen kesiapan akreditasi eksternal LAM Teknik dan LAM INFOKOM.</w:t>
      </w:r>
    </w:p>
    <w:p>
      <w:pPr>
        <w:spacing w:after="120"/>
      </w:pPr>
      <w:r>
        <w:rPr>
          <w:b w:val="0"/>
          <w:i w:val="0"/>
        </w:rPr>
        <w:t>Ketentuan Lintas Sub-Standar — Root-Cause Analysis dan SWOT Tahunan: sesuai kewajiban lintas-standar yang diatur Standar Penjaminan Mutu Internal FTII versi Unggul, DJM, UJM, dan GKM wajib melaksanakan Analisis Faktor Keberhasilan dan Penghambat (root-cause analysis) serta analisis SWOT tahunan atas ketercapaian seluruh indikator pada ketiga sub-standar Proses PkM di bawah ini, sebagai bagian dari Rapat Tinjauan Manajemen (RTM) dan dasar penyusunan Rencana Tindak Lanjut (RTL) setiap siklus PPEPP.</w:t>
      </w:r>
    </w:p>
    <w:p>
      <w:pPr>
        <w:spacing w:before="320" w:after="120"/>
      </w:pPr>
      <w:r>
        <w:rPr>
          <w:b/>
          <w:sz w:val="28"/>
        </w:rPr>
        <w:t>STANDAR PELAKSANAAN PKM</w:t>
      </w:r>
    </w:p>
    <w:p>
      <w:pPr>
        <w:spacing w:before="200" w:after="80"/>
      </w:pPr>
      <w:r>
        <w:rPr>
          <w:b/>
          <w:sz w:val="25"/>
        </w:rPr>
        <w:t>1. Daftar Istilah</w:t>
      </w:r>
    </w:p>
    <w:p>
      <w:pPr>
        <w:pStyle w:val="ListNumber"/>
        <w:spacing w:after="120"/>
      </w:pPr>
      <w:r>
        <w:rPr/>
        <w:t>Keterlibatan Mahasiswa dalam PkM adalah partisipasi aktif mahasiswa dalam kegiatan PkM dosen sebagai bagian implementasi pembelajaran berbasis pengalaman, dihitung berdasarkan definisi dan basis perhitungan tunggal yang konsisten di seluruh dokumen turunan Standar Proses PkM.</w:t>
      </w:r>
    </w:p>
    <w:p>
      <w:pPr>
        <w:pStyle w:val="ListNumber"/>
        <w:spacing w:after="120"/>
      </w:pPr>
      <w:r>
        <w:rPr/>
        <w:t>Kerja Sama PkM adalah kolaborasi pelaksanaan kegiatan PkM antara FTII dengan mitra eksternal (Dunia Usaha dan Dunia Industri/DUDI, instansi pemerintah, perguruan tinggi nasional, dan perguruan tinggi internasional), dituangkan dalam MoU/MoA/dokumen kerja sama.</w:t>
      </w:r>
    </w:p>
    <w:p>
      <w:pPr>
        <w:pStyle w:val="ListNumber"/>
        <w:spacing w:after="120"/>
      </w:pPr>
      <w:r>
        <w:rPr/>
        <w:t>Co-Author Publikasi Hasil PkM adalah status mahasiswa sebagai penulis pendamping pada luaran ilmiah hasil kegiatan PkM, diatur secara khusus pada Standar Luaran PkM Program Studi Teknik Informatika versi Unggul, bukan pada standar ini.</w:t>
      </w:r>
    </w:p>
    <w:p>
      <w:pPr>
        <w:pStyle w:val="ListNumber"/>
        <w:spacing w:after="120"/>
      </w:pPr>
      <w:r>
        <w:rPr/>
        <w:t>Pembelajaran Berbasis Pengalaman (Experiential Learning) adalah pendekatan pembelajaran yang melibatkan mahasiswa secara langsung dalam kegiatan nyata, termasuk PkM, untuk memperkuat capaian pembelajaran lulusan.</w:t>
      </w:r>
    </w:p>
    <w:p>
      <w:pPr>
        <w:spacing w:before="200" w:after="80"/>
      </w:pPr>
      <w:r>
        <w:rPr>
          <w:b/>
          <w:sz w:val="25"/>
        </w:rPr>
        <w:t>2. Pihak Yang Bertanggung Jawab Untuk Memenuhi Standar</w:t>
      </w:r>
    </w:p>
    <w:p>
      <w:pPr>
        <w:pStyle w:val="ListNumber"/>
        <w:spacing w:after="120"/>
      </w:pPr>
      <w:r>
        <w:rPr/>
        <w:t>Penetapan: Rektor atas usulan Dekan FTII melalui mekanisme SPMI, mempertimbangkan peraturan perundang-undangan, VMTS Fakultas, RIP/roadmap PkM, hasil pemetaan gap terhadap 5 dokumen rujukan, dan hasil evaluasi mutu berkelanjutan periode sebelumnya.</w:t>
      </w:r>
    </w:p>
    <w:p>
      <w:pPr>
        <w:pStyle w:val="ListNumber"/>
        <w:spacing w:after="120"/>
      </w:pPr>
      <w:r>
        <w:rPr/>
        <w:t>Pelaksanaan: Dekan FTII; Wakil Rektor Bidang Akademik dan Kemahasiswaan; Direktorat Penelitian, Pengabdian kepada Masyarakat dan Publikasi (DPPMP); Ketua Program Studi; Gugus Kendali Mutu (GKM) Program Studi; reviewer internal; Dosen; Mahasiswa; mitra DUDI, pemerintah, dan perguruan tinggi nasional/internasional.</w:t>
      </w:r>
    </w:p>
    <w:p>
      <w:pPr>
        <w:pStyle w:val="ListNumber"/>
        <w:spacing w:after="120"/>
      </w:pPr>
      <w:r>
        <w:rPr/>
        <w:t>Evaluasi: Direktorat Jaminan Mutu (DJM); Unit Jaminan Mutu (UJM) Fakultas; GKM Program Studi; DPPMP; Auditor Mutu Internal — melalui Monitoring dan Evaluasi (Monev), Audit Mutu Internal (AMI), evaluasi kesesuaian roadmap, evaluasi kelengkapan bukti proses, evaluasi keterlibatan mahasiswa, dan evaluasi kerja sama PkM.</w:t>
      </w:r>
    </w:p>
    <w:p>
      <w:pPr>
        <w:pStyle w:val="ListNumber"/>
        <w:spacing w:after="120"/>
      </w:pPr>
      <w:r>
        <w:rPr/>
        <w:t>Pengendalian: Rektor; DJM; UJM Fakultas; Dekan FTII; Ketua Program Studi; GKM — berdasarkan hasil Monev, AMI, laporan kelengkapan bukti proses, laporan keselamatan kerja, serta laporan kerja sama PkM.</w:t>
      </w:r>
    </w:p>
    <w:p>
      <w:pPr>
        <w:pStyle w:val="ListNumber"/>
        <w:spacing w:after="120"/>
      </w:pPr>
      <w:r>
        <w:rPr/>
        <w:t>Peningkatan: Rektor; Dekan FTII; DJM; UJM; GKM; Ketua Program Studi; DPPMP — melalui penguatan kesesuaian roadmap, perluasan kerja sama PkM, penguatan keselamatan kerja, dan penyempurnaan mekanisme monev-pengelolaan PkM melalui siklus PPEPP berkelanjutan.</w:t>
      </w:r>
    </w:p>
    <w:p>
      <w:pPr>
        <w:spacing w:before="200" w:after="80"/>
      </w:pPr>
      <w:r>
        <w:rPr>
          <w:b/>
          <w:sz w:val="25"/>
        </w:rPr>
        <w:t>3. Pernyataan Isi Standar Pelaksanaan PkM</w:t>
      </w:r>
    </w:p>
    <w:p>
      <w:pPr>
        <w:pStyle w:val="ListNumber"/>
        <w:spacing w:after="120"/>
      </w:pPr>
      <w:r>
        <w:rPr/>
        <w:t>Program Studi Teknik Informatika wajib menjamin seluruh (100%) kegiatan PkM dosen melibatkan mahasiswa sebagai bagian dari implementasi pembelajaran berbasis pengalaman.</w:t>
      </w:r>
    </w:p>
    <w:p>
      <w:pPr>
        <w:pStyle w:val="ListNumber"/>
        <w:spacing w:after="120"/>
      </w:pPr>
      <w:r>
        <w:rPr/>
        <w:t>Program Studi Teknik Informatika wajib menjamin persentase mahasiswa program studi yang terlibat dalam PkM dosen paling sedikit 25% pada tahun pertama, meningkat menjadi paling sedikit 28% (tahun kedua) dan paling sedikit 30% (tahun ketiga), dihitung terhadap jumlah mahasiswa aktif per tahun — definisi dan basis perhitungan indikator ini WAJIB tunggal dan konsisten di seluruh dokumen turunan Standar Proses PkM, menggantikan dua angka berbeda (20%-30% dan 5%-8%) yang sebelumnya muncul pada draft.</w:t>
      </w:r>
    </w:p>
    <w:p>
      <w:pPr>
        <w:pStyle w:val="ListNumber"/>
        <w:spacing w:after="120"/>
      </w:pPr>
      <w:r>
        <w:rPr/>
        <w:t>Keterlibatan mahasiswa sebagai co-author pada publikasi ilmiah hasil PkM diatur secara khusus pada Standar Luaran PkM Program Studi Teknik Informatika versi Unggul.</w:t>
      </w:r>
    </w:p>
    <w:p>
      <w:pPr>
        <w:pStyle w:val="ListNumber"/>
        <w:spacing w:after="120"/>
      </w:pPr>
      <w:r>
        <w:rPr/>
        <w:t>Program Studi Teknik Informatika wajib mendorong dan memfasilitasi PkM kolaboratif dengan Dunia Usaha dan Dunia Industri (DUDI), instansi pemerintah, perguruan tinggi nasional, dan perguruan tinggi internasional, dengan target paling sedikit 1-2 kerja sama PkM aktif per kategori mitra per tahun, meningkat menjadi paling sedikit 2 kerja sama aktif per kategori pada tahun ketiga.</w:t>
      </w:r>
    </w:p>
    <w:p>
      <w:pPr>
        <w:pStyle w:val="ListNumber"/>
        <w:spacing w:after="120"/>
      </w:pPr>
      <w:r>
        <w:rPr/>
        <w:t>*Program Studi Teknik Informatika wajib menjamin keberlanjutan PkM (PkM sustainability), yaitu persentase topik/tema PkM dosen yang berkelanjutan lintas tahun mengikuti RIP/roadmap PkM (multi-tahun atau kelanjutan mitra yang sama) paling sedikit 40% pada tahun pertama, meningkat menjadi paling sedikit 60% pada tahun ketiga, dibuktikan melalui keterkaitan tema PkM dengan kegiatan PkM sebelumnya pada roadmap dan/atau mitra yang sama.</w:t>
      </w:r>
    </w:p>
    <w:p>
      <w:pPr>
        <w:spacing w:before="200" w:after="80"/>
      </w:pPr>
      <w:r>
        <w:rPr>
          <w:b/>
          <w:sz w:val="25"/>
        </w:rPr>
        <w:t>4. Strategi Pencapaian Standar</w:t>
      </w:r>
    </w:p>
    <w:p>
      <w:pPr>
        <w:pStyle w:val="ListNumber"/>
        <w:spacing w:after="120"/>
      </w:pPr>
      <w:r>
        <w:rPr/>
        <w:t>Rektor menetapkan kebijakan Standar Pelaksanaan PkM FTII sebagai bagian dari SPMI Universitas, dengan ambang indikator disetarakan pada skor tertinggi instrumen LAM Teknik dan kriteria Unggul LAM INFOKOM.</w:t>
      </w:r>
    </w:p>
    <w:p>
      <w:pPr>
        <w:pStyle w:val="ListNumber"/>
        <w:spacing w:after="120"/>
      </w:pPr>
      <w:r>
        <w:rPr/>
        <w:t>Ketua Program Studi menjamin pelibatan mahasiswa pada seluruh kegiatan PkM dosen serta memantau persentase mahasiswa program studi yang terlibat menuju target 25%-&gt;30%, menggunakan satu definisi dan basis perhitungan yang konsisten di seluruh dokumen turunan.</w:t>
      </w:r>
    </w:p>
    <w:p>
      <w:pPr>
        <w:pStyle w:val="ListNumber"/>
        <w:spacing w:after="120"/>
      </w:pPr>
      <w:r>
        <w:rPr/>
        <w:t>Fakultas dan Program Studi memperluas kerja sama PkM dengan DUDI, instansi pemerintah, dan perguruan tinggi nasional/internasional melalui MoU/MoA, ditargetkan minimal 1-2 kerja sama aktif per kategori per tahun.</w:t>
      </w:r>
    </w:p>
    <w:p>
      <w:pPr>
        <w:pStyle w:val="ListNumber"/>
        <w:spacing w:after="120"/>
      </w:pPr>
      <w:r>
        <w:rPr/>
        <w:t>*Ketua Program Studi bersama DPPMP memantau dan melaporkan keberlanjutan tema/mitra PkM dosen lintas tahun sesuai RIP/roadmap PkM, mendorong pengajuan PkM lanjutan (multi-year PkM) melalui skema hibah internal dan eksternal.</w:t>
      </w:r>
    </w:p>
    <w:p>
      <w:pPr>
        <w:spacing w:before="200" w:after="80"/>
      </w:pPr>
      <w:r>
        <w:rPr>
          <w:b/>
          <w:sz w:val="25"/>
        </w:rPr>
        <w:t>5. Indikator Capaian Standar</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r/>
            <w:r>
              <w:rPr/>
            </w:r>
            <w:r>
              <w:rPr>
                <w:b/>
              </w:rPr>
              <w:t>No</w:t>
            </w:r>
          </w:p>
        </w:tc>
        <w:tc>
          <w:tcPr>
            <w:tcW w:type="dxa" w:w="1234"/>
          </w:tcPr>
          <w:p>
            <w:pPr/>
            <w:r/>
            <w:r>
              <w:rPr/>
            </w:r>
            <w:r>
              <w:rPr>
                <w:b/>
              </w:rPr>
              <w:t>Indikator (IKU/IKT)</w:t>
            </w:r>
          </w:p>
        </w:tc>
        <w:tc>
          <w:tcPr>
            <w:tcW w:type="dxa" w:w="1234"/>
          </w:tcPr>
          <w:p>
            <w:pPr/>
            <w:r/>
            <w:r>
              <w:rPr/>
            </w:r>
            <w:r>
              <w:rPr>
                <w:b/>
              </w:rPr>
              <w:t>Satuan</w:t>
            </w:r>
          </w:p>
        </w:tc>
        <w:tc>
          <w:tcPr>
            <w:tcW w:type="dxa" w:w="1234"/>
          </w:tcPr>
          <w:p>
            <w:pPr/>
            <w:r/>
            <w:r>
              <w:rPr/>
            </w:r>
            <w:r>
              <w:rPr>
                <w:b/>
              </w:rPr>
              <w:t>Ambang Rujukan (skor 4)</w:t>
            </w:r>
          </w:p>
        </w:tc>
        <w:tc>
          <w:tcPr>
            <w:tcW w:type="dxa" w:w="1234"/>
          </w:tcPr>
          <w:p>
            <w:pPr/>
            <w:r/>
            <w:r>
              <w:rPr/>
            </w:r>
            <w:r>
              <w:rPr>
                <w:b/>
              </w:rPr>
              <w:t>Target 2024/25</w:t>
            </w:r>
          </w:p>
        </w:tc>
        <w:tc>
          <w:tcPr>
            <w:tcW w:type="dxa" w:w="1234"/>
          </w:tcPr>
          <w:p>
            <w:pPr/>
            <w:r/>
            <w:r>
              <w:rPr/>
            </w:r>
            <w:r>
              <w:rPr>
                <w:b/>
              </w:rPr>
              <w:t>Target 2025/26</w:t>
            </w:r>
          </w:p>
        </w:tc>
        <w:tc>
          <w:tcPr>
            <w:tcW w:type="dxa" w:w="1234"/>
          </w:tcPr>
          <w:p>
            <w:pPr/>
            <w:r/>
            <w:r>
              <w:rPr/>
            </w:r>
            <w:r>
              <w:rPr>
                <w:b/>
              </w:rPr>
              <w:t>Target 2026/27</w:t>
            </w:r>
          </w:p>
        </w:tc>
      </w:tr>
      <w:tr>
        <w:tc>
          <w:tcPr>
            <w:tcW w:type="dxa" w:w="1234"/>
          </w:tcPr>
          <w:p>
            <w:pPr/>
            <w:r/>
            <w:r>
              <w:rPr/>
            </w:r>
            <w:r>
              <w:rPr>
                <w:b w:val="0"/>
              </w:rPr>
              <w:t>1</w:t>
            </w:r>
          </w:p>
        </w:tc>
        <w:tc>
          <w:tcPr>
            <w:tcW w:type="dxa" w:w="1234"/>
          </w:tcPr>
          <w:p>
            <w:pPr/>
            <w:r/>
            <w:r>
              <w:rPr/>
            </w:r>
            <w:r>
              <w:rPr>
                <w:b w:val="0"/>
              </w:rPr>
              <w:t>Persentase kegiatan PkM yang melibatkan mahasiswa [IKU]</w:t>
            </w:r>
          </w:p>
        </w:tc>
        <w:tc>
          <w:tcPr>
            <w:tcW w:type="dxa" w:w="1234"/>
          </w:tcPr>
          <w:p>
            <w:pPr/>
            <w:r/>
            <w:r>
              <w:rPr/>
            </w:r>
            <w:r>
              <w:rPr>
                <w:b w:val="0"/>
              </w:rPr>
              <w:t>%</w:t>
            </w:r>
          </w:p>
        </w:tc>
        <w:tc>
          <w:tcPr>
            <w:tcW w:type="dxa" w:w="1234"/>
          </w:tcPr>
          <w:p>
            <w:pPr/>
            <w:r/>
            <w:r>
              <w:rPr/>
            </w:r>
            <w:r>
              <w:rPr>
                <w:b w:val="0"/>
              </w:rPr>
              <w:t>≥25 (R1); ≥50 (R2); ≥30-60 (R4)</w:t>
            </w:r>
          </w:p>
        </w:tc>
        <w:tc>
          <w:tcPr>
            <w:tcW w:type="dxa" w:w="1234"/>
          </w:tcPr>
          <w:p>
            <w:pPr/>
            <w:r/>
            <w:r>
              <w:rPr/>
            </w:r>
            <w:r>
              <w:rPr>
                <w:b w:val="0"/>
              </w:rPr>
              <w:t>100</w:t>
            </w:r>
          </w:p>
        </w:tc>
        <w:tc>
          <w:tcPr>
            <w:tcW w:type="dxa" w:w="1234"/>
          </w:tcPr>
          <w:p>
            <w:pPr/>
            <w:r/>
            <w:r>
              <w:rPr/>
            </w:r>
            <w:r>
              <w:rPr>
                <w:b w:val="0"/>
              </w:rPr>
              <w:t>100</w:t>
            </w:r>
          </w:p>
        </w:tc>
        <w:tc>
          <w:tcPr>
            <w:tcW w:type="dxa" w:w="1234"/>
          </w:tcPr>
          <w:p>
            <w:pPr/>
            <w:r/>
            <w:r>
              <w:rPr/>
            </w:r>
            <w:r>
              <w:rPr>
                <w:b w:val="0"/>
              </w:rPr>
              <w:t>100</w:t>
            </w:r>
          </w:p>
        </w:tc>
      </w:tr>
      <w:tr>
        <w:tc>
          <w:tcPr>
            <w:tcW w:type="dxa" w:w="1234"/>
          </w:tcPr>
          <w:p>
            <w:pPr/>
            <w:r/>
            <w:r>
              <w:rPr/>
            </w:r>
            <w:r>
              <w:rPr>
                <w:b w:val="0"/>
              </w:rPr>
              <w:t>2</w:t>
            </w:r>
          </w:p>
        </w:tc>
        <w:tc>
          <w:tcPr>
            <w:tcW w:type="dxa" w:w="1234"/>
          </w:tcPr>
          <w:p>
            <w:pPr/>
            <w:r/>
            <w:r>
              <w:rPr/>
            </w:r>
            <w:r>
              <w:rPr>
                <w:b w:val="0"/>
              </w:rPr>
              <w:t>Persentase mahasiswa terlibat dalam PkM dosen [IKU]</w:t>
            </w:r>
          </w:p>
        </w:tc>
        <w:tc>
          <w:tcPr>
            <w:tcW w:type="dxa" w:w="1234"/>
          </w:tcPr>
          <w:p>
            <w:pPr/>
            <w:r/>
            <w:r>
              <w:rPr/>
            </w:r>
            <w:r>
              <w:rPr>
                <w:b w:val="0"/>
              </w:rPr>
              <w:t>%</w:t>
            </w:r>
          </w:p>
        </w:tc>
        <w:tc>
          <w:tcPr>
            <w:tcW w:type="dxa" w:w="1234"/>
          </w:tcPr>
          <w:p>
            <w:pPr/>
            <w:r/>
            <w:r>
              <w:rPr/>
            </w:r>
            <w:r>
              <w:rPr>
                <w:b w:val="0"/>
              </w:rPr>
              <w:t>≥10-25 (R4); ≥25 (R5)</w:t>
            </w:r>
          </w:p>
        </w:tc>
        <w:tc>
          <w:tcPr>
            <w:tcW w:type="dxa" w:w="1234"/>
          </w:tcPr>
          <w:p>
            <w:pPr/>
            <w:r/>
            <w:r>
              <w:rPr/>
            </w:r>
            <w:r>
              <w:rPr>
                <w:b w:val="0"/>
              </w:rPr>
              <w:t>25</w:t>
            </w:r>
          </w:p>
        </w:tc>
        <w:tc>
          <w:tcPr>
            <w:tcW w:type="dxa" w:w="1234"/>
          </w:tcPr>
          <w:p>
            <w:pPr/>
            <w:r/>
            <w:r>
              <w:rPr/>
            </w:r>
            <w:r>
              <w:rPr>
                <w:b w:val="0"/>
              </w:rPr>
              <w:t>28</w:t>
            </w:r>
          </w:p>
        </w:tc>
        <w:tc>
          <w:tcPr>
            <w:tcW w:type="dxa" w:w="1234"/>
          </w:tcPr>
          <w:p>
            <w:pPr/>
            <w:r/>
            <w:r>
              <w:rPr/>
            </w:r>
            <w:r>
              <w:rPr>
                <w:b w:val="0"/>
              </w:rPr>
              <w:t>30</w:t>
            </w:r>
          </w:p>
        </w:tc>
      </w:tr>
      <w:tr>
        <w:tc>
          <w:tcPr>
            <w:tcW w:type="dxa" w:w="1234"/>
          </w:tcPr>
          <w:p>
            <w:pPr/>
            <w:r/>
            <w:r>
              <w:rPr/>
            </w:r>
            <w:r>
              <w:rPr>
                <w:b w:val="0"/>
              </w:rPr>
              <w:t>3</w:t>
            </w:r>
          </w:p>
        </w:tc>
        <w:tc>
          <w:tcPr>
            <w:tcW w:type="dxa" w:w="1234"/>
          </w:tcPr>
          <w:p>
            <w:pPr/>
            <w:r/>
            <w:r>
              <w:rPr/>
            </w:r>
            <w:r>
              <w:rPr>
                <w:b w:val="0"/>
              </w:rPr>
              <w:t>Kerja sama PkM aktif per kategori mitra (DUDI/pemerintah/PT nasional/PT internasional) [IKT - baru]</w:t>
            </w:r>
          </w:p>
        </w:tc>
        <w:tc>
          <w:tcPr>
            <w:tcW w:type="dxa" w:w="1234"/>
          </w:tcPr>
          <w:p>
            <w:pPr/>
            <w:r/>
            <w:r>
              <w:rPr/>
            </w:r>
            <w:r>
              <w:rPr>
                <w:b w:val="0"/>
              </w:rPr>
              <w:t>Kerja sama/kategori/tahun (min)</w:t>
            </w:r>
          </w:p>
        </w:tc>
        <w:tc>
          <w:tcPr>
            <w:tcW w:type="dxa" w:w="1234"/>
          </w:tcPr>
          <w:p>
            <w:pPr/>
            <w:r/>
            <w:r>
              <w:rPr/>
            </w:r>
            <w:r>
              <w:rPr>
                <w:b w:val="0"/>
              </w:rPr>
              <w:t>≥1-2 (pola R2)</w:t>
            </w:r>
          </w:p>
        </w:tc>
        <w:tc>
          <w:tcPr>
            <w:tcW w:type="dxa" w:w="1234"/>
          </w:tcPr>
          <w:p>
            <w:pPr/>
            <w:r/>
            <w:r>
              <w:rPr/>
            </w:r>
            <w:r>
              <w:rPr>
                <w:b w:val="0"/>
              </w:rPr>
              <w:t>1</w:t>
            </w:r>
          </w:p>
        </w:tc>
        <w:tc>
          <w:tcPr>
            <w:tcW w:type="dxa" w:w="1234"/>
          </w:tcPr>
          <w:p>
            <w:pPr/>
            <w:r/>
            <w:r>
              <w:rPr/>
            </w:r>
            <w:r>
              <w:rPr>
                <w:b w:val="0"/>
              </w:rPr>
              <w:t>1</w:t>
            </w:r>
          </w:p>
        </w:tc>
        <w:tc>
          <w:tcPr>
            <w:tcW w:type="dxa" w:w="1234"/>
          </w:tcPr>
          <w:p>
            <w:pPr/>
            <w:r/>
            <w:r>
              <w:rPr/>
            </w:r>
            <w:r>
              <w:rPr>
                <w:b w:val="0"/>
              </w:rPr>
              <w:t>2</w:t>
            </w:r>
          </w:p>
        </w:tc>
      </w:tr>
      <w:tr>
        <w:tc>
          <w:tcPr>
            <w:tcW w:type="dxa" w:w="1234"/>
          </w:tcPr>
          <w:p>
            <w:pPr/>
            <w:r/>
            <w:r>
              <w:rPr/>
            </w:r>
            <w:r>
              <w:rPr/>
              <w:t>*4</w:t>
            </w:r>
          </w:p>
        </w:tc>
        <w:tc>
          <w:tcPr>
            <w:tcW w:type="dxa" w:w="1234"/>
          </w:tcPr>
          <w:p>
            <w:pPr/>
            <w:r/>
            <w:r>
              <w:rPr/>
            </w:r>
            <w:r>
              <w:rPr/>
              <w:t>Keberlanjutan PkM (PkM sustainability) lintas tahun sesuai RIP/roadmap [IKU - baru]</w:t>
            </w:r>
          </w:p>
        </w:tc>
        <w:tc>
          <w:tcPr>
            <w:tcW w:type="dxa" w:w="1234"/>
          </w:tcPr>
          <w:p>
            <w:pPr/>
            <w:r/>
            <w:r>
              <w:rPr/>
            </w:r>
            <w:r>
              <w:rPr/>
              <w:t>%</w:t>
            </w:r>
          </w:p>
        </w:tc>
        <w:tc>
          <w:tcPr>
            <w:tcW w:type="dxa" w:w="1234"/>
          </w:tcPr>
          <w:p>
            <w:pPr/>
            <w:r/>
            <w:r>
              <w:rPr/>
            </w:r>
            <w:r>
              <w:rPr/>
              <w:t>≥40-60 (target internal FTII, selaras unsur C.4.C LAM INFOKOM 2.1)</w:t>
            </w:r>
          </w:p>
        </w:tc>
        <w:tc>
          <w:tcPr>
            <w:tcW w:type="dxa" w:w="1234"/>
          </w:tcPr>
          <w:p>
            <w:pPr/>
            <w:r/>
            <w:r>
              <w:rPr/>
            </w:r>
            <w:r>
              <w:rPr/>
              <w:t>40</w:t>
            </w:r>
          </w:p>
        </w:tc>
        <w:tc>
          <w:tcPr>
            <w:tcW w:type="dxa" w:w="1234"/>
          </w:tcPr>
          <w:p>
            <w:pPr/>
            <w:r/>
            <w:r>
              <w:rPr/>
            </w:r>
            <w:r>
              <w:rPr/>
              <w:t>50</w:t>
            </w:r>
          </w:p>
        </w:tc>
        <w:tc>
          <w:tcPr>
            <w:tcW w:type="dxa" w:w="1234"/>
          </w:tcPr>
          <w:p>
            <w:pPr/>
            <w:r/>
            <w:r>
              <w:rPr/>
            </w:r>
            <w:r>
              <w:rPr/>
              <w:t>60</w:t>
            </w:r>
          </w:p>
        </w:tc>
      </w:tr>
    </w:tbl>
    <w:p>
      <w:pPr/>
    </w:p>
    <w:p>
      <w:pPr/>
      <w:r>
        <w:rPr>
          <w:b/>
          <w:sz w:val="28"/>
        </w:rPr>
        <w:t>STANDAR PENILAIAN PKM</w:t>
      </w:r>
    </w:p>
    <w:p>
      <w:pPr/>
      <w:r>
        <w:rPr>
          <w:b/>
        </w:rPr>
        <w:t>1. Daftar Istilah</w:t>
      </w:r>
    </w:p>
    <w:p>
      <w:pPr>
        <w:pStyle w:val="ListBullet"/>
      </w:pPr>
      <w:r>
        <w:rPr/>
        <w:t>Penilaian PkM adalah proses penilaian yang dilakukan mulai dari perencanaan, pelaksanaan, sampai pelaporan PkM secara edukatif, objektif, akuntabel, dan transparan.</w:t>
      </w:r>
    </w:p>
    <w:p>
      <w:pPr>
        <w:pStyle w:val="ListBullet"/>
      </w:pPr>
      <w:r>
        <w:rPr/>
        <w:t>Reviewer/Penilai PkM adalah dosen dan/atau pakar yang ditugaskan untuk menilai kelayakan proposal, memantau pelaksanaan, dan menilai hasil PkM sesuai bidang keahliannya.</w:t>
      </w:r>
    </w:p>
    <w:p>
      <w:pPr>
        <w:pStyle w:val="ListBullet"/>
      </w:pPr>
      <w:r>
        <w:rPr/>
        <w:t>Instrumen Penilaian adalah pedoman/rubrik penilaian yang memuat kriteria dan bobot penilaian sesuai dengan skema/kategori kegiatan.</w:t>
      </w:r>
    </w:p>
    <w:p>
      <w:pPr>
        <w:pStyle w:val="ListBullet"/>
      </w:pPr>
      <w:r>
        <w:rPr/>
        <w:t>Laporan Kemajuan dan Laporan Akhir adalah dokumen pertanggungjawaban substansi dan penggunaan anggaran yang dinilai oleh reviewer sesuai jadwal yang ditetapkan.</w:t>
      </w:r>
    </w:p>
    <w:p>
      <w:pPr/>
      <w:r>
        <w:rPr>
          <w:b/>
        </w:rPr>
        <w:t>2. Pihak Yang Bertanggung Jawab Untuk Memenuhi Standar</w:t>
      </w:r>
    </w:p>
    <w:p>
      <w:pPr>
        <w:pStyle w:val="ListBullet"/>
      </w:pPr>
      <w:r>
        <w:rPr/>
        <w:t>Rektor, dalam menetapkan kebijakan sistem penilaian.</w:t>
      </w:r>
    </w:p>
    <w:p>
      <w:pPr>
        <w:pStyle w:val="ListBullet"/>
      </w:pPr>
      <w:r>
        <w:rPr/>
        <w:t>Direktorat Penelitian, Pengabdian kepada Masyarakat dan Publikasi (DPPMP), dalam penyelenggaraan proses penilaian proposal, monitoring, dan hasil PkM.</w:t>
      </w:r>
    </w:p>
    <w:p>
      <w:pPr>
        <w:pStyle w:val="ListBullet"/>
      </w:pPr>
      <w:r>
        <w:rPr/>
        <w:t>Dekan FTII, dalam pemantauan pelaksanaan penilaian di tingkat program studi.</w:t>
      </w:r>
    </w:p>
    <w:p>
      <w:pPr>
        <w:pStyle w:val="ListBullet"/>
      </w:pPr>
      <w:r>
        <w:rPr/>
        <w:t>Ketua Program Studi, dalam verifikasi kesesuaian hasil penilaian PkM dosen program studi.</w:t>
      </w:r>
    </w:p>
    <w:p>
      <w:pPr>
        <w:pStyle w:val="ListBullet"/>
      </w:pPr>
      <w:r>
        <w:rPr/>
        <w:t>Reviewer internal/eksternal, dalam pelaksanaan penilaian proposal, monitoring, dan hasil sesuai instrumen yang ditetapkan.</w:t>
      </w:r>
    </w:p>
    <w:p>
      <w:pPr>
        <w:pStyle w:val="ListBullet"/>
      </w:pPr>
      <w:r>
        <w:rPr/>
        <w:t>Gugus Kendali Mutu (GKM) Program Studi, dalam validasi kelengkapan dokumen dan hasil penilaian setiap semester.</w:t>
      </w:r>
    </w:p>
    <w:p>
      <w:pPr/>
      <w:r>
        <w:rPr>
          <w:b/>
        </w:rPr>
        <w:t>3. Pernyataan Isi Standar Penilaian PkM</w:t>
      </w:r>
    </w:p>
    <w:p>
      <w:pPr>
        <w:pStyle w:val="ListNumber"/>
      </w:pPr>
      <w:r>
        <w:rPr/>
        <w:t>Program Studi Teknik Informatika wajib menetapkan dan menerapkan instrumen penilaian PkM yang memenuhi unsur edukatif, objektif, akuntabel, dan transparan sesuai Permendikbudristek Nomor 53 Tahun 2023.</w:t>
      </w:r>
    </w:p>
    <w:p>
      <w:pPr>
        <w:pStyle w:val="ListNumber"/>
      </w:pPr>
      <w:r>
        <w:rPr/>
        <w:t>Program Studi Teknik Informatika wajib menugaskan reviewer internal dan/atau eksternal yang memiliki kualifikasi dan kompetensi sesuai bidang PkM yang dinilai.</w:t>
      </w:r>
    </w:p>
    <w:p>
      <w:pPr>
        <w:pStyle w:val="ListNumber"/>
      </w:pPr>
      <w:r>
        <w:rPr/>
        <w:t>Program Studi Teknik Informatika wajib melaksanakan penilaian proposal PkM sebelum pendanaan diberikan, mencakup relevansi, metodologi, dan kelayakan anggaran.</w:t>
      </w:r>
    </w:p>
    <w:p>
      <w:pPr>
        <w:pStyle w:val="ListNumber"/>
      </w:pPr>
      <w:r>
        <w:rPr/>
        <w:t>Program Studi Teknik Informatika wajib melaksanakan monitoring dan evaluasi (monev) pelaksanaan PkM paling sedikit 1 (satu) kali setiap periode kegiatan berjalan.</w:t>
      </w:r>
    </w:p>
    <w:p>
      <w:pPr>
        <w:pStyle w:val="ListNumber"/>
      </w:pPr>
      <w:r>
        <w:rPr/>
        <w:t>Program Studi Teknik Informatika wajib menilai laporan kemajuan dan laporan akhir PkM berdasarkan kesesuaian capaian dengan proposal dan luaran yang dijanjikan.</w:t>
      </w:r>
    </w:p>
    <w:p>
      <w:pPr>
        <w:pStyle w:val="ListNumber"/>
      </w:pPr>
      <w:r>
        <w:rPr/>
        <w:t>Program Studi Teknik Informatika wajib mendokumentasikan seluruh hasil penilaian PkM secara transparan dan dapat diakses oleh pihak yang berkepentingan.</w:t>
      </w:r>
    </w:p>
    <w:p>
      <w:pPr>
        <w:pStyle w:val="ListNumber"/>
      </w:pPr>
      <w:r>
        <w:rPr/>
        <w:t>*Program Studi Teknik Informatika wajib menindaklanjuti hasil penilaian PkM sebagai dasar perbaikan mutu dan keberlanjutan pendanaan pada periode berikutnya.</w:t>
      </w:r>
    </w:p>
    <w:p>
      <w:pPr/>
      <w:r>
        <w:rPr>
          <w:b/>
        </w:rPr>
        <w:t>4. Strategi Pencapaian Standar</w:t>
      </w:r>
    </w:p>
    <w:p>
      <w:pPr>
        <w:pStyle w:val="ListNumber"/>
      </w:pPr>
      <w:r>
        <w:rPr/>
        <w:t>DPPMP menyusun dan menerbitkan instrumen/rubrik penilaian PkM berbasis prinsip edukatif, objektif, akuntabel, dan transparan.</w:t>
      </w:r>
    </w:p>
    <w:p>
      <w:pPr>
        <w:pStyle w:val="ListNumber"/>
      </w:pPr>
      <w:r>
        <w:rPr/>
        <w:t>DPPMP menyusun basis data reviewer internal/eksternal sesuai rumpun keilmuan dan menugaskannya secara berimbang.</w:t>
      </w:r>
    </w:p>
    <w:p>
      <w:pPr>
        <w:pStyle w:val="ListNumber"/>
      </w:pPr>
      <w:r>
        <w:rPr/>
        <w:t>DPPMP menjadwalkan dan melaksanakan penilaian proposal, monitoring pelaksanaan, dan penilaian laporan akhir PkM setiap periode kegiatan.</w:t>
      </w:r>
    </w:p>
    <w:p>
      <w:pPr>
        <w:pStyle w:val="ListNumber"/>
      </w:pPr>
      <w:r>
        <w:rPr/>
        <w:t>DPPMP mempublikasikan hasil penilaian melalui sistem informasi terintegrasi agar dapat diakses dosen dan pimpinan program studi.</w:t>
      </w:r>
    </w:p>
    <w:p>
      <w:pPr>
        <w:pStyle w:val="ListNumber"/>
      </w:pPr>
      <w:r>
        <w:rPr/>
        <w:t>Dekan dan Ketua Program Studi menindaklanjuti hasil penilaian sebagai bahan evaluasi dan perbaikan mutu pada siklus berikutnya.</w:t>
      </w:r>
    </w:p>
    <w:p>
      <w:pPr/>
      <w:r>
        <w:rPr>
          <w:b/>
        </w:rPr>
        <w:t>5. Indikator Capaian Standar</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r/>
            <w:r>
              <w:rPr/>
              <w:t>No</w:t>
            </w:r>
          </w:p>
        </w:tc>
        <w:tc>
          <w:tcPr>
            <w:tcW w:type="dxa" w:w="1234"/>
          </w:tcPr>
          <w:p>
            <w:pPr/>
            <w:r/>
            <w:r>
              <w:rPr/>
              <w:t>Indikator (IKU/IKT)</w:t>
            </w:r>
          </w:p>
        </w:tc>
        <w:tc>
          <w:tcPr>
            <w:tcW w:type="dxa" w:w="1234"/>
          </w:tcPr>
          <w:p>
            <w:pPr/>
            <w:r/>
            <w:r>
              <w:rPr/>
              <w:t>Satuan</w:t>
            </w:r>
          </w:p>
        </w:tc>
        <w:tc>
          <w:tcPr>
            <w:tcW w:type="dxa" w:w="1234"/>
          </w:tcPr>
          <w:p>
            <w:pPr/>
            <w:r/>
            <w:r>
              <w:rPr/>
              <w:t>Ambang Rujukan (skor 4)</w:t>
            </w:r>
          </w:p>
        </w:tc>
        <w:tc>
          <w:tcPr>
            <w:tcW w:type="dxa" w:w="1234"/>
          </w:tcPr>
          <w:p>
            <w:pPr/>
            <w:r/>
            <w:r>
              <w:rPr/>
              <w:t>Target 2024/25</w:t>
            </w:r>
          </w:p>
        </w:tc>
        <w:tc>
          <w:tcPr>
            <w:tcW w:type="dxa" w:w="1234"/>
          </w:tcPr>
          <w:p>
            <w:pPr/>
            <w:r/>
            <w:r>
              <w:rPr/>
              <w:t>Target 2025/26</w:t>
            </w:r>
          </w:p>
        </w:tc>
        <w:tc>
          <w:tcPr>
            <w:tcW w:type="dxa" w:w="1234"/>
          </w:tcPr>
          <w:p>
            <w:pPr/>
            <w:r/>
            <w:r>
              <w:rPr/>
              <w:t>Target 2026/27</w:t>
            </w:r>
          </w:p>
        </w:tc>
      </w:tr>
      <w:tr>
        <w:tc>
          <w:tcPr>
            <w:tcW w:type="dxa" w:w="1234"/>
          </w:tcPr>
          <w:p>
            <w:pPr/>
            <w:r/>
            <w:r>
              <w:rPr/>
              <w:t>1</w:t>
            </w:r>
          </w:p>
        </w:tc>
        <w:tc>
          <w:tcPr>
            <w:tcW w:type="dxa" w:w="1234"/>
          </w:tcPr>
          <w:p>
            <w:pPr/>
            <w:r/>
            <w:r>
              <w:rPr/>
              <w:t>Tersedia instrumen/rubrik penilaian PkM yang diterapkan secara konsisten</w:t>
            </w:r>
          </w:p>
        </w:tc>
        <w:tc>
          <w:tcPr>
            <w:tcW w:type="dxa" w:w="1234"/>
          </w:tcPr>
          <w:p>
            <w:pPr/>
            <w:r/>
            <w:r>
              <w:rPr/>
              <w:t>Status</w:t>
            </w:r>
          </w:p>
        </w:tc>
        <w:tc>
          <w:tcPr>
            <w:tcW w:type="dxa" w:w="1234"/>
          </w:tcPr>
          <w:p>
            <w:pPr/>
            <w:r/>
            <w:r>
              <w:rPr/>
              <w:t>Tersedia</w:t>
            </w:r>
          </w:p>
        </w:tc>
        <w:tc>
          <w:tcPr>
            <w:tcW w:type="dxa" w:w="1234"/>
          </w:tcPr>
          <w:p>
            <w:pPr/>
            <w:r/>
            <w:r>
              <w:rPr/>
              <w:t>Tersedia</w:t>
            </w:r>
          </w:p>
        </w:tc>
        <w:tc>
          <w:tcPr>
            <w:tcW w:type="dxa" w:w="1234"/>
          </w:tcPr>
          <w:p>
            <w:pPr/>
            <w:r/>
            <w:r>
              <w:rPr/>
              <w:t>Tersedia</w:t>
            </w:r>
          </w:p>
        </w:tc>
        <w:tc>
          <w:tcPr>
            <w:tcW w:type="dxa" w:w="1234"/>
          </w:tcPr>
          <w:p>
            <w:pPr/>
            <w:r/>
            <w:r>
              <w:rPr/>
              <w:t>Tersedia</w:t>
            </w:r>
          </w:p>
        </w:tc>
      </w:tr>
      <w:tr>
        <w:tc>
          <w:tcPr>
            <w:tcW w:type="dxa" w:w="1234"/>
          </w:tcPr>
          <w:p>
            <w:pPr/>
            <w:r/>
            <w:r>
              <w:rPr/>
              <w:t>2</w:t>
            </w:r>
          </w:p>
        </w:tc>
        <w:tc>
          <w:tcPr>
            <w:tcW w:type="dxa" w:w="1234"/>
          </w:tcPr>
          <w:p>
            <w:pPr/>
            <w:r/>
            <w:r>
              <w:rPr/>
              <w:t>Persentase proposal PkM yang dinilai reviewer sebelum pendanaan</w:t>
            </w:r>
          </w:p>
        </w:tc>
        <w:tc>
          <w:tcPr>
            <w:tcW w:type="dxa" w:w="1234"/>
          </w:tcPr>
          <w:p>
            <w:pPr/>
            <w:r/>
            <w:r>
              <w:rPr/>
              <w:t>%</w:t>
            </w:r>
          </w:p>
        </w:tc>
        <w:tc>
          <w:tcPr>
            <w:tcW w:type="dxa" w:w="1234"/>
          </w:tcPr>
          <w:p>
            <w:pPr/>
            <w:r/>
            <w:r>
              <w:rPr/>
              <w:t>100</w:t>
            </w:r>
          </w:p>
        </w:tc>
        <w:tc>
          <w:tcPr>
            <w:tcW w:type="dxa" w:w="1234"/>
          </w:tcPr>
          <w:p>
            <w:pPr/>
            <w:r/>
            <w:r>
              <w:rPr/>
              <w:t>100</w:t>
            </w:r>
          </w:p>
        </w:tc>
        <w:tc>
          <w:tcPr>
            <w:tcW w:type="dxa" w:w="1234"/>
          </w:tcPr>
          <w:p>
            <w:pPr/>
            <w:r/>
            <w:r>
              <w:rPr/>
              <w:t>100</w:t>
            </w:r>
          </w:p>
        </w:tc>
        <w:tc>
          <w:tcPr>
            <w:tcW w:type="dxa" w:w="1234"/>
          </w:tcPr>
          <w:p>
            <w:pPr/>
            <w:r/>
            <w:r>
              <w:rPr/>
              <w:t>100</w:t>
            </w:r>
          </w:p>
        </w:tc>
      </w:tr>
      <w:tr>
        <w:tc>
          <w:tcPr>
            <w:tcW w:type="dxa" w:w="1234"/>
          </w:tcPr>
          <w:p>
            <w:pPr/>
            <w:r/>
            <w:r>
              <w:rPr/>
              <w:t>3</w:t>
            </w:r>
          </w:p>
        </w:tc>
        <w:tc>
          <w:tcPr>
            <w:tcW w:type="dxa" w:w="1234"/>
          </w:tcPr>
          <w:p>
            <w:pPr/>
            <w:r/>
            <w:r>
              <w:rPr/>
              <w:t>Persentase kegiatan PkM yang dimonitoring dan dievaluasi paling sedikit 1 kali</w:t>
            </w:r>
          </w:p>
        </w:tc>
        <w:tc>
          <w:tcPr>
            <w:tcW w:type="dxa" w:w="1234"/>
          </w:tcPr>
          <w:p>
            <w:pPr/>
            <w:r/>
            <w:r>
              <w:rPr/>
              <w:t>%</w:t>
            </w:r>
          </w:p>
        </w:tc>
        <w:tc>
          <w:tcPr>
            <w:tcW w:type="dxa" w:w="1234"/>
          </w:tcPr>
          <w:p>
            <w:pPr/>
            <w:r/>
            <w:r>
              <w:rPr/>
              <w:t>100</w:t>
            </w:r>
          </w:p>
        </w:tc>
        <w:tc>
          <w:tcPr>
            <w:tcW w:type="dxa" w:w="1234"/>
          </w:tcPr>
          <w:p>
            <w:pPr/>
            <w:r/>
            <w:r>
              <w:rPr/>
              <w:t>100</w:t>
            </w:r>
          </w:p>
        </w:tc>
        <w:tc>
          <w:tcPr>
            <w:tcW w:type="dxa" w:w="1234"/>
          </w:tcPr>
          <w:p>
            <w:pPr/>
            <w:r/>
            <w:r>
              <w:rPr/>
              <w:t>100</w:t>
            </w:r>
          </w:p>
        </w:tc>
        <w:tc>
          <w:tcPr>
            <w:tcW w:type="dxa" w:w="1234"/>
          </w:tcPr>
          <w:p>
            <w:pPr/>
            <w:r/>
            <w:r>
              <w:rPr/>
              <w:t>100</w:t>
            </w:r>
          </w:p>
        </w:tc>
      </w:tr>
      <w:tr>
        <w:tc>
          <w:tcPr>
            <w:tcW w:type="dxa" w:w="1234"/>
          </w:tcPr>
          <w:p>
            <w:pPr/>
            <w:r/>
            <w:r>
              <w:rPr/>
              <w:t>4</w:t>
            </w:r>
          </w:p>
        </w:tc>
        <w:tc>
          <w:tcPr>
            <w:tcW w:type="dxa" w:w="1234"/>
          </w:tcPr>
          <w:p>
            <w:pPr/>
            <w:r/>
            <w:r>
              <w:rPr/>
              <w:t>Persentase laporan akhir PkM yang dinilai tepat waktu</w:t>
            </w:r>
          </w:p>
        </w:tc>
        <w:tc>
          <w:tcPr>
            <w:tcW w:type="dxa" w:w="1234"/>
          </w:tcPr>
          <w:p>
            <w:pPr/>
            <w:r/>
            <w:r>
              <w:rPr/>
              <w:t>%</w:t>
            </w:r>
          </w:p>
        </w:tc>
        <w:tc>
          <w:tcPr>
            <w:tcW w:type="dxa" w:w="1234"/>
          </w:tcPr>
          <w:p>
            <w:pPr/>
            <w:r/>
            <w:r>
              <w:rPr/>
              <w:t>≥90</w:t>
            </w:r>
          </w:p>
        </w:tc>
        <w:tc>
          <w:tcPr>
            <w:tcW w:type="dxa" w:w="1234"/>
          </w:tcPr>
          <w:p>
            <w:pPr/>
            <w:r/>
            <w:r>
              <w:rPr/>
              <w:t>90</w:t>
            </w:r>
          </w:p>
        </w:tc>
        <w:tc>
          <w:tcPr>
            <w:tcW w:type="dxa" w:w="1234"/>
          </w:tcPr>
          <w:p>
            <w:pPr/>
            <w:r/>
            <w:r>
              <w:rPr/>
              <w:t>95</w:t>
            </w:r>
          </w:p>
        </w:tc>
        <w:tc>
          <w:tcPr>
            <w:tcW w:type="dxa" w:w="1234"/>
          </w:tcPr>
          <w:p>
            <w:pPr/>
            <w:r/>
            <w:r>
              <w:rPr/>
              <w:t>100</w:t>
            </w:r>
          </w:p>
        </w:tc>
      </w:tr>
    </w:tbl>
    <w:p>
      <w:pPr/>
      <w:r>
        <w:rPr>
          <w:b/>
          <w:sz w:val="28"/>
        </w:rPr>
        <w:t>STANDAR PENGELOLAAN PKM</w:t>
      </w:r>
    </w:p>
    <w:p>
      <w:pPr>
        <w:spacing w:before="160" w:after="80"/>
      </w:pPr>
      <w:r>
        <w:rPr>
          <w:b/>
          <w:sz w:val="23"/>
        </w:rPr>
        <w:t>1. Daftar Istilah</w:t>
      </w:r>
    </w:p>
    <w:p>
      <w:pPr>
        <w:spacing w:after="120"/>
      </w:pPr>
      <w:r>
        <w:rPr>
          <w:b w:val="0"/>
          <w:i w:val="0"/>
        </w:rPr>
        <w:t>Rencana Strategis (Renstra) PkM adalah dokumen perencanaan jangka menengah yang memuat arah kebijakan, sasaran, dan program PkM FTII/Universitas.</w:t>
      </w:r>
    </w:p>
    <w:p>
      <w:pPr>
        <w:spacing w:after="120"/>
      </w:pPr>
      <w:r>
        <w:rPr>
          <w:b w:val="0"/>
          <w:i w:val="0"/>
        </w:rPr>
        <w:t>Roadmap/Peta Jalan PkM adalah dokumen yang memayungi tema PkM dosen dan mahasiswa program studi, memuat kesesuaian pelaksanaan dengan peta jalan dan evaluasi berkala.</w:t>
      </w:r>
    </w:p>
    <w:p>
      <w:pPr>
        <w:spacing w:after="120"/>
      </w:pPr>
      <w:r>
        <w:rPr>
          <w:b w:val="0"/>
          <w:i w:val="0"/>
        </w:rPr>
        <w:t>Buku Panduan PkM adalah dokumen yang memuat kebijakan, skema PkM, kualifikasi pelaksana, mekanisme pendanaan, pelaksanaan, monitoring, evaluasi, dan pelaporan PkM.</w:t>
      </w:r>
    </w:p>
    <w:p>
      <w:pPr>
        <w:spacing w:after="120"/>
      </w:pPr>
      <w:r>
        <w:rPr>
          <w:b w:val="0"/>
          <w:i w:val="0"/>
        </w:rPr>
        <w:t>Siklus PPEPP adalah singkatan dari Penetapan, Pelaksanaan, Evaluasi, Pengendalian, dan Peningkatan standar, menjadi kerangka pengendalian mutu berkelanjutan Standar Masukan PkM.</w:t>
      </w:r>
    </w:p>
    <w:p>
      <w:pPr>
        <w:spacing w:after="120"/>
      </w:pPr>
      <w:r>
        <w:rPr>
          <w:b w:val="0"/>
          <w:i w:val="0"/>
        </w:rPr>
        <w:t>Audit Mutu Internal (AMI) adalah kegiatan evaluasi sistematis, independen, dan terdokumentasi untuk menentukan tingkat kesesuaian pelaksanaan Standar Masukan PkM.</w:t>
      </w:r>
    </w:p>
    <w:p>
      <w:pPr>
        <w:spacing w:after="120"/>
      </w:pPr>
      <w:r>
        <w:rPr>
          <w:b w:val="0"/>
          <w:i w:val="0"/>
        </w:rPr>
        <w:t>Rencana Tindak Lanjut (RTL) adalah dokumen tindak lanjut atas hasil AMI, monitoring, dan evaluasi yang memuat langkah perbaikan dan target penyelesaian.</w:t>
      </w:r>
    </w:p>
    <w:p>
      <w:pPr>
        <w:spacing w:after="120"/>
      </w:pPr>
      <w:r>
        <w:rPr>
          <w:b w:val="0"/>
          <w:i w:val="0"/>
        </w:rPr>
        <w:t>Rapat Tinjauan Manajemen (RTM) adalah forum evaluasi periodik yang membahas hasil AMI, root-cause analysis, dan SWOT tahunan untuk menetapkan tindak lanjut dan strategi peningkatan mutu.</w:t>
      </w:r>
    </w:p>
    <w:p>
      <w:pPr>
        <w:spacing w:before="160" w:after="80"/>
      </w:pPr>
      <w:r>
        <w:rPr>
          <w:b/>
          <w:sz w:val="23"/>
        </w:rPr>
        <w:t>2. Pihak Yang Bertanggung Jawab Untuk Memenuhi Standar</w:t>
      </w:r>
    </w:p>
    <w:p>
      <w:pPr>
        <w:pStyle w:val="ListBullet"/>
        <w:spacing w:after="80"/>
      </w:pPr>
      <w:r>
        <w:rPr/>
        <w:t>Rektor, dalam menetapkan kebijakan Standar Masukan PkM dan Renstra PkM Universitas.</w:t>
      </w:r>
    </w:p>
    <w:p>
      <w:pPr>
        <w:pStyle w:val="ListBullet"/>
        <w:spacing w:after="80"/>
      </w:pPr>
      <w:r>
        <w:rPr/>
        <w:t>Direktorat Penelitian, Pengabdian kepada Masyarakat dan Publikasi (DPPMP), dalam penyusunan roadmap PkM, Buku Panduan PkM, serta pelaksanaan monitoring-evaluasi.</w:t>
      </w:r>
    </w:p>
    <w:p>
      <w:pPr>
        <w:pStyle w:val="ListBullet"/>
        <w:spacing w:after="80"/>
      </w:pPr>
      <w:r>
        <w:rPr/>
        <w:t>Dekan FTII dan Ketua Program Studi, dalam penyusunan roadmap PkM program studi dan pemantauan pelaksanaannya.</w:t>
      </w:r>
    </w:p>
    <w:p>
      <w:pPr>
        <w:pStyle w:val="ListBullet"/>
        <w:spacing w:after="80"/>
      </w:pPr>
      <w:r>
        <w:rPr/>
        <w:t>Direktorat Jaminan Mutu (DJM)/Unit Jaminan Mutu (UJM) Fakultas/Gugus Kendali Mutu (GKM), dalam pelaksanaan Audit Mutu Internal (AMI), Rapat Tinjauan Manajemen (RTM), dan tindak lanjut evaluasi.</w:t>
      </w:r>
    </w:p>
    <w:p>
      <w:pPr>
        <w:spacing w:before="160" w:after="80"/>
      </w:pPr>
      <w:r>
        <w:rPr>
          <w:b/>
          <w:sz w:val="23"/>
        </w:rPr>
        <w:t>3. Pernyataan Isi Standar Pengelolaan PkM</w:t>
      </w:r>
    </w:p>
    <w:p>
      <w:pPr>
        <w:pStyle w:val="ListNumber"/>
        <w:spacing w:after="120"/>
      </w:pPr>
      <w:r>
        <w:rPr/>
        <w:t>Program Studi Teknik Informatika wajib memiliki dan menerapkan Standar Masukan PkM yang ditetapkan melalui keputusan Rektor sebagai acuan penyediaan sumber daya PkM.</w:t>
      </w:r>
    </w:p>
    <w:p>
      <w:pPr>
        <w:pStyle w:val="ListNumber"/>
        <w:spacing w:after="120"/>
      </w:pPr>
      <w:r>
        <w:rPr/>
        <w:t>Program Studi Teknik Informatika wajib memiliki Rencana Strategis (Renstra) PkM dan roadmap/peta jalan PkM program studi yang memuat sekurang-kurangnya 4 (empat) unsur konkret: peta jalan yang memayungi tema PkM dosen dan mahasiswa, pelaksanaan kegiatan PkM sesuai peta jalan, evaluasi berkala kesesuaian pelaksanaan dengan roadmap, dan pemanfaatan hasil evaluasi untuk penyempurnaan roadmap.</w:t>
      </w:r>
    </w:p>
    <w:p>
      <w:pPr>
        <w:pStyle w:val="ListNumber"/>
        <w:spacing w:after="120"/>
      </w:pPr>
      <w:r>
        <w:rPr/>
        <w:t>Program Studi Teknik Informatika wajib menjamin persentase kegiatan PkM yang selaras dengan roadmap paling sedikit 90%, meningkat menuju 100%.</w:t>
      </w:r>
    </w:p>
    <w:p>
      <w:pPr>
        <w:pStyle w:val="ListNumber"/>
        <w:spacing w:after="120"/>
      </w:pPr>
      <w:r>
        <w:rPr/>
        <w:t>Program Studi Teknik Informatika wajib menyediakan Buku Panduan PkM yang memuat kebijakan, skema PkM, kualifikasi pelaksana, mekanisme pendanaan, pelaksanaan, monitoring, evaluasi, dan pelaporan PkM, serta memastikan aksesibilitasnya bagi seluruh sivitas akademika melalui sistem informasi.</w:t>
      </w:r>
    </w:p>
    <w:p>
      <w:pPr>
        <w:pStyle w:val="ListNumber"/>
        <w:spacing w:after="120"/>
      </w:pPr>
      <w:r>
        <w:rPr/>
        <w:t>Program Studi Teknik Informatika wajib mengukur dan meningkatkan tingkat kepuasan dosen, mahasiswa, dan mitra PkM terhadap sarana-prasarana dan layanan PkM paling sedikit 80%, meningkat menuju paling sedikit 95%.</w:t>
      </w:r>
    </w:p>
    <w:p>
      <w:pPr>
        <w:pStyle w:val="ListNumber"/>
        <w:spacing w:after="120"/>
      </w:pPr>
      <w:r>
        <w:rPr/>
        <w:t>Program Studi Teknik Informatika wajib melaksanakan monitoring dan evaluasi, Audit Mutu Internal (AMI), menyusun Rencana Tindak Lanjut (RTL), dan menerapkan siklus Penetapan-Pelaksanaan-Evaluasi-Pengendalian-Peningkatan (PPEPP) secara berkelanjutan terhadap seluruh komponen Standar Masukan PkM.</w:t>
      </w:r>
    </w:p>
    <w:p>
      <w:pPr>
        <w:spacing w:before="160" w:after="80"/>
      </w:pPr>
      <w:r>
        <w:rPr>
          <w:b/>
          <w:sz w:val="23"/>
        </w:rPr>
        <w:t>4. Strategi Pencapaian Standar</w:t>
      </w:r>
    </w:p>
    <w:p>
      <w:pPr>
        <w:pStyle w:val="ListNumber"/>
        <w:spacing w:after="120"/>
      </w:pPr>
      <w:r>
        <w:rPr/>
        <w:t>Rektor menetapkan kebijakan Standar Pengelolaan PkM sebagai bagian dari SPMI Universitas, dengan ambang indikator disetarakan pada skor tertinggi instrumen LAM Teknik dan kriteria Unggul LAM INFOKOM.</w:t>
      </w:r>
    </w:p>
    <w:p>
      <w:pPr>
        <w:pStyle w:val="ListNumber"/>
        <w:spacing w:after="120"/>
      </w:pPr>
      <w:r>
        <w:rPr/>
        <w:t>DPPMP menyusun dan memperbarui Renstra PkM serta roadmap PkM program studi yang memuat 4 unsur wajib (peta jalan dosen-mahasiswa, pelaksanaan sesuai roadmap, evaluasi berkala, pemanfaatan hasil evaluasi), ditinjau setiap siklus Renstra, dengan target kesesuaian kegiatan PkM terhadap roadmap menuju 100%.</w:t>
      </w:r>
    </w:p>
    <w:p>
      <w:pPr>
        <w:pStyle w:val="ListNumber"/>
        <w:spacing w:after="120"/>
      </w:pPr>
      <w:r>
        <w:rPr/>
        <w:t>DPPMP menyusun dan mengembangkan Buku Panduan PkM yang memuat kebijakan, skema, kualifikasi pelaksana, mekanisme pendanaan, pelaksanaan, monitoring, evaluasi, dan pelaporan PkM, serta memastikan aksesibilitasnya melalui Sistem Informasi PkM.</w:t>
      </w:r>
    </w:p>
    <w:p>
      <w:pPr>
        <w:pStyle w:val="ListNumber"/>
        <w:spacing w:after="120"/>
      </w:pPr>
      <w:r>
        <w:rPr/>
        <w:t>Fakultas dan DPPMP melaksanakan survei kepuasan dosen, mahasiswa, dan mitra PkM secara berkala, ditargetkan meningkat dari 80-85% menuju 95%.</w:t>
      </w:r>
    </w:p>
    <w:p>
      <w:pPr>
        <w:pStyle w:val="ListNumber"/>
        <w:spacing w:after="120"/>
      </w:pPr>
      <w:r>
        <w:rPr/>
        <w:t>Direktorat Jaminan Mutu (DJM), Unit Jaminan Mutu (UJM), dan Gugus Kendali Mutu (GKM) melaksanakan monitoring, evaluasi, dan Audit Mutu Internal (AMI) atas seluruh indikator Standar Masukan PkM secara berkala, serta menyusun Rencana Tindak Lanjut (RTL) sebagai bagian dari siklus PPEPP.</w:t>
      </w:r>
    </w:p>
    <w:p>
      <w:pPr>
        <w:spacing w:before="160" w:after="80"/>
      </w:pPr>
      <w:r>
        <w:rPr>
          <w:b/>
          <w:sz w:val="23"/>
        </w:rPr>
        <w:t>5. Indikator Capaian Standar</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r/>
            <w:r>
              <w:rPr/>
            </w:r>
            <w:r>
              <w:rPr>
                <w:b/>
              </w:rPr>
              <w:t>No</w:t>
            </w:r>
          </w:p>
        </w:tc>
        <w:tc>
          <w:tcPr>
            <w:tcW w:type="dxa" w:w="1234"/>
          </w:tcPr>
          <w:p>
            <w:pPr/>
            <w:r/>
            <w:r>
              <w:rPr/>
            </w:r>
            <w:r>
              <w:rPr>
                <w:b/>
              </w:rPr>
              <w:t>Indikator (IKU/IKT)</w:t>
            </w:r>
          </w:p>
        </w:tc>
        <w:tc>
          <w:tcPr>
            <w:tcW w:type="dxa" w:w="1234"/>
          </w:tcPr>
          <w:p>
            <w:pPr/>
            <w:r/>
            <w:r>
              <w:rPr/>
            </w:r>
            <w:r>
              <w:rPr>
                <w:b/>
              </w:rPr>
              <w:t>Satuan</w:t>
            </w:r>
          </w:p>
        </w:tc>
        <w:tc>
          <w:tcPr>
            <w:tcW w:type="dxa" w:w="1234"/>
          </w:tcPr>
          <w:p>
            <w:pPr/>
            <w:r/>
            <w:r>
              <w:rPr/>
            </w:r>
            <w:r>
              <w:rPr>
                <w:b/>
              </w:rPr>
              <w:t>Ambang Rujukan (skor 4)</w:t>
            </w:r>
          </w:p>
        </w:tc>
        <w:tc>
          <w:tcPr>
            <w:tcW w:type="dxa" w:w="1234"/>
          </w:tcPr>
          <w:p>
            <w:pPr/>
            <w:r/>
            <w:r>
              <w:rPr/>
            </w:r>
            <w:r>
              <w:rPr>
                <w:b/>
              </w:rPr>
              <w:t>Target 2024/25</w:t>
            </w:r>
          </w:p>
        </w:tc>
        <w:tc>
          <w:tcPr>
            <w:tcW w:type="dxa" w:w="1234"/>
          </w:tcPr>
          <w:p>
            <w:pPr/>
            <w:r/>
            <w:r>
              <w:rPr/>
            </w:r>
            <w:r>
              <w:rPr>
                <w:b/>
              </w:rPr>
              <w:t>Target 2025/26</w:t>
            </w:r>
          </w:p>
        </w:tc>
        <w:tc>
          <w:tcPr>
            <w:tcW w:type="dxa" w:w="1234"/>
          </w:tcPr>
          <w:p>
            <w:pPr/>
            <w:r/>
            <w:r>
              <w:rPr/>
            </w:r>
            <w:r>
              <w:rPr>
                <w:b/>
              </w:rPr>
              <w:t>Target 2026/27</w:t>
            </w:r>
          </w:p>
        </w:tc>
      </w:tr>
      <w:tr>
        <w:tc>
          <w:tcPr>
            <w:tcW w:type="dxa" w:w="1234"/>
          </w:tcPr>
          <w:p>
            <w:pPr/>
            <w:r/>
            <w:r>
              <w:rPr/>
            </w:r>
            <w:r>
              <w:rPr>
                <w:b w:val="0"/>
              </w:rPr>
              <w:t>1</w:t>
            </w:r>
          </w:p>
        </w:tc>
        <w:tc>
          <w:tcPr>
            <w:tcW w:type="dxa" w:w="1234"/>
          </w:tcPr>
          <w:p>
            <w:pPr/>
            <w:r/>
            <w:r>
              <w:rPr/>
            </w:r>
            <w:r>
              <w:rPr>
                <w:b w:val="0"/>
              </w:rPr>
              <w:t>Ketersediaan Renstra PkM dan roadmap PkM memuat 4 unsur [IKU]</w:t>
            </w:r>
          </w:p>
        </w:tc>
        <w:tc>
          <w:tcPr>
            <w:tcW w:type="dxa" w:w="1234"/>
          </w:tcPr>
          <w:p>
            <w:pPr/>
            <w:r/>
            <w:r>
              <w:rPr/>
            </w:r>
            <w:r>
              <w:rPr>
                <w:b w:val="0"/>
              </w:rPr>
              <w:t>Status</w:t>
            </w:r>
          </w:p>
        </w:tc>
        <w:tc>
          <w:tcPr>
            <w:tcW w:type="dxa" w:w="1234"/>
          </w:tcPr>
          <w:p>
            <w:pPr/>
            <w:r/>
            <w:r>
              <w:rPr/>
            </w:r>
            <w:r>
              <w:rPr>
                <w:b w:val="0"/>
              </w:rPr>
              <w:t>4 unsur (R1/R2)</w:t>
            </w:r>
          </w:p>
        </w:tc>
        <w:tc>
          <w:tcPr>
            <w:tcW w:type="dxa" w:w="1234"/>
          </w:tcPr>
          <w:p>
            <w:pPr/>
            <w:r/>
            <w:r>
              <w:rPr/>
            </w:r>
            <w:r>
              <w:rPr>
                <w:b w:val="0"/>
              </w:rPr>
              <w:t>Tersedia</w:t>
            </w:r>
          </w:p>
        </w:tc>
        <w:tc>
          <w:tcPr>
            <w:tcW w:type="dxa" w:w="1234"/>
          </w:tcPr>
          <w:p>
            <w:pPr/>
            <w:r/>
            <w:r>
              <w:rPr/>
            </w:r>
            <w:r>
              <w:rPr>
                <w:b w:val="0"/>
              </w:rPr>
              <w:t>Tersedia</w:t>
            </w:r>
          </w:p>
        </w:tc>
        <w:tc>
          <w:tcPr>
            <w:tcW w:type="dxa" w:w="1234"/>
          </w:tcPr>
          <w:p>
            <w:pPr/>
            <w:r/>
            <w:r>
              <w:rPr/>
            </w:r>
            <w:r>
              <w:rPr>
                <w:b w:val="0"/>
              </w:rPr>
              <w:t>Tersedia</w:t>
            </w:r>
          </w:p>
        </w:tc>
      </w:tr>
      <w:tr>
        <w:tc>
          <w:tcPr>
            <w:tcW w:type="dxa" w:w="1234"/>
          </w:tcPr>
          <w:p>
            <w:pPr/>
            <w:r/>
            <w:r>
              <w:rPr/>
            </w:r>
            <w:r>
              <w:rPr>
                <w:b w:val="0"/>
              </w:rPr>
              <w:t>2</w:t>
            </w:r>
          </w:p>
        </w:tc>
        <w:tc>
          <w:tcPr>
            <w:tcW w:type="dxa" w:w="1234"/>
          </w:tcPr>
          <w:p>
            <w:pPr/>
            <w:r/>
            <w:r>
              <w:rPr/>
            </w:r>
            <w:r>
              <w:rPr>
                <w:b w:val="0"/>
              </w:rPr>
              <w:t>Persentase kegiatan PkM yang selaras dengan roadmap [IKU]</w:t>
            </w:r>
          </w:p>
        </w:tc>
        <w:tc>
          <w:tcPr>
            <w:tcW w:type="dxa" w:w="1234"/>
          </w:tcPr>
          <w:p>
            <w:pPr/>
            <w:r/>
            <w:r>
              <w:rPr/>
            </w:r>
            <w:r>
              <w:rPr>
                <w:b w:val="0"/>
              </w:rPr>
              <w:t>%</w:t>
            </w:r>
          </w:p>
        </w:tc>
        <w:tc>
          <w:tcPr>
            <w:tcW w:type="dxa" w:w="1234"/>
          </w:tcPr>
          <w:p>
            <w:pPr/>
            <w:r/>
            <w:r>
              <w:rPr/>
            </w:r>
            <w:r>
              <w:rPr>
                <w:b w:val="0"/>
              </w:rPr>
              <w:t>≥90→100 (R4)</w:t>
            </w:r>
          </w:p>
        </w:tc>
        <w:tc>
          <w:tcPr>
            <w:tcW w:type="dxa" w:w="1234"/>
          </w:tcPr>
          <w:p>
            <w:pPr/>
            <w:r/>
            <w:r>
              <w:rPr/>
            </w:r>
            <w:r>
              <w:rPr>
                <w:b w:val="0"/>
              </w:rPr>
              <w:t>90</w:t>
            </w:r>
          </w:p>
        </w:tc>
        <w:tc>
          <w:tcPr>
            <w:tcW w:type="dxa" w:w="1234"/>
          </w:tcPr>
          <w:p>
            <w:pPr/>
            <w:r/>
            <w:r>
              <w:rPr/>
            </w:r>
            <w:r>
              <w:rPr>
                <w:b w:val="0"/>
              </w:rPr>
              <w:t>95</w:t>
            </w:r>
          </w:p>
        </w:tc>
        <w:tc>
          <w:tcPr>
            <w:tcW w:type="dxa" w:w="1234"/>
          </w:tcPr>
          <w:p>
            <w:pPr/>
            <w:r/>
            <w:r>
              <w:rPr/>
            </w:r>
            <w:r>
              <w:rPr>
                <w:b w:val="0"/>
              </w:rPr>
              <w:t>100</w:t>
            </w:r>
          </w:p>
        </w:tc>
      </w:tr>
      <w:tr>
        <w:tc>
          <w:tcPr>
            <w:tcW w:type="dxa" w:w="1234"/>
          </w:tcPr>
          <w:p>
            <w:pPr/>
            <w:r/>
            <w:r>
              <w:rPr/>
            </w:r>
            <w:r>
              <w:rPr>
                <w:b w:val="0"/>
              </w:rPr>
              <w:t>3</w:t>
            </w:r>
          </w:p>
        </w:tc>
        <w:tc>
          <w:tcPr>
            <w:tcW w:type="dxa" w:w="1234"/>
          </w:tcPr>
          <w:p>
            <w:pPr/>
            <w:r/>
            <w:r>
              <w:rPr/>
            </w:r>
            <w:r>
              <w:rPr>
                <w:b w:val="0"/>
              </w:rPr>
              <w:t>Ketersediaan Buku Panduan PkM [IKU]</w:t>
            </w:r>
          </w:p>
        </w:tc>
        <w:tc>
          <w:tcPr>
            <w:tcW w:type="dxa" w:w="1234"/>
          </w:tcPr>
          <w:p>
            <w:pPr/>
            <w:r/>
            <w:r>
              <w:rPr/>
            </w:r>
            <w:r>
              <w:rPr>
                <w:b w:val="0"/>
              </w:rPr>
              <w:t>Status</w:t>
            </w:r>
          </w:p>
        </w:tc>
        <w:tc>
          <w:tcPr>
            <w:tcW w:type="dxa" w:w="1234"/>
          </w:tcPr>
          <w:p>
            <w:pPr/>
            <w:r/>
            <w:r>
              <w:rPr/>
            </w:r>
            <w:r>
              <w:rPr>
                <w:b w:val="0"/>
              </w:rPr>
              <w:t>-</w:t>
            </w:r>
          </w:p>
        </w:tc>
        <w:tc>
          <w:tcPr>
            <w:tcW w:type="dxa" w:w="1234"/>
          </w:tcPr>
          <w:p>
            <w:pPr/>
            <w:r/>
            <w:r>
              <w:rPr/>
            </w:r>
            <w:r>
              <w:rPr>
                <w:b w:val="0"/>
              </w:rPr>
              <w:t>Tersedia</w:t>
            </w:r>
          </w:p>
        </w:tc>
        <w:tc>
          <w:tcPr>
            <w:tcW w:type="dxa" w:w="1234"/>
          </w:tcPr>
          <w:p>
            <w:pPr/>
            <w:r/>
            <w:r>
              <w:rPr/>
            </w:r>
            <w:r>
              <w:rPr>
                <w:b w:val="0"/>
              </w:rPr>
              <w:t>Tersedia</w:t>
            </w:r>
          </w:p>
        </w:tc>
        <w:tc>
          <w:tcPr>
            <w:tcW w:type="dxa" w:w="1234"/>
          </w:tcPr>
          <w:p>
            <w:pPr/>
            <w:r/>
            <w:r>
              <w:rPr/>
            </w:r>
            <w:r>
              <w:rPr>
                <w:b w:val="0"/>
              </w:rPr>
              <w:t>Tersedia</w:t>
            </w:r>
          </w:p>
        </w:tc>
      </w:tr>
      <w:tr>
        <w:tc>
          <w:tcPr>
            <w:tcW w:type="dxa" w:w="1234"/>
          </w:tcPr>
          <w:p>
            <w:pPr/>
            <w:r/>
            <w:r>
              <w:rPr/>
            </w:r>
            <w:r>
              <w:rPr>
                <w:b w:val="0"/>
              </w:rPr>
              <w:t>16</w:t>
            </w:r>
          </w:p>
        </w:tc>
        <w:tc>
          <w:tcPr>
            <w:tcW w:type="dxa" w:w="1234"/>
          </w:tcPr>
          <w:p>
            <w:pPr/>
            <w:r/>
            <w:r>
              <w:rPr/>
            </w:r>
            <w:r>
              <w:rPr>
                <w:b w:val="0"/>
              </w:rPr>
              <w:t>Persentase kepuasan dosen dan mahasiswa terhadap sarana-prasarana dan layanan PkM [IKU]</w:t>
            </w:r>
          </w:p>
        </w:tc>
        <w:tc>
          <w:tcPr>
            <w:tcW w:type="dxa" w:w="1234"/>
          </w:tcPr>
          <w:p>
            <w:pPr/>
            <w:r/>
            <w:r>
              <w:rPr/>
            </w:r>
            <w:r>
              <w:rPr>
                <w:b w:val="0"/>
              </w:rPr>
              <w:t>%</w:t>
            </w:r>
          </w:p>
        </w:tc>
        <w:tc>
          <w:tcPr>
            <w:tcW w:type="dxa" w:w="1234"/>
          </w:tcPr>
          <w:p>
            <w:pPr/>
            <w:r/>
            <w:r>
              <w:rPr/>
            </w:r>
            <w:r>
              <w:rPr>
                <w:b w:val="0"/>
              </w:rPr>
              <w:t>- (praktik unggulan FTII)</w:t>
            </w:r>
          </w:p>
        </w:tc>
        <w:tc>
          <w:tcPr>
            <w:tcW w:type="dxa" w:w="1234"/>
          </w:tcPr>
          <w:p>
            <w:pPr/>
            <w:r/>
            <w:r>
              <w:rPr/>
            </w:r>
            <w:r>
              <w:rPr>
                <w:b w:val="0"/>
              </w:rPr>
              <w:t>85</w:t>
            </w:r>
          </w:p>
        </w:tc>
        <w:tc>
          <w:tcPr>
            <w:tcW w:type="dxa" w:w="1234"/>
          </w:tcPr>
          <w:p>
            <w:pPr/>
            <w:r/>
            <w:r>
              <w:rPr/>
            </w:r>
            <w:r>
              <w:rPr>
                <w:b w:val="0"/>
              </w:rPr>
              <w:t>90</w:t>
            </w:r>
          </w:p>
        </w:tc>
        <w:tc>
          <w:tcPr>
            <w:tcW w:type="dxa" w:w="1234"/>
          </w:tcPr>
          <w:p>
            <w:pPr/>
            <w:r/>
            <w:r>
              <w:rPr/>
            </w:r>
            <w:r>
              <w:rPr>
                <w:b w:val="0"/>
              </w:rPr>
              <w:t>95</w:t>
            </w:r>
          </w:p>
        </w:tc>
      </w:tr>
      <w:tr>
        <w:tc>
          <w:tcPr>
            <w:tcW w:type="dxa" w:w="1234"/>
          </w:tcPr>
          <w:p>
            <w:pPr/>
            <w:r/>
            <w:r>
              <w:rPr/>
            </w:r>
            <w:r>
              <w:rPr>
                <w:b w:val="0"/>
              </w:rPr>
              <w:t>17</w:t>
            </w:r>
          </w:p>
        </w:tc>
        <w:tc>
          <w:tcPr>
            <w:tcW w:type="dxa" w:w="1234"/>
          </w:tcPr>
          <w:p>
            <w:pPr/>
            <w:r/>
            <w:r>
              <w:rPr/>
            </w:r>
            <w:r>
              <w:rPr>
                <w:b w:val="0"/>
              </w:rPr>
              <w:t>Persentase kepuasan mitra PkM terhadap layanan PkM [IKU]</w:t>
            </w:r>
          </w:p>
        </w:tc>
        <w:tc>
          <w:tcPr>
            <w:tcW w:type="dxa" w:w="1234"/>
          </w:tcPr>
          <w:p>
            <w:pPr/>
            <w:r/>
            <w:r>
              <w:rPr/>
            </w:r>
            <w:r>
              <w:rPr>
                <w:b w:val="0"/>
              </w:rPr>
              <w:t>%</w:t>
            </w:r>
          </w:p>
        </w:tc>
        <w:tc>
          <w:tcPr>
            <w:tcW w:type="dxa" w:w="1234"/>
          </w:tcPr>
          <w:p>
            <w:pPr/>
            <w:r/>
            <w:r>
              <w:rPr/>
            </w:r>
            <w:r>
              <w:rPr>
                <w:b w:val="0"/>
              </w:rPr>
              <w:t>- (praktik unggulan FTII)</w:t>
            </w:r>
          </w:p>
        </w:tc>
        <w:tc>
          <w:tcPr>
            <w:tcW w:type="dxa" w:w="1234"/>
          </w:tcPr>
          <w:p>
            <w:pPr/>
            <w:r/>
            <w:r>
              <w:rPr/>
            </w:r>
            <w:r>
              <w:rPr>
                <w:b w:val="0"/>
              </w:rPr>
              <w:t>85</w:t>
            </w:r>
          </w:p>
        </w:tc>
        <w:tc>
          <w:tcPr>
            <w:tcW w:type="dxa" w:w="1234"/>
          </w:tcPr>
          <w:p>
            <w:pPr/>
            <w:r/>
            <w:r>
              <w:rPr/>
            </w:r>
            <w:r>
              <w:rPr>
                <w:b w:val="0"/>
              </w:rPr>
              <w:t>90</w:t>
            </w:r>
          </w:p>
        </w:tc>
        <w:tc>
          <w:tcPr>
            <w:tcW w:type="dxa" w:w="1234"/>
          </w:tcPr>
          <w:p>
            <w:pPr/>
            <w:r/>
            <w:r>
              <w:rPr/>
            </w:r>
            <w:r>
              <w:rPr>
                <w:b w:val="0"/>
              </w:rPr>
              <w:t>95</w:t>
            </w:r>
          </w:p>
        </w:tc>
      </w:tr>
      <w:tr>
        <w:tc>
          <w:tcPr>
            <w:tcW w:type="dxa" w:w="1234"/>
          </w:tcPr>
          <w:p>
            <w:pPr/>
            <w:r/>
            <w:r>
              <w:rPr/>
            </w:r>
            <w:r>
              <w:rPr>
                <w:b w:val="0"/>
              </w:rPr>
              <w:t>18</w:t>
            </w:r>
          </w:p>
        </w:tc>
        <w:tc>
          <w:tcPr>
            <w:tcW w:type="dxa" w:w="1234"/>
          </w:tcPr>
          <w:p>
            <w:pPr/>
            <w:r/>
            <w:r>
              <w:rPr/>
            </w:r>
            <w:r>
              <w:rPr>
                <w:b w:val="0"/>
              </w:rPr>
              <w:t>Frekuensi monitoring, evaluasi, dan AMI atas standar ini [IKT]</w:t>
            </w:r>
          </w:p>
        </w:tc>
        <w:tc>
          <w:tcPr>
            <w:tcW w:type="dxa" w:w="1234"/>
          </w:tcPr>
          <w:p>
            <w:pPr/>
            <w:r/>
            <w:r>
              <w:rPr/>
            </w:r>
            <w:r>
              <w:rPr>
                <w:b w:val="0"/>
              </w:rPr>
              <w:t>Kali/tahun</w:t>
            </w:r>
          </w:p>
        </w:tc>
        <w:tc>
          <w:tcPr>
            <w:tcW w:type="dxa" w:w="1234"/>
          </w:tcPr>
          <w:p>
            <w:pPr/>
            <w:r/>
            <w:r>
              <w:rPr/>
            </w:r>
            <w:r>
              <w:rPr>
                <w:b w:val="0"/>
              </w:rPr>
              <w:t>≥1 (praktik baik referensi)</w:t>
            </w:r>
          </w:p>
        </w:tc>
        <w:tc>
          <w:tcPr>
            <w:tcW w:type="dxa" w:w="1234"/>
          </w:tcPr>
          <w:p>
            <w:pPr/>
            <w:r/>
            <w:r>
              <w:rPr/>
            </w:r>
            <w:r>
              <w:rPr>
                <w:b w:val="0"/>
              </w:rPr>
              <w:t>≥1</w:t>
            </w:r>
          </w:p>
        </w:tc>
        <w:tc>
          <w:tcPr>
            <w:tcW w:type="dxa" w:w="1234"/>
          </w:tcPr>
          <w:p>
            <w:pPr/>
            <w:r/>
            <w:r>
              <w:rPr/>
            </w:r>
            <w:r>
              <w:rPr>
                <w:b w:val="0"/>
              </w:rPr>
              <w:t>≥1</w:t>
            </w:r>
          </w:p>
        </w:tc>
        <w:tc>
          <w:tcPr>
            <w:tcW w:type="dxa" w:w="1234"/>
          </w:tcPr>
          <w:p>
            <w:pPr/>
            <w:r/>
            <w:r>
              <w:rPr/>
            </w:r>
            <w:r>
              <w:rPr>
                <w:b w:val="0"/>
              </w:rPr>
              <w:t>≥1</w:t>
            </w:r>
          </w:p>
        </w:tc>
      </w:tr>
    </w:tbl>
    <w:p>
      <w:pPr/>
    </w:p>
    <w:p>
      <w:pPr/>
      <w:r>
        <w:rPr>
          <w:b/>
          <w:sz w:val="28"/>
        </w:rPr>
        <w:t>Ketentuan Etika PkM (Tambahan)</w:t>
      </w:r>
    </w:p>
    <w:p>
      <w:pPr>
        <w:spacing w:before="200" w:after="80"/>
      </w:pPr>
      <w:r>
        <w:rPr>
          <w:b/>
          <w:sz w:val="25"/>
        </w:rPr>
        <w:t>1. Daftar Istilah</w:t>
      </w:r>
    </w:p>
    <w:p>
      <w:pPr>
        <w:pStyle w:val="ListNumber"/>
        <w:spacing w:after="120"/>
      </w:pPr>
      <w:r>
        <w:rPr/>
        <w:t>Etika PkM adalah kaidah ilmiah, akademik, hukum, dan norma sosial yang wajib dipatuhi dalam perencanaan, pelaksanaan, dan pelaporan kegiatan PkM.</w:t>
      </w:r>
    </w:p>
    <w:p>
      <w:pPr>
        <w:pStyle w:val="ListNumber"/>
        <w:spacing w:after="120"/>
      </w:pPr>
      <w:r>
        <w:rPr/>
        <w:t>Keselamatan, Kesehatan Kerja, dan Keamanan (K3) Pelaksanaan PkM adalah jaminan perlindungan bagi pelaksana, mahasiswa, masyarakat sasaran, dan lingkungan dari risiko kecelakaan atau insiden selama kegiatan PkM berlangsung.</w:t>
      </w:r>
    </w:p>
    <w:p>
      <w:pPr>
        <w:pStyle w:val="ListNumber"/>
        <w:spacing w:after="120"/>
      </w:pPr>
      <w:r>
        <w:rPr/>
        <w:t>Legalitas Penugasan PkM adalah kelengkapan dokumen resmi (Surat Tugas/SK/kontrak/dokumen kerja sama) yang menjadi dasar sah pelaksanaan kegiatan PkM.</w:t>
      </w:r>
    </w:p>
    <w:p>
      <w:pPr>
        <w:pStyle w:val="ListNumber"/>
        <w:spacing w:after="120"/>
      </w:pPr>
      <w:r>
        <w:rPr/>
        <w:t>Monitoring dan Evaluasi (Monev) Pengelolaan PkM adalah kegiatan pemantauan dan penilaian berkala terhadap tata kelola kelembagaan PkM, terpisah dari monev proses pelaksanaan kegiatan PkM itu sendiri.</w:t>
      </w:r>
    </w:p>
    <w:p>
      <w:pPr>
        <w:pStyle w:val="ListNumber"/>
        <w:spacing w:after="120"/>
      </w:pPr>
      <w:r>
        <w:rPr/>
        <w:t>Siklus PPEPP adalah singkatan dari Penetapan, Pelaksanaan, Evaluasi, Pengendalian, dan Peningkatan standar, menjadi kerangka pengendalian mutu berkelanjutan atas Standar Proses PkM.</w:t>
      </w:r>
    </w:p>
    <w:p>
      <w:pPr>
        <w:pStyle w:val="ListNumber"/>
        <w:spacing w:after="120"/>
      </w:pPr>
      <w:r>
        <w:rPr/>
        <w:t>Audit Mutu Internal (AMI) adalah kegiatan evaluasi sistematis, independen, dan terdokumentasi untuk menentukan tingkat kesesuaian pelaksanaan Standar Proses PkM terhadap ambang yang ditetapkan.</w:t>
      </w:r>
    </w:p>
    <w:p>
      <w:pPr>
        <w:pStyle w:val="ListNumber"/>
        <w:spacing w:after="120"/>
      </w:pPr>
      <w:r>
        <w:rPr/>
        <w:t>Rencana Tindak Lanjut (RTL) adalah dokumen rencana perbaikan yang disusun berdasarkan hasil Monev dan AMI untuk menindaklanjuti temuan/rekomendasi yang belum tercapai.</w:t>
      </w:r>
    </w:p>
    <w:p>
      <w:pPr>
        <w:spacing w:before="200" w:after="80"/>
      </w:pPr>
      <w:r>
        <w:rPr>
          <w:b/>
          <w:sz w:val="25"/>
        </w:rPr>
        <w:t>2. Pihak Yang Bertanggung Jawab Untuk Memenuhi Standar</w:t>
      </w:r>
    </w:p>
    <w:p>
      <w:pPr>
        <w:pStyle w:val="ListNumber"/>
        <w:spacing w:after="120"/>
      </w:pPr>
      <w:r>
        <w:rPr/>
        <w:t>Penetapan: Rektor atas usulan Dekan FTII melalui mekanisme SPMI, mempertimbangkan peraturan perundang-undangan, VMTS Fakultas, RIP/roadmap PkM, hasil pemetaan gap terhadap 5 dokumen rujukan, dan hasil evaluasi mutu berkelanjutan periode sebelumnya.</w:t>
      </w:r>
    </w:p>
    <w:p>
      <w:pPr>
        <w:pStyle w:val="ListNumber"/>
        <w:spacing w:after="120"/>
      </w:pPr>
      <w:r>
        <w:rPr/>
        <w:t>Pelaksanaan: Dekan FTII; Wakil Rektor Bidang Akademik dan Kemahasiswaan; Direktorat Penelitian, Pengabdian kepada Masyarakat dan Publikasi (DPPMP); Ketua Program Studi; Gugus Kendali Mutu (GKM) Program Studi; reviewer internal; Dosen; Mahasiswa; mitra DUDI, pemerintah, dan perguruan tinggi nasional/internasional.</w:t>
      </w:r>
    </w:p>
    <w:p>
      <w:pPr>
        <w:pStyle w:val="ListNumber"/>
        <w:spacing w:after="120"/>
      </w:pPr>
      <w:r>
        <w:rPr/>
        <w:t>Evaluasi: Direktorat Jaminan Mutu (DJM); Unit Jaminan Mutu (UJM) Fakultas; GKM Program Studi; DPPMP; Auditor Mutu Internal — melalui Monitoring dan Evaluasi (Monev), Audit Mutu Internal (AMI), evaluasi kesesuaian roadmap, evaluasi kelengkapan bukti proses, evaluasi keterlibatan mahasiswa, dan evaluasi kerja sama PkM.</w:t>
      </w:r>
    </w:p>
    <w:p>
      <w:pPr>
        <w:pStyle w:val="ListNumber"/>
        <w:spacing w:after="120"/>
      </w:pPr>
      <w:r>
        <w:rPr/>
        <w:t>Pengendalian: Rektor; DJM; UJM Fakultas; Dekan FTII; Ketua Program Studi; GKM — berdasarkan hasil Monev, AMI, laporan kelengkapan bukti proses, laporan keselamatan kerja, serta laporan kerja sama PkM.</w:t>
      </w:r>
    </w:p>
    <w:p>
      <w:pPr>
        <w:pStyle w:val="ListNumber"/>
        <w:spacing w:after="120"/>
      </w:pPr>
      <w:r>
        <w:rPr/>
        <w:t>Peningkatan: Rektor; Dekan FTII; DJM; UJM; GKM; Ketua Program Studi; DPPMP — melalui penguatan kesesuaian roadmap, perluasan kerja sama PkM, penguatan keselamatan kerja, dan penyempurnaan mekanisme monev-pengelolaan PkM melalui siklus PPEPP berkelanjutan.</w:t>
      </w:r>
    </w:p>
    <w:p>
      <w:pPr>
        <w:spacing w:before="200" w:after="80"/>
      </w:pPr>
      <w:r>
        <w:rPr>
          <w:b/>
          <w:sz w:val="25"/>
        </w:rPr>
        <w:t>3. Pernyataan Isi Standar Etika dan Pengelolaan PkM</w:t>
      </w:r>
    </w:p>
    <w:p>
      <w:pPr>
        <w:pStyle w:val="ListNumber"/>
        <w:spacing w:after="120"/>
      </w:pPr>
      <w:r>
        <w:rPr/>
        <w:t>Program Studi Teknik Informatika wajib menjamin nol (0) kasus pelanggaran terhadap kaidah ilmiah, etika akademik, hukum, maupun norma sosial dalam pelaksanaan PkM pada seluruh periode penerapan standar.</w:t>
      </w:r>
    </w:p>
    <w:p>
      <w:pPr>
        <w:pStyle w:val="ListNumber"/>
        <w:spacing w:after="120"/>
      </w:pPr>
      <w:r>
        <w:rPr/>
        <w:t>Program Studi Teknik Informatika wajib menetapkan bahwa setiap proposal PkM wajib lolos penilaian terkait standar mutu, keselamatan kerja, kesehatan, kenyamanan, dan keamanan bagi pelaksana, masyarakat sasaran, dan lingkungan, sebagai syarat mutlak sebelum kegiatan PkM dilaksanakan.</w:t>
      </w:r>
    </w:p>
    <w:p>
      <w:pPr>
        <w:pStyle w:val="ListNumber"/>
        <w:spacing w:after="120"/>
      </w:pPr>
      <w:r>
        <w:rPr/>
        <w:t>Program Studi Teknik Informatika wajib menjamin nol (0) kejadian kecelakaan kerja dan insiden keselamatan-keamanan (K3) pelaksanaan PkM bagi pelaksana, mahasiswa, masyarakat sasaran, dan lingkungan pada seluruh periode penerapan standar.</w:t>
      </w:r>
    </w:p>
    <w:p>
      <w:pPr>
        <w:pStyle w:val="ListNumber"/>
        <w:spacing w:after="120"/>
      </w:pPr>
      <w:r>
        <w:rPr/>
        <w:t>Setiap kegiatan PkM wajib memiliki legalitas penugasan (Surat Tugas/SK/kontrak/dokumen kerja sama) yang lengkap dan terdokumentasi.</w:t>
      </w:r>
    </w:p>
    <w:p>
      <w:pPr>
        <w:pStyle w:val="ListNumber"/>
        <w:spacing w:after="120"/>
      </w:pPr>
      <w:r>
        <w:rPr/>
        <w:t>Program Studi Teknik Informatika wajib melaksanakan monitoring dan evaluasi proses PkM paling sedikit satu kali per tahun, dan monitoring dan evaluasi pengelolaan kelembagaan PkM paling sedikit satu kali per tahun secara terpisah.</w:t>
      </w:r>
    </w:p>
    <w:p>
      <w:pPr>
        <w:pStyle w:val="ListNumber"/>
        <w:spacing w:after="120"/>
      </w:pPr>
      <w:r>
        <w:rPr/>
        <w:t>Program Studi Teknik Informatika wajib menjamin persentase rekomendasi hasil monitoring-evaluasi dan Audit Mutu Internal (AMI) PkM yang ditindaklanjuti paling sedikit 70% pada tahun pertama, meningkat menjadi paling sedikit 95% pada tahun ketiga.</w:t>
      </w:r>
    </w:p>
    <w:p>
      <w:pPr>
        <w:pStyle w:val="ListNumber"/>
        <w:spacing w:after="120"/>
      </w:pPr>
      <w:r>
        <w:rPr/>
        <w:t>Program Studi Teknik Informatika wajib melaksanakan Audit Mutu Internal (AMI), menyusun Rencana Tindak Lanjut (RTL), dan menerapkan siklus Penetapan-Pelaksanaan-Evaluasi-Pengendalian-Peningkatan (PPEPP) secara berkelanjutan terhadap seluruh komponen Standar Proses PkM.</w:t>
      </w:r>
    </w:p>
    <w:p>
      <w:pPr>
        <w:spacing w:before="200" w:after="80"/>
      </w:pPr>
      <w:r>
        <w:rPr>
          <w:b/>
          <w:sz w:val="25"/>
        </w:rPr>
        <w:t>4. Strategi Pencapaian Standar</w:t>
      </w:r>
    </w:p>
    <w:p>
      <w:pPr>
        <w:pStyle w:val="ListNumber"/>
        <w:spacing w:after="120"/>
      </w:pPr>
      <w:r>
        <w:rPr/>
        <w:t>Rektor menetapkan kebijakan Standar Etika dan Pengelolaan PkM FTII sebagai bagian dari SPMI Universitas, dengan ambang indikator disetarakan pada skor tertinggi instrumen LAM Teknik dan kriteria Unggul LAM INFOKOM.</w:t>
      </w:r>
    </w:p>
    <w:p>
      <w:pPr>
        <w:pStyle w:val="ListNumber"/>
        <w:spacing w:after="120"/>
      </w:pPr>
      <w:r>
        <w:rPr/>
        <w:t>DPPMP menyusun dan menerapkan mekanisme verifikasi keselamatan kerja (K3) sebagai bagian wajib proses review proposal PkM, bekerja sama dengan komisi etik/reviewer, untuk menjaga nol kecelakaan kerja dan insiden K3.</w:t>
      </w:r>
    </w:p>
    <w:p>
      <w:pPr>
        <w:pStyle w:val="ListNumber"/>
        <w:spacing w:after="120"/>
      </w:pPr>
      <w:r>
        <w:rPr/>
        <w:t>DPPMP menyusun dan menyosialisasikan pedoman etika PkM, dengan pemantauan berkelanjutan untuk menjaga nol kasus pelanggaran kaidah ilmiah.</w:t>
      </w:r>
    </w:p>
    <w:p>
      <w:pPr>
        <w:pStyle w:val="ListNumber"/>
        <w:spacing w:after="120"/>
      </w:pPr>
      <w:r>
        <w:rPr/>
        <w:t>DJM dan UJM melaksanakan monitoring dan evaluasi proses PkM serta pengelolaan PkM masing-masing paling sedikit satu kali per tahun secara terpisah, dan memantau persentase tindak lanjut rekomendasi menuju 95%.</w:t>
      </w:r>
    </w:p>
    <w:p>
      <w:pPr>
        <w:pStyle w:val="ListNumber"/>
        <w:spacing w:after="120"/>
      </w:pPr>
      <w:r>
        <w:rPr/>
        <w:t>Direktorat Jaminan Mutu (DJM), Unit Jaminan Mutu (UJM), dan Gugus Kendali Mutu (GKM) melaksanakan Audit Mutu Internal (AMI) atas seluruh indikator Standar Proses PkM secara berkala, serta menyusun Rencana Tindak Lanjut (RTL) sebagai bagian dari siklus PPEPP.</w:t>
      </w:r>
    </w:p>
    <w:p>
      <w:pPr>
        <w:spacing w:before="200" w:after="80"/>
      </w:pPr>
      <w:r>
        <w:rPr>
          <w:b/>
          <w:sz w:val="25"/>
        </w:rPr>
        <w:t>5. Indikator Capaian Standar</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r/>
            <w:r>
              <w:rPr/>
            </w:r>
            <w:r>
              <w:rPr>
                <w:b/>
              </w:rPr>
              <w:t>No</w:t>
            </w:r>
          </w:p>
        </w:tc>
        <w:tc>
          <w:tcPr>
            <w:tcW w:type="dxa" w:w="1234"/>
          </w:tcPr>
          <w:p>
            <w:pPr/>
            <w:r/>
            <w:r>
              <w:rPr/>
            </w:r>
            <w:r>
              <w:rPr>
                <w:b/>
              </w:rPr>
              <w:t>Indikator (IKU/IKT)</w:t>
            </w:r>
          </w:p>
        </w:tc>
        <w:tc>
          <w:tcPr>
            <w:tcW w:type="dxa" w:w="1234"/>
          </w:tcPr>
          <w:p>
            <w:pPr/>
            <w:r/>
            <w:r>
              <w:rPr/>
            </w:r>
            <w:r>
              <w:rPr>
                <w:b/>
              </w:rPr>
              <w:t>Satuan</w:t>
            </w:r>
          </w:p>
        </w:tc>
        <w:tc>
          <w:tcPr>
            <w:tcW w:type="dxa" w:w="1234"/>
          </w:tcPr>
          <w:p>
            <w:pPr/>
            <w:r/>
            <w:r>
              <w:rPr/>
            </w:r>
            <w:r>
              <w:rPr>
                <w:b/>
              </w:rPr>
              <w:t>Ambang Rujukan (skor 4)</w:t>
            </w:r>
          </w:p>
        </w:tc>
        <w:tc>
          <w:tcPr>
            <w:tcW w:type="dxa" w:w="1234"/>
          </w:tcPr>
          <w:p>
            <w:pPr/>
            <w:r/>
            <w:r>
              <w:rPr/>
            </w:r>
            <w:r>
              <w:rPr>
                <w:b/>
              </w:rPr>
              <w:t>Target 2024/25</w:t>
            </w:r>
          </w:p>
        </w:tc>
        <w:tc>
          <w:tcPr>
            <w:tcW w:type="dxa" w:w="1234"/>
          </w:tcPr>
          <w:p>
            <w:pPr/>
            <w:r/>
            <w:r>
              <w:rPr/>
            </w:r>
            <w:r>
              <w:rPr>
                <w:b/>
              </w:rPr>
              <w:t>Target 2025/26</w:t>
            </w:r>
          </w:p>
        </w:tc>
        <w:tc>
          <w:tcPr>
            <w:tcW w:type="dxa" w:w="1234"/>
          </w:tcPr>
          <w:p>
            <w:pPr/>
            <w:r/>
            <w:r>
              <w:rPr/>
            </w:r>
            <w:r>
              <w:rPr>
                <w:b/>
              </w:rPr>
              <w:t>Target 2026/27</w:t>
            </w:r>
          </w:p>
        </w:tc>
      </w:tr>
      <w:tr>
        <w:tc>
          <w:tcPr>
            <w:tcW w:type="dxa" w:w="1234"/>
          </w:tcPr>
          <w:p>
            <w:pPr/>
            <w:r/>
            <w:r>
              <w:rPr/>
            </w:r>
            <w:r>
              <w:rPr>
                <w:b w:val="0"/>
              </w:rPr>
              <w:t>1</w:t>
            </w:r>
          </w:p>
        </w:tc>
        <w:tc>
          <w:tcPr>
            <w:tcW w:type="dxa" w:w="1234"/>
          </w:tcPr>
          <w:p>
            <w:pPr/>
            <w:r/>
            <w:r>
              <w:rPr/>
            </w:r>
            <w:r>
              <w:rPr>
                <w:b w:val="0"/>
              </w:rPr>
              <w:t>Kasus pelanggaran kaidah ilmiah/etika PkM [IKU]</w:t>
            </w:r>
          </w:p>
        </w:tc>
        <w:tc>
          <w:tcPr>
            <w:tcW w:type="dxa" w:w="1234"/>
          </w:tcPr>
          <w:p>
            <w:pPr/>
            <w:r/>
            <w:r>
              <w:rPr/>
            </w:r>
            <w:r>
              <w:rPr>
                <w:b w:val="0"/>
              </w:rPr>
              <w:t>Kasus</w:t>
            </w:r>
          </w:p>
        </w:tc>
        <w:tc>
          <w:tcPr>
            <w:tcW w:type="dxa" w:w="1234"/>
          </w:tcPr>
          <w:p>
            <w:pPr/>
            <w:r/>
            <w:r>
              <w:rPr/>
            </w:r>
            <w:r>
              <w:rPr>
                <w:b w:val="0"/>
              </w:rPr>
              <w:t>0 (praktik universal SPMI)</w:t>
            </w:r>
          </w:p>
        </w:tc>
        <w:tc>
          <w:tcPr>
            <w:tcW w:type="dxa" w:w="1234"/>
          </w:tcPr>
          <w:p>
            <w:pPr/>
            <w:r/>
            <w:r>
              <w:rPr/>
            </w:r>
            <w:r>
              <w:rPr>
                <w:b w:val="0"/>
              </w:rPr>
              <w:t>0</w:t>
            </w:r>
          </w:p>
        </w:tc>
        <w:tc>
          <w:tcPr>
            <w:tcW w:type="dxa" w:w="1234"/>
          </w:tcPr>
          <w:p>
            <w:pPr/>
            <w:r/>
            <w:r>
              <w:rPr/>
            </w:r>
            <w:r>
              <w:rPr>
                <w:b w:val="0"/>
              </w:rPr>
              <w:t>0</w:t>
            </w:r>
          </w:p>
        </w:tc>
        <w:tc>
          <w:tcPr>
            <w:tcW w:type="dxa" w:w="1234"/>
          </w:tcPr>
          <w:p>
            <w:pPr/>
            <w:r/>
            <w:r>
              <w:rPr/>
            </w:r>
            <w:r>
              <w:rPr>
                <w:b w:val="0"/>
              </w:rPr>
              <w:t>0</w:t>
            </w:r>
          </w:p>
        </w:tc>
      </w:tr>
      <w:tr>
        <w:tc>
          <w:tcPr>
            <w:tcW w:type="dxa" w:w="1234"/>
          </w:tcPr>
          <w:p>
            <w:pPr/>
            <w:r/>
            <w:r>
              <w:rPr/>
            </w:r>
            <w:r>
              <w:rPr>
                <w:b w:val="0"/>
              </w:rPr>
              <w:t>2</w:t>
            </w:r>
          </w:p>
        </w:tc>
        <w:tc>
          <w:tcPr>
            <w:tcW w:type="dxa" w:w="1234"/>
          </w:tcPr>
          <w:p>
            <w:pPr/>
            <w:r/>
            <w:r>
              <w:rPr/>
            </w:r>
            <w:r>
              <w:rPr>
                <w:b w:val="0"/>
              </w:rPr>
              <w:t>Verifikasi K3 sebagai syarat lolos proposal PkM [IKU - baru]</w:t>
            </w:r>
          </w:p>
        </w:tc>
        <w:tc>
          <w:tcPr>
            <w:tcW w:type="dxa" w:w="1234"/>
          </w:tcPr>
          <w:p>
            <w:pPr/>
            <w:r/>
            <w:r>
              <w:rPr/>
            </w:r>
            <w:r>
              <w:rPr>
                <w:b w:val="0"/>
              </w:rPr>
              <w:t>%</w:t>
            </w:r>
          </w:p>
        </w:tc>
        <w:tc>
          <w:tcPr>
            <w:tcW w:type="dxa" w:w="1234"/>
          </w:tcPr>
          <w:p>
            <w:pPr/>
            <w:r/>
            <w:r>
              <w:rPr/>
            </w:r>
            <w:r>
              <w:rPr>
                <w:b w:val="0"/>
              </w:rPr>
              <w:t>wajib (R1/R5)</w:t>
            </w:r>
          </w:p>
        </w:tc>
        <w:tc>
          <w:tcPr>
            <w:tcW w:type="dxa" w:w="1234"/>
          </w:tcPr>
          <w:p>
            <w:pPr/>
            <w:r/>
            <w:r>
              <w:rPr/>
            </w:r>
            <w:r>
              <w:rPr>
                <w:b w:val="0"/>
              </w:rPr>
              <w:t>100</w:t>
            </w:r>
          </w:p>
        </w:tc>
        <w:tc>
          <w:tcPr>
            <w:tcW w:type="dxa" w:w="1234"/>
          </w:tcPr>
          <w:p>
            <w:pPr/>
            <w:r/>
            <w:r>
              <w:rPr/>
            </w:r>
            <w:r>
              <w:rPr>
                <w:b w:val="0"/>
              </w:rPr>
              <w:t>100</w:t>
            </w:r>
          </w:p>
        </w:tc>
        <w:tc>
          <w:tcPr>
            <w:tcW w:type="dxa" w:w="1234"/>
          </w:tcPr>
          <w:p>
            <w:pPr/>
            <w:r/>
            <w:r>
              <w:rPr/>
            </w:r>
            <w:r>
              <w:rPr>
                <w:b w:val="0"/>
              </w:rPr>
              <w:t>100</w:t>
            </w:r>
          </w:p>
        </w:tc>
      </w:tr>
      <w:tr>
        <w:tc>
          <w:tcPr>
            <w:tcW w:type="dxa" w:w="1234"/>
          </w:tcPr>
          <w:p>
            <w:pPr/>
            <w:r/>
            <w:r>
              <w:rPr/>
            </w:r>
            <w:r>
              <w:rPr>
                <w:b w:val="0"/>
              </w:rPr>
              <w:t>3</w:t>
            </w:r>
          </w:p>
        </w:tc>
        <w:tc>
          <w:tcPr>
            <w:tcW w:type="dxa" w:w="1234"/>
          </w:tcPr>
          <w:p>
            <w:pPr/>
            <w:r/>
            <w:r>
              <w:rPr/>
            </w:r>
            <w:r>
              <w:rPr>
                <w:b w:val="0"/>
              </w:rPr>
              <w:t>Kejadian kecelakaan kerja/insiden K3 pelaksanaan PkM [IKU - baru]</w:t>
            </w:r>
          </w:p>
        </w:tc>
        <w:tc>
          <w:tcPr>
            <w:tcW w:type="dxa" w:w="1234"/>
          </w:tcPr>
          <w:p>
            <w:pPr/>
            <w:r/>
            <w:r>
              <w:rPr/>
            </w:r>
            <w:r>
              <w:rPr>
                <w:b w:val="0"/>
              </w:rPr>
              <w:t>Kejadian</w:t>
            </w:r>
          </w:p>
        </w:tc>
        <w:tc>
          <w:tcPr>
            <w:tcW w:type="dxa" w:w="1234"/>
          </w:tcPr>
          <w:p>
            <w:pPr/>
            <w:r/>
            <w:r>
              <w:rPr/>
            </w:r>
            <w:r>
              <w:rPr>
                <w:b w:val="0"/>
              </w:rPr>
              <w:t>0 (praktik baik R1/R5)</w:t>
            </w:r>
          </w:p>
        </w:tc>
        <w:tc>
          <w:tcPr>
            <w:tcW w:type="dxa" w:w="1234"/>
          </w:tcPr>
          <w:p>
            <w:pPr/>
            <w:r/>
            <w:r>
              <w:rPr/>
            </w:r>
            <w:r>
              <w:rPr>
                <w:b w:val="0"/>
              </w:rPr>
              <w:t>0</w:t>
            </w:r>
          </w:p>
        </w:tc>
        <w:tc>
          <w:tcPr>
            <w:tcW w:type="dxa" w:w="1234"/>
          </w:tcPr>
          <w:p>
            <w:pPr/>
            <w:r/>
            <w:r>
              <w:rPr/>
            </w:r>
            <w:r>
              <w:rPr>
                <w:b w:val="0"/>
              </w:rPr>
              <w:t>0</w:t>
            </w:r>
          </w:p>
        </w:tc>
        <w:tc>
          <w:tcPr>
            <w:tcW w:type="dxa" w:w="1234"/>
          </w:tcPr>
          <w:p>
            <w:pPr/>
            <w:r/>
            <w:r>
              <w:rPr/>
            </w:r>
            <w:r>
              <w:rPr>
                <w:b w:val="0"/>
              </w:rPr>
              <w:t>0</w:t>
            </w:r>
          </w:p>
        </w:tc>
      </w:tr>
      <w:tr>
        <w:tc>
          <w:tcPr>
            <w:tcW w:type="dxa" w:w="1234"/>
          </w:tcPr>
          <w:p>
            <w:pPr/>
            <w:r/>
            <w:r>
              <w:rPr/>
            </w:r>
            <w:r>
              <w:rPr>
                <w:b w:val="0"/>
              </w:rPr>
              <w:t>4</w:t>
            </w:r>
          </w:p>
        </w:tc>
        <w:tc>
          <w:tcPr>
            <w:tcW w:type="dxa" w:w="1234"/>
          </w:tcPr>
          <w:p>
            <w:pPr/>
            <w:r/>
            <w:r>
              <w:rPr/>
            </w:r>
            <w:r>
              <w:rPr>
                <w:b w:val="0"/>
              </w:rPr>
              <w:t>Frekuensi monev proses PkM [IKU]</w:t>
            </w:r>
          </w:p>
        </w:tc>
        <w:tc>
          <w:tcPr>
            <w:tcW w:type="dxa" w:w="1234"/>
          </w:tcPr>
          <w:p>
            <w:pPr/>
            <w:r/>
            <w:r>
              <w:rPr/>
            </w:r>
            <w:r>
              <w:rPr>
                <w:b w:val="0"/>
              </w:rPr>
              <w:t>Kali/tahun (min)</w:t>
            </w:r>
          </w:p>
        </w:tc>
        <w:tc>
          <w:tcPr>
            <w:tcW w:type="dxa" w:w="1234"/>
          </w:tcPr>
          <w:p>
            <w:pPr/>
            <w:r/>
            <w:r>
              <w:rPr/>
            </w:r>
            <w:r>
              <w:rPr>
                <w:b w:val="0"/>
              </w:rPr>
              <w:t>≥1 (R4)</w:t>
            </w:r>
          </w:p>
        </w:tc>
        <w:tc>
          <w:tcPr>
            <w:tcW w:type="dxa" w:w="1234"/>
          </w:tcPr>
          <w:p>
            <w:pPr/>
            <w:r/>
            <w:r>
              <w:rPr/>
            </w:r>
            <w:r>
              <w:rPr>
                <w:b w:val="0"/>
              </w:rPr>
              <w:t>1</w:t>
            </w:r>
          </w:p>
        </w:tc>
        <w:tc>
          <w:tcPr>
            <w:tcW w:type="dxa" w:w="1234"/>
          </w:tcPr>
          <w:p>
            <w:pPr/>
            <w:r/>
            <w:r>
              <w:rPr/>
            </w:r>
            <w:r>
              <w:rPr>
                <w:b w:val="0"/>
              </w:rPr>
              <w:t>1</w:t>
            </w:r>
          </w:p>
        </w:tc>
        <w:tc>
          <w:tcPr>
            <w:tcW w:type="dxa" w:w="1234"/>
          </w:tcPr>
          <w:p>
            <w:pPr/>
            <w:r/>
            <w:r>
              <w:rPr/>
            </w:r>
            <w:r>
              <w:rPr>
                <w:b w:val="0"/>
              </w:rPr>
              <w:t>1</w:t>
            </w:r>
          </w:p>
        </w:tc>
      </w:tr>
      <w:tr>
        <w:tc>
          <w:tcPr>
            <w:tcW w:type="dxa" w:w="1234"/>
          </w:tcPr>
          <w:p>
            <w:pPr/>
            <w:r/>
            <w:r>
              <w:rPr/>
            </w:r>
            <w:r>
              <w:rPr>
                <w:b w:val="0"/>
              </w:rPr>
              <w:t>5</w:t>
            </w:r>
          </w:p>
        </w:tc>
        <w:tc>
          <w:tcPr>
            <w:tcW w:type="dxa" w:w="1234"/>
          </w:tcPr>
          <w:p>
            <w:pPr/>
            <w:r/>
            <w:r>
              <w:rPr/>
            </w:r>
            <w:r>
              <w:rPr>
                <w:b w:val="0"/>
              </w:rPr>
              <w:t>Frekuensi monev pengelolaan PkM [IKU]</w:t>
            </w:r>
          </w:p>
        </w:tc>
        <w:tc>
          <w:tcPr>
            <w:tcW w:type="dxa" w:w="1234"/>
          </w:tcPr>
          <w:p>
            <w:pPr/>
            <w:r/>
            <w:r>
              <w:rPr/>
            </w:r>
            <w:r>
              <w:rPr>
                <w:b w:val="0"/>
              </w:rPr>
              <w:t>Kali/tahun (min)</w:t>
            </w:r>
          </w:p>
        </w:tc>
        <w:tc>
          <w:tcPr>
            <w:tcW w:type="dxa" w:w="1234"/>
          </w:tcPr>
          <w:p>
            <w:pPr/>
            <w:r/>
            <w:r>
              <w:rPr/>
            </w:r>
            <w:r>
              <w:rPr>
                <w:b w:val="0"/>
              </w:rPr>
              <w:t>≥1 (R4)</w:t>
            </w:r>
          </w:p>
        </w:tc>
        <w:tc>
          <w:tcPr>
            <w:tcW w:type="dxa" w:w="1234"/>
          </w:tcPr>
          <w:p>
            <w:pPr/>
            <w:r/>
            <w:r>
              <w:rPr/>
            </w:r>
            <w:r>
              <w:rPr>
                <w:b w:val="0"/>
              </w:rPr>
              <w:t>1</w:t>
            </w:r>
          </w:p>
        </w:tc>
        <w:tc>
          <w:tcPr>
            <w:tcW w:type="dxa" w:w="1234"/>
          </w:tcPr>
          <w:p>
            <w:pPr/>
            <w:r/>
            <w:r>
              <w:rPr/>
            </w:r>
            <w:r>
              <w:rPr>
                <w:b w:val="0"/>
              </w:rPr>
              <w:t>1</w:t>
            </w:r>
          </w:p>
        </w:tc>
        <w:tc>
          <w:tcPr>
            <w:tcW w:type="dxa" w:w="1234"/>
          </w:tcPr>
          <w:p>
            <w:pPr/>
            <w:r/>
            <w:r>
              <w:rPr/>
            </w:r>
            <w:r>
              <w:rPr>
                <w:b w:val="0"/>
              </w:rPr>
              <w:t>1</w:t>
            </w:r>
          </w:p>
        </w:tc>
      </w:tr>
      <w:tr>
        <w:tc>
          <w:tcPr>
            <w:tcW w:type="dxa" w:w="1234"/>
          </w:tcPr>
          <w:p>
            <w:pPr/>
            <w:r/>
            <w:r>
              <w:rPr/>
            </w:r>
            <w:r>
              <w:rPr>
                <w:b w:val="0"/>
              </w:rPr>
              <w:t>6</w:t>
            </w:r>
          </w:p>
        </w:tc>
        <w:tc>
          <w:tcPr>
            <w:tcW w:type="dxa" w:w="1234"/>
          </w:tcPr>
          <w:p>
            <w:pPr/>
            <w:r/>
            <w:r>
              <w:rPr/>
            </w:r>
            <w:r>
              <w:rPr>
                <w:b w:val="0"/>
              </w:rPr>
              <w:t>Persentase rekomendasi monev/AMI PkM yang ditindaklanjuti [IKU - baru]</w:t>
            </w:r>
          </w:p>
        </w:tc>
        <w:tc>
          <w:tcPr>
            <w:tcW w:type="dxa" w:w="1234"/>
          </w:tcPr>
          <w:p>
            <w:pPr/>
            <w:r/>
            <w:r>
              <w:rPr/>
            </w:r>
            <w:r>
              <w:rPr>
                <w:b w:val="0"/>
              </w:rPr>
              <w:t>%</w:t>
            </w:r>
          </w:p>
        </w:tc>
        <w:tc>
          <w:tcPr>
            <w:tcW w:type="dxa" w:w="1234"/>
          </w:tcPr>
          <w:p>
            <w:pPr/>
            <w:r/>
            <w:r>
              <w:rPr/>
            </w:r>
            <w:r>
              <w:rPr>
                <w:b w:val="0"/>
              </w:rPr>
              <w:t>≥70-95 (R4)</w:t>
            </w:r>
          </w:p>
        </w:tc>
        <w:tc>
          <w:tcPr>
            <w:tcW w:type="dxa" w:w="1234"/>
          </w:tcPr>
          <w:p>
            <w:pPr/>
            <w:r/>
            <w:r>
              <w:rPr/>
            </w:r>
            <w:r>
              <w:rPr>
                <w:b w:val="0"/>
              </w:rPr>
              <w:t>70</w:t>
            </w:r>
          </w:p>
        </w:tc>
        <w:tc>
          <w:tcPr>
            <w:tcW w:type="dxa" w:w="1234"/>
          </w:tcPr>
          <w:p>
            <w:pPr/>
            <w:r/>
            <w:r>
              <w:rPr/>
            </w:r>
            <w:r>
              <w:rPr>
                <w:b w:val="0"/>
              </w:rPr>
              <w:t>85</w:t>
            </w:r>
          </w:p>
        </w:tc>
        <w:tc>
          <w:tcPr>
            <w:tcW w:type="dxa" w:w="1234"/>
          </w:tcPr>
          <w:p>
            <w:pPr/>
            <w:r/>
            <w:r>
              <w:rPr/>
            </w:r>
            <w:r>
              <w:rPr>
                <w:b w:val="0"/>
              </w:rPr>
              <w:t>95</w:t>
            </w:r>
          </w:p>
        </w:tc>
      </w:tr>
      <w:tr>
        <w:tc>
          <w:tcPr>
            <w:tcW w:type="dxa" w:w="1234"/>
          </w:tcPr>
          <w:p>
            <w:pPr/>
            <w:r/>
            <w:r>
              <w:rPr/>
            </w:r>
            <w:r>
              <w:rPr>
                <w:b w:val="0"/>
              </w:rPr>
              <w:t>7</w:t>
            </w:r>
          </w:p>
        </w:tc>
        <w:tc>
          <w:tcPr>
            <w:tcW w:type="dxa" w:w="1234"/>
          </w:tcPr>
          <w:p>
            <w:pPr/>
            <w:r/>
            <w:r>
              <w:rPr/>
            </w:r>
            <w:r>
              <w:rPr>
                <w:b w:val="0"/>
              </w:rPr>
              <w:t>Ketersediaan dokumen Audit Mutu Internal (AMI) Standar Proses PkM [IKU]</w:t>
            </w:r>
          </w:p>
        </w:tc>
        <w:tc>
          <w:tcPr>
            <w:tcW w:type="dxa" w:w="1234"/>
          </w:tcPr>
          <w:p>
            <w:pPr/>
            <w:r/>
            <w:r>
              <w:rPr/>
            </w:r>
            <w:r>
              <w:rPr>
                <w:b w:val="0"/>
              </w:rPr>
              <w:t>Status</w:t>
            </w:r>
          </w:p>
        </w:tc>
        <w:tc>
          <w:tcPr>
            <w:tcW w:type="dxa" w:w="1234"/>
          </w:tcPr>
          <w:p>
            <w:pPr/>
            <w:r/>
            <w:r>
              <w:rPr/>
            </w:r>
            <w:r>
              <w:rPr>
                <w:b w:val="0"/>
              </w:rPr>
              <w:t>-</w:t>
            </w:r>
          </w:p>
        </w:tc>
        <w:tc>
          <w:tcPr>
            <w:tcW w:type="dxa" w:w="1234"/>
          </w:tcPr>
          <w:p>
            <w:pPr/>
            <w:r/>
            <w:r>
              <w:rPr/>
            </w:r>
            <w:r>
              <w:rPr>
                <w:b w:val="0"/>
              </w:rPr>
              <w:t>Tersedia</w:t>
            </w:r>
          </w:p>
        </w:tc>
        <w:tc>
          <w:tcPr>
            <w:tcW w:type="dxa" w:w="1234"/>
          </w:tcPr>
          <w:p>
            <w:pPr/>
            <w:r/>
            <w:r>
              <w:rPr/>
            </w:r>
            <w:r>
              <w:rPr>
                <w:b w:val="0"/>
              </w:rPr>
              <w:t>Tersedia</w:t>
            </w:r>
          </w:p>
        </w:tc>
        <w:tc>
          <w:tcPr>
            <w:tcW w:type="dxa" w:w="1234"/>
          </w:tcPr>
          <w:p>
            <w:pPr/>
            <w:r/>
            <w:r>
              <w:rPr/>
            </w:r>
            <w:r>
              <w:rPr>
                <w:b w:val="0"/>
              </w:rPr>
              <w:t>Tersedia</w:t>
            </w:r>
          </w:p>
        </w:tc>
      </w:tr>
    </w:tbl>
    <w:p>
      <w:pPr/>
    </w:p>
    <w:p>
      <w:pPr>
        <w:spacing w:before="320" w:after="120"/>
      </w:pPr>
      <w:r>
        <w:rPr>
          <w:b/>
          <w:sz w:val="28"/>
        </w:rPr>
        <w:t>DOKUMEN TERKAIT PELAKSANAAN STANDAR</w:t>
      </w:r>
    </w:p>
    <w:p>
      <w:pPr>
        <w:pStyle w:val="ListNumber"/>
        <w:spacing w:after="120"/>
      </w:pPr>
      <w:r>
        <w:rPr/>
        <w:t>Dokumen kebijakan dan penetapan Standar Proses PkM Program Studi Teknik Informatika (Surat Keputusan Rektor).</w:t>
      </w:r>
    </w:p>
    <w:p>
      <w:pPr>
        <w:pStyle w:val="ListNumber"/>
        <w:spacing w:after="120"/>
      </w:pPr>
      <w:r>
        <w:rPr/>
        <w:t>Dokumen Rencana Induk PkM (RIP)/roadmap PkM fakultas dan program studi beserta bukti sosialisasi.</w:t>
      </w:r>
    </w:p>
    <w:p>
      <w:pPr>
        <w:pStyle w:val="ListNumber"/>
        <w:spacing w:after="120"/>
      </w:pPr>
      <w:r>
        <w:rPr/>
        <w:t>Checklist dan dokumentasi bukti proses PkM (tata cara review, instrumen penilaian, legalitas reviewer, hasil review, legalitas penugasan/kerja sama, kontrak, berita acara monev, laporan AMI, dokumentasi luaran).</w:t>
      </w:r>
    </w:p>
    <w:p>
      <w:pPr>
        <w:pStyle w:val="ListNumber"/>
        <w:spacing w:after="120"/>
      </w:pPr>
      <w:r>
        <w:rPr/>
        <w:t>Dokumen pemetaan judul PkM terhadap roadmap/RIP per tahun akademik.</w:t>
      </w:r>
    </w:p>
    <w:p>
      <w:pPr>
        <w:pStyle w:val="ListNumber"/>
        <w:spacing w:after="120"/>
      </w:pPr>
      <w:r>
        <w:rPr/>
        <w:t>Dokumen keterlibatan mahasiswa dalam PkM dosen (daftar judul dan daftar mahasiswa terlibat).</w:t>
      </w:r>
    </w:p>
    <w:p>
      <w:pPr>
        <w:pStyle w:val="ListNumber"/>
        <w:spacing w:after="120"/>
      </w:pPr>
      <w:r>
        <w:rPr/>
        <w:t>Dokumen verifikasi keselamatan kerja (K3) pada proposal PkM dan laporan insiden (jika ada).</w:t>
      </w:r>
    </w:p>
    <w:p>
      <w:pPr>
        <w:pStyle w:val="ListNumber"/>
        <w:spacing w:after="120"/>
      </w:pPr>
      <w:r>
        <w:rPr/>
        <w:t>Dokumen kerja sama PkM (MoU/MoA) dengan DUDI, instansi pemerintah, dan perguruan tinggi nasional/internasional beserta laporan kegiatan.</w:t>
      </w:r>
    </w:p>
    <w:p>
      <w:pPr>
        <w:pStyle w:val="ListNumber"/>
        <w:spacing w:after="120"/>
      </w:pPr>
      <w:r>
        <w:rPr/>
        <w:t>Dokumen etika PkM dan laporan pelanggaran (jika ada).</w:t>
      </w:r>
    </w:p>
    <w:p>
      <w:pPr>
        <w:pStyle w:val="ListNumber"/>
        <w:spacing w:after="120"/>
      </w:pPr>
      <w:r>
        <w:rPr/>
        <w:t>Laporan Monitoring dan Evaluasi (Monev) proses PkM dan pengelolaan PkM, beserta rekap persentase tindak lanjut rekomendasi.</w:t>
      </w:r>
    </w:p>
    <w:p>
      <w:pPr>
        <w:pStyle w:val="ListNumber"/>
        <w:spacing w:after="120"/>
      </w:pPr>
      <w:r>
        <w:rPr/>
        <w:t>Laporan Audit Mutu Internal (AMI) dan Berita Acara Rapat Tinjauan Manajemen (RTM) atas Standar Proses PkM.</w:t>
      </w:r>
    </w:p>
    <w:p>
      <w:pPr>
        <w:pStyle w:val="ListNumber"/>
        <w:spacing w:after="120"/>
      </w:pPr>
      <w:r>
        <w:rPr/>
        <w:t>Rencana Tindak Lanjut (RTL) hasil evaluasi dan AMI periode berjalan.</w:t>
      </w:r>
    </w:p>
    <w:p>
      <w:pPr>
        <w:pStyle w:val="ListNumber"/>
        <w:spacing w:after="120"/>
      </w:pPr>
      <w:r>
        <w:rPr/>
        <w:t>Dokumen pemetaan gap Standar Proses PkM terhadap 5 dokumen rujukan (standarprosespkm.docx).</w:t>
      </w:r>
    </w:p>
    <w:p>
      <w:pPr>
        <w:pStyle w:val="ListNumber"/>
        <w:spacing w:after="120"/>
      </w:pPr>
      <w:r>
        <w:rPr/>
        <w:t>Dokumen root-cause analysis dan SWOT tahunan atas Standar Proses PkM, sesuai template Standar Penjaminan Mutu Internal FTII, beserta berita acara pembahasannya dalam RTM.</w:t>
      </w:r>
    </w:p>
    <w:p>
      <w:pPr>
        <w:spacing w:before="320" w:after="120"/>
      </w:pPr>
      <w:r>
        <w:rPr>
          <w:b/>
          <w:sz w:val="28"/>
        </w:rPr>
        <w:t>REFERENSI</w:t>
      </w:r>
    </w:p>
    <w:p>
      <w:pPr>
        <w:pStyle w:val="ListNumber"/>
        <w:spacing w:after="120"/>
      </w:pPr>
      <w:r>
        <w:rPr/>
        <w:t>Undang-Undang Republik Indonesia Nomor 12 Tahun 2012 tentang Pendidikan Tinggi.</w:t>
      </w:r>
    </w:p>
    <w:p>
      <w:pPr>
        <w:pStyle w:val="ListNumber"/>
        <w:spacing w:after="120"/>
      </w:pPr>
      <w:r>
        <w:rPr/>
        <w:t>Peraturan Pemerintah Republik Indonesia Nomor 4 Tahun 2014 tentang Penyelenggaraan Pendidikan Tinggi dan Pengelolaan Perguruan Tinggi.</w:t>
      </w:r>
    </w:p>
    <w:p>
      <w:pPr>
        <w:pStyle w:val="ListNumber"/>
        <w:spacing w:after="120"/>
      </w:pPr>
      <w:r>
        <w:rPr/>
        <w:t>Peraturan Menteri Pendidikan, Kebudayaan, Riset, dan Teknologi Republik Indonesia Nomor 53 Tahun 2023 tentang Penjaminan Mutu Pendidikan Tinggi.</w:t>
      </w:r>
    </w:p>
    <w:p>
      <w:pPr>
        <w:pStyle w:val="ListNumber"/>
        <w:spacing w:after="120"/>
      </w:pPr>
      <w:r>
        <w:rPr/>
        <w:t>Matriks Penilaian Laporan Evaluasi Diri dan Laporan Kinerja Program Studi LAM Teknik APS-AV 2025 1.0.</w:t>
      </w:r>
    </w:p>
    <w:p>
      <w:pPr>
        <w:pStyle w:val="ListNumber"/>
        <w:spacing w:after="120"/>
      </w:pPr>
      <w:r>
        <w:rPr/>
        <w:t>Kriteria Terakreditasi Unggul 2.1 LAM INFOKOM.</w:t>
      </w:r>
    </w:p>
    <w:p>
      <w:pPr>
        <w:pStyle w:val="ListNumber"/>
        <w:spacing w:after="120"/>
      </w:pPr>
      <w:r>
        <w:rPr/>
        <w:t>Peraturan Lembaga Akreditasi Mandiri Informatika dan Komputer Nomor 11/PERLAM/MA/LAM-INFOKOM/X/2025 tentang Instrumen Akreditasi Program Studi 2.1 Lingkup Informatika dan Komputer.</w:t>
      </w:r>
    </w:p>
    <w:p>
      <w:pPr>
        <w:pStyle w:val="ListNumber"/>
        <w:spacing w:after="120"/>
      </w:pPr>
      <w:r>
        <w:rPr/>
        <w:t>Rencana Strategis (Renstra) Universitas Stikubank (UNISBANK) Semarang.</w:t>
      </w:r>
    </w:p>
    <w:p>
      <w:pPr>
        <w:pStyle w:val="ListNumber"/>
        <w:spacing w:after="120"/>
      </w:pPr>
      <w:r>
        <w:rPr/>
        <w:t>Standar Penjaminan Mutu Internal FTII Universitas Stikubank (UNISBANK) Semarang versi Unggul.</w:t>
      </w:r>
    </w:p>
    <w:p>
      <w:pPr>
        <w:pStyle w:val="ListNumber"/>
        <w:spacing w:after="120"/>
      </w:pPr>
      <w:r>
        <w:rPr/>
        <w:t>Standar Masukan PkM dan Standar Luaran PkM Program Studi Teknik Informatika Universitas Stikubank (UNISBANK) Semarang versi Unggul.</w:t>
      </w:r>
    </w:p>
    <w:p>
      <w:pPr>
        <w:pStyle w:val="ListNumber"/>
        <w:spacing w:after="120"/>
      </w:pPr>
      <w:r>
        <w:rPr/>
        <w:t>Dokumen pemetaan gap Standar Proses PkM Program Studi Teknik Informatika terhadap 5 dokumen rujukan (standarprosespkm.docx).</w:t>
      </w:r>
    </w:p>
    <w:p>
      <w:pPr/>
    </w:p>
    <w:p>
      <w:pPr>
        <w:jc w:val="right"/>
      </w:pPr>
      <w:r>
        <w:rPr>
          <w:i/>
        </w:rPr>
        <w:t>Disusun di Semarang pada tanggal 1 Agustus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