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TATA PAMONG, TATA KELOLA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t>Dokumen ini merupakan revisi ke-2 dari Standar Tata Pamong, Tata Kelola FTII UNISBANK (efektif 24 Desember 2024). Revisi pertama disusun berdasarkan hasil pemetaan terhadap 5 dokumen rujukan (Panduan SPMI Sarjana dan Sarjana Terapan 2024 SK Rektor/R1, Matriks Penilaian LED-LKPS Sarjana APS Akademik dan Vokasi Teknik 2025 LAM Teknik/R2, Kriteria Unggul 2.1 LAM INFOKOM/R3, Dokumen SPMI Fasilkom 2023 rev UPN Veteran Jatim/R4, dan 9. Standar SPMI Tahun 2022 Universitas Trunojoyo Madura/R5), didokumentasikan pada Pemetaan_Standar_Tata_Kelola_FTII_vs_5_Dokumen_Rujukan.docx. Revisi ke-2 ini menutup gap yang ditemukan pada pemetaan kepatuhan terhadap Kriteria C.2 Akuntabilitas Pedoman Penyusunan LEDPS LAM Teknik 2025 (Kepatuhan_Standar_TataKelola_Kerjasama_FTII_vs_Kriteria_C2_LEDPS_LAM_Teknik.docx): analisis SWOT sama sekali tidak disebut pada standar ini — gap yang lebih parah dibanding Standar Visi Misi yang setidaknya sudah mendefinisikannya. Standar ini kini menambahkan kewajiban root-cause analysis dan SWOT tahunan atas tata pamong dan tata kelola, sesuai mekanisme lintas-standar yang diwajibkan Standar Penjaminan Mutu Internal FTII versi Unggul. Seluruh ambang indikator kuantitatif pada dokumen ini ditetapkan setara atau melampaui deskriptor skor tertinggi (skor 4) Kriteria II Akuntabilitas (2.1 Tata Pamong dan Tata Kelola) pada Matriks Penilaian LAM Teknik APS-AV 2025 1.0, serta deskriptor tertinggi Kriteria 5 (Akuntabilitas, butir 5.1-5.5) pada Kriteria Unggul 2.1 LAM INFOKOM.</w:t>
      </w:r>
    </w:p>
    <w:p/>
    <w:p>
      <w:pPr>
        <w:spacing w:before="280" w:after="120"/>
      </w:pPr>
      <w:r>
        <w:rPr>
          <w:b/>
          <w:sz w:val="26"/>
        </w:rPr>
        <w:t>1. RASIONAL</w:t>
      </w:r>
    </w:p>
    <w:p>
      <w:pPr>
        <w:spacing w:after="120"/>
      </w:pPr>
      <w:r>
        <w:rPr>
          <w:b w:val="0"/>
          <w:i w:val="0"/>
        </w:rPr>
        <w:t>Fakultas Teknologi Informasi dan Industri (FTII) UNISBANK menetapkan Standar Tata Pamong dan Tata Kelola sebagai wujud komitmen dalam menyelenggarakan sistem tata pamong dan tata kelola yang efektif, efisien, transparan, akuntabel, bertanggung jawab, berkeadilan, dan berorientasi pada mitigasi risiko, guna mendukung pencapaian visi, misi, tujuan, dan sasaran FTII serta terselenggaranya tridharma perguruan tinggi secara berkualitas.</w:t>
      </w:r>
    </w:p>
    <w:p>
      <w:pPr>
        <w:spacing w:after="120"/>
      </w:pPr>
      <w:r>
        <w:rPr>
          <w:b w:val="0"/>
          <w:i w:val="0"/>
        </w:rPr>
        <w:t>Standar ini disusun tidak hanya untuk memenuhi ketentuan minimal Permendikbudristek Nomor 53 Tahun 2023 tentang Penjaminan Mutu Pendidikan Tinggi, tetapi secara khusus dirancang agar setiap indikator kinerjanya memenuhi atau melampaui ambang skor tertinggi (skor 4) pada Kriteria II Akuntabilitas (2.1 Tata Pamong dan Tata Kelola) Matriks Penilaian LED-LKPS LAM Teknik APS-AV 2025 1.0, serta deskriptor tertinggi pada seluruh sepuluh sub-butir Kriteria 5 (Akuntabilitas: Penetapan, Pelaksanaan, Evaluasi, Pengendalian, Peningkatan) Kriteria Unggul 2.1 LAM INFOKOM.</w:t>
      </w:r>
    </w:p>
    <w:p>
      <w:pPr>
        <w:spacing w:after="120"/>
      </w:pPr>
      <w:r>
        <w:rPr>
          <w:b w:val="0"/>
          <w:i w:val="0"/>
        </w:rPr>
        <w:t>Penyusunan standar ini didasarkan pada hasil pemetaan (gap analysis) terhadap dokumen Standar Tata Pamong, Tata Kelola FTII sebelumnya terhadap kelima dokumen rujukan di atas. Sebagian besar ketentuan FTII telah SELARAS PENUH atau lebih unggul dari kelima rujukan, terutama pada kelengkapan struktur organisasi, penerapan lima fungsi manajemen (identik dengan R5), pedoman pengelolaan multi-aspek yang lebih komprehensif, dan tata kelola keuangan. Pemetaan tersebut juga mengidentifikasi tiga area yang memerlukan penguatan agar setara dengan praktik terbaik akreditasi Unggul: (a) penetapan pernyataan standar dan indikator kinerja eksplisit mengenai komitmen dan kapabilitas manajerial pimpinan UPPS, mengikuti bobot penilaian signifikan pada R1 (butir 2.2.1-2.2.2) dan R2 (Indikator 5); (b) penetapan ambang frekuensi kuantitatif untuk monitoring, evaluasi, dan Audit Mutu Internal (AMI) tata pamong, mengikuti pola R4; dan (c) penguatan cakupan manajemen risiko agar eksplisit mencakup risiko keuangan sejalan dengan R2, serta penambahan indikator survei kepuasan pemangku kepentingan yang terukur.</w:t>
      </w:r>
    </w:p>
    <w:p>
      <w:pPr>
        <w:spacing w:after="120"/>
      </w:pPr>
      <w:r>
        <w:rPr>
          <w:b w:val="0"/>
          <w:i w:val="0"/>
        </w:rPr>
        <w:t>Ketentuan kelembagaan entrepreneur dan kebijakan Pencegahan dan Penanganan Kekerasan Seksual (PPKS) tetap dipertahankan sebagai wujud kepatuhan terhadap Permendikbudristek Nomor 30 Tahun 2021 dan sebagai nilai tambah tata kelola FTII, mengingat kedua aspek tersebut tidak dibahas secara eksplisit sebagai indikator tata pamong pada kelima dokumen rujukan.</w:t>
      </w:r>
    </w:p>
    <w:p>
      <w:pPr>
        <w:spacing w:before="280" w:after="120"/>
      </w:pPr>
      <w:r>
        <w:rPr>
          <w:b/>
          <w:sz w:val="26"/>
        </w:rPr>
        <w:t>2. PIHAK YANG BERTANGGUNG JAWAB</w:t>
      </w:r>
    </w:p>
    <w:p>
      <w:pPr>
        <w:pStyle w:val="ListNumber"/>
        <w:spacing w:after="120"/>
      </w:pPr>
      <w:r>
        <w:t>Penetapan: Rektor menetapkan Standar Tata Pamong dan Tata Kelola FTII berdasarkan usulan dan koordinasi dengan Direktorat Jaminan Mutu (DJM), Wakil Rektor terkait, Dekan FTII, dan Program Studi di lingkungan FTII.</w:t>
      </w:r>
    </w:p>
    <w:p>
      <w:pPr>
        <w:pStyle w:val="ListNumber"/>
        <w:spacing w:after="120"/>
      </w:pPr>
      <w:r>
        <w:t>Pelaksanaan: Rektor, Wakil Rektor, Dekan FTII, Ketua Program Studi, dosen, tenaga kependidikan, dan mahasiswa melaksanakan Standar Tata Pamong dan Tata Kelola sesuai tugas dan kewenangan masing-masing, termasuk penguatan kapabilitas manajerial pimpinan pada seluruh jenjang.</w:t>
      </w:r>
    </w:p>
    <w:p>
      <w:pPr>
        <w:pStyle w:val="ListNumber"/>
        <w:spacing w:after="120"/>
      </w:pPr>
      <w:r>
        <w:t>Evaluasi: Direktorat Jaminan Mutu (DJM), Unit Jaminan Mutu (UJM) Fakultas, dan Gugus Kendali Mutu (GKM) Program Studi melaksanakan monitoring, evaluasi, Audit Mutu Internal (AMI), dan survei kepuasan pemangku kepentingan terhadap tata pamong secara berkala dan terukur.</w:t>
      </w:r>
    </w:p>
    <w:p>
      <w:pPr>
        <w:pStyle w:val="ListNumber"/>
        <w:spacing w:after="120"/>
      </w:pPr>
      <w:r>
        <w:t>Pengendalian: Rektor, Wakil Rektor Bidang Akademik dan Kemahasiswaan, Wakil Rektor Bidang Pengembangan Institusi dan Sumber Daya, Direktorat Jaminan Mutu (DJM), serta Dekan FTII menindaklanjuti hasil monitoring, evaluasi, dan AMI melalui Rapat Tinjauan Manajemen (RTM) dan Rencana Tindak Lanjut (RTL).</w:t>
      </w:r>
    </w:p>
    <w:p>
      <w:pPr>
        <w:pStyle w:val="ListNumber"/>
        <w:spacing w:after="120"/>
      </w:pPr>
      <w:r>
        <w:t>Peningkatan: Rektor, Wakil Rektor, Direktorat Jaminan Mutu (DJM), Dekan FTII, dan Ketua Program Studi merumuskan peningkatan target dan strategi tata pamong berdasarkan hasil evaluasi, perkembangan regulasi, dan kebutuhan pemangku kepentingan, guna menjaga kesetaraan atau keunggulan terhadap kriteria LAM Teknik dan LAM INFOKOM pada setiap siklus Renstra.</w:t>
      </w:r>
    </w:p>
    <w:p>
      <w:pPr>
        <w:spacing w:before="280" w:after="120"/>
      </w:pPr>
      <w:r>
        <w:rPr>
          <w:b/>
          <w:sz w:val="26"/>
        </w:rPr>
        <w:t>3. PERNYATAAN STANDAR</w:t>
      </w:r>
    </w:p>
    <w:p>
      <w:pPr>
        <w:pStyle w:val="ListNumber"/>
        <w:spacing w:after="120"/>
      </w:pPr>
      <w:r>
        <w:t>FTII wajib memiliki Statuta, Struktur Organisasi, serta Organisasi dan Tata Kerja (OTK) yang menjadi dasar tata pamong dan tata kelola, dengan tingkat keefektifan pelaksanaan tugas dan fungsi UPPS/Program Studi paling sedikit 95% terhadap SOP yang ditetapkan, dibuktikan dengan Rapat Tinjauan Manajemen (RTM) rutin paling sedikit 2 (dua) kali per tahun.</w:t>
      </w:r>
    </w:p>
    <w:p>
      <w:pPr>
        <w:pStyle w:val="ListNumber"/>
        <w:spacing w:after="120"/>
      </w:pPr>
      <w:r>
        <w:t>FTII wajib menerapkan sistem tata pamong yang memenuhi 6 (enam) aspek Good University Governance (GUG): kredibilitas, transparansi, akuntabilitas, tanggung jawab, keadilan, dan manajemen risiko (mencakup risiko akademik, operasional, dan keuangan), dibuktikan dengan praktik baik (best practices) yang terdokumentasi pada seluruh 6 aspek setiap tahun.</w:t>
      </w:r>
    </w:p>
    <w:p>
      <w:pPr>
        <w:pStyle w:val="ListNumber"/>
        <w:spacing w:after="120"/>
      </w:pPr>
      <w:r>
        <w:t>Dekan FTII dan Ketua Program Studi wajib menunjukkan komitmen kepemimpinan yang mencakup: (a) komitmen terhadap visi dan tujuan organisasi; (b) integritas dan transparansi; dan (c) pengembangan sumber daya, serta menunjukkan kapabilitas manajerial dalam kepemimpinan, pengambilan keputusan, dan manajemen konflik, diukur melalui instrumen evaluasi kepemimpinan paling sedikit 1 (satu) kali per tahun dengan hasil paling sedikit 80% aspek terpenuhi, meningkat menuju paling sedikit 90%.</w:t>
      </w:r>
    </w:p>
    <w:p>
      <w:pPr>
        <w:pStyle w:val="ListNumber"/>
        <w:spacing w:after="120"/>
      </w:pPr>
      <w:r>
        <w:t>Universitas dan FTII wajib memiliki sistem pengelolaan berbasis 5 (lima) fungsi manajemen (perencanaan, pengorganisasian, penempatan personil, pengarahan, dan pengawasan) yang didokumentasikan pada setiap unit kerja, dengan persentase unit kerja yang memiliki dokumen lengkap paling sedikit 95% pada tahun pertama, meningkat menjadi 100% pada tahun berikutnya.</w:t>
      </w:r>
    </w:p>
    <w:p>
      <w:pPr>
        <w:pStyle w:val="ListNumber"/>
        <w:spacing w:after="120"/>
      </w:pPr>
      <w:r>
        <w:t>Universitas dan FTII wajib memiliki Renstra dan Renop yang menjadi dasar program kerja dan alokasi sumber daya, dengan tingkat keterlaksanaan program kerja terhadap Renop paling sedikit 90% setiap tahun.</w:t>
      </w:r>
    </w:p>
    <w:p>
      <w:pPr>
        <w:pStyle w:val="ListNumber"/>
        <w:spacing w:after="120"/>
      </w:pPr>
      <w:r>
        <w:t>Universitas dan FTII wajib melaksanakan monitoring dan evaluasi (Monev) terhadap pelaksanaan fungsi manajemen dan tata kelola pada setiap unit kerja paling sedikit 1 (satu) kali per tahun, serta melaksanakan Audit Mutu Internal (AMI) atas tata pamong paling sedikit 1 (satu) kali per tahun dengan tindak lanjut Rencana Tindak Lanjut (RTL) yang diselesaikan paling sedikit 80% pada tahun berjalan.</w:t>
      </w:r>
    </w:p>
    <w:p>
      <w:pPr>
        <w:pStyle w:val="ListNumber"/>
        <w:spacing w:after="120"/>
      </w:pPr>
      <w:r>
        <w:t>Universitas dan FTII wajib memiliki kebijakan dan sistem pengelolaan data dan informasi berbasis Teknologi Informasi dan Komunikasi (TIK) yang terintegrasi, aman, dan mendukung pengambilan keputusan berbasis data, dengan tingkat ketersediaan (uptime) sistem paling sedikit 95% per tahun.</w:t>
      </w:r>
    </w:p>
    <w:p>
      <w:pPr>
        <w:pStyle w:val="ListNumber"/>
        <w:spacing w:after="120"/>
      </w:pPr>
      <w:r>
        <w:t>FTII dan Program Studi wajib memiliki kebijakan pengelolaan akademik, uraian tugas (job description), dan mekanisme pengambilan keputusan yang terdokumentasi dan diimplementasikan pada 100% unit kerja di lingkungan FTII.</w:t>
      </w:r>
    </w:p>
    <w:p>
      <w:pPr>
        <w:pStyle w:val="ListNumber"/>
        <w:spacing w:after="120"/>
      </w:pPr>
      <w:r>
        <w:t>Universitas dan FTII wajib menyediakan dokumen formal dan pedoman pengelolaan yang mencakup sekurang-kurangnya 11 (sebelas) aspek (pendidikan; suasana akademik dan otonomi keilmuan; kemahasiswaan; penelitian; pengabdian kepada masyarakat; SDM; keuangan; sarana dan prasarana; sistem informasi; sistem penjaminan mutu; dan kerja sama), dengan tingkat kelengkapan dan keterlaksanaan pedoman paling sedikit 95%, meningkat menuju 100%.</w:t>
      </w:r>
    </w:p>
    <w:p>
      <w:pPr>
        <w:pStyle w:val="ListNumber"/>
        <w:spacing w:after="120"/>
      </w:pPr>
      <w:r>
        <w:t>Universitas wajib memiliki kebijakan, pedoman, dan sistem penerimaan mahasiswa baru yang transparan, objektif, dan akuntabel, dengan perluasan akses melalui beasiswa, Rekognisi Pembelajaran Lampau (RPL), dan pembelajaran jarak jauh (PJJ), disertai bukti tren peningkatan jumlah pendaftar paling sedikit 3% per tahun.</w:t>
      </w:r>
    </w:p>
    <w:p>
      <w:pPr>
        <w:pStyle w:val="ListNumber"/>
        <w:spacing w:after="120"/>
      </w:pPr>
      <w:r>
        <w:t>Universitas wajib memiliki dan mengimplementasikan kebijakan Pencegahan dan Penanganan Kekerasan Seksual (PPKS), perundungan, dan intoleransi, membentuk Tim Satuan Tugas PPKS dan Komite Integritas Akademik, serta menyelesaikan 100% laporan yang diterima sesuai prosedur dan tenggat waktu yang ditetapkan.</w:t>
      </w:r>
    </w:p>
    <w:p>
      <w:pPr>
        <w:pStyle w:val="ListNumber"/>
        <w:spacing w:after="120"/>
      </w:pPr>
      <w:r>
        <w:t>Universitas wajib melaksanakan audit eksternal keuangan paling sedikit 1 (satu) kali per tahun oleh kantor akuntan publik/auditor independen, dengan tindak lanjut rekomendasi audit diselesaikan paling sedikit 90% dalam 1 (satu) tahun, serta menerapkan manajemen risiko keuangan yang terdokumentasi.</w:t>
      </w:r>
    </w:p>
    <w:p>
      <w:pPr>
        <w:pStyle w:val="ListNumber"/>
        <w:spacing w:after="120"/>
      </w:pPr>
      <w:r>
        <w:t>Universitas dan FTII wajib melaksanakan survei kepuasan pemangku kepentingan (dosen, tenaga kependidikan, mahasiswa, dan pemangku kepentingan eksternal) terhadap tata pamong dan tata kelola paling sedikit 1 (satu) kali per tahun, dengan target tingkat kepuasan paling sedikit 80% pada tahun pertama, meningkat menjadi paling sedikit 90% pada akhir siklus Renstra, serta hasilnya ditindaklanjuti sebagai dasar peningkatan mutu.</w:t>
      </w:r>
    </w:p>
    <w:p>
      <w:pPr>
        <w:pStyle w:val="ListNumber"/>
        <w:spacing w:after="120"/>
      </w:pPr>
      <w:r>
        <w:t>Universitas dan FTII wajib mengembangkan kelembagaan entrepreneur yang aktif dan terdokumentasi sebagai bagian penguatan inovasi dan keberlanjutan tata kelola institusi.</w:t>
      </w:r>
    </w:p>
    <w:p>
      <w:pPr>
        <w:pStyle w:val="ListNumber"/>
        <w:spacing w:after="120"/>
      </w:pPr>
      <w:r>
        <w:t>Universitas dan FTII wajib menerapkan siklus Penetapan, Pelaksanaan, Evaluasi, Pengendalian, dan Peningkatan (PPEPP) pada seluruh aspek tata pamong dan tata kelola secara terdokumentasi dan berkelanjutan.</w:t>
      </w:r>
    </w:p>
    <w:p>
      <w:pPr>
        <w:pStyle w:val="ListNumber"/>
        <w:spacing w:after="120"/>
      </w:pPr>
      <w:r>
        <w:t>*Universitas dan FTII wajib melaksanakan Analisis Faktor Keberhasilan dan Penghambat (root-cause analysis) serta analisis SWOT atas ketercapaian tata pamong dan tata kelola paling sedikit 1 (satu) kali setiap tahun akademik, sesuai mekanisme yang diwajibkan Standar Penjaminan Mutu Internal FTII bagi seluruh standar turunan, sebagai bagian wajib pembahasan Rapat Tinjauan Manajemen (RTM) dan dasar penyusunan Rencana Tindak Lanjut (RTL).</w:t>
      </w:r>
    </w:p>
    <w:p>
      <w:pPr>
        <w:spacing w:after="120"/>
      </w:pPr>
      <w:r>
        <w:rPr>
          <w:i/>
        </w:rPr>
        <w:t>Catatan: pernyataan bertanda (*) adalah ketentuan BARU pada revisi ke-2 untuk menutup gap hasil pemetaan Kriteria C.2 LEDPS LAM Teknik 2025.</w:t>
      </w:r>
    </w:p>
    <w:p>
      <w:pPr>
        <w:spacing w:before="280" w:after="120"/>
      </w:pPr>
      <w:r>
        <w:rPr>
          <w:b/>
          <w:sz w:val="26"/>
        </w:rPr>
        <w:t>4. INDIKATOR KINERJA (IKU / IKT)</w:t>
      </w:r>
    </w:p>
    <w:p>
      <w:pPr>
        <w:spacing w:after="120"/>
      </w:pPr>
      <w:r>
        <w:rPr>
          <w:b w:val="0"/>
          <w:i w:val="0"/>
        </w:rPr>
        <w:t>Seluruh ambang Indikator Kinerja Utama (IKU) pada tabel berikut ditetapkan setara dengan atau melampaui ambang skor tertinggi (skor 4) Kriteria II Akuntabilitas Matriks Penilaian LAM Teknik APS-AV 2025 1.0 dan deskriptor tertinggi Kriteria 5 (Akuntabilitas) Kriteria Unggul 2.1 LAM INFOKOM, sehingga pencapaiannya secara langsung mendukung kesiapan akreditasi Unggul.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dan keefektifan Statuta, Struktur Organisasi, dan OTK (kesesuaian tugas/fungsi terhadap SOP)</w:t>
            </w:r>
          </w:p>
        </w:tc>
        <w:tc>
          <w:tcPr>
            <w:tcW w:type="dxa" w:w="1728"/>
          </w:tcPr>
          <w:p>
            <w:r/>
            <w:r>
              <w:rPr>
                <w:b w:val="0"/>
                <w:sz w:val="19"/>
              </w:rPr>
              <w:t>≥95%</w:t>
            </w:r>
          </w:p>
        </w:tc>
        <w:tc>
          <w:tcPr>
            <w:tcW w:type="dxa" w:w="1728"/>
          </w:tcPr>
          <w:p>
            <w:r/>
            <w:r>
              <w:rPr>
                <w:b w:val="0"/>
                <w:sz w:val="19"/>
              </w:rPr>
              <w:t>≥98%</w:t>
            </w:r>
          </w:p>
        </w:tc>
        <w:tc>
          <w:tcPr>
            <w:tcW w:type="dxa" w:w="1728"/>
          </w:tcPr>
          <w:p>
            <w:r/>
            <w:r>
              <w:rPr>
                <w:b w:val="0"/>
                <w:sz w:val="19"/>
              </w:rPr>
              <w:t>100%</w:t>
            </w:r>
          </w:p>
        </w:tc>
      </w:tr>
      <w:tr>
        <w:tc>
          <w:tcPr>
            <w:tcW w:type="dxa" w:w="1728"/>
          </w:tcPr>
          <w:p>
            <w:r/>
            <w:r>
              <w:rPr>
                <w:b w:val="0"/>
                <w:sz w:val="19"/>
              </w:rPr>
              <w:t>2</w:t>
            </w:r>
          </w:p>
        </w:tc>
        <w:tc>
          <w:tcPr>
            <w:tcW w:type="dxa" w:w="1728"/>
          </w:tcPr>
          <w:p>
            <w:r/>
            <w:r>
              <w:rPr>
                <w:b w:val="0"/>
                <w:sz w:val="19"/>
              </w:rPr>
              <w:t>Frekuensi Rapat Tinjauan Manajemen (RTM) per tahun</w:t>
            </w:r>
          </w:p>
        </w:tc>
        <w:tc>
          <w:tcPr>
            <w:tcW w:type="dxa" w:w="1728"/>
          </w:tcPr>
          <w:p>
            <w:r/>
            <w:r>
              <w:rPr>
                <w:b w:val="0"/>
                <w:sz w:val="19"/>
              </w:rPr>
              <w:t>≥2 kali</w:t>
            </w:r>
          </w:p>
        </w:tc>
        <w:tc>
          <w:tcPr>
            <w:tcW w:type="dxa" w:w="1728"/>
          </w:tcPr>
          <w:p>
            <w:r/>
            <w:r>
              <w:rPr>
                <w:b w:val="0"/>
                <w:sz w:val="19"/>
              </w:rPr>
              <w:t>≥2 kali</w:t>
            </w:r>
          </w:p>
        </w:tc>
        <w:tc>
          <w:tcPr>
            <w:tcW w:type="dxa" w:w="1728"/>
          </w:tcPr>
          <w:p>
            <w:r/>
            <w:r>
              <w:rPr>
                <w:b w:val="0"/>
                <w:sz w:val="19"/>
              </w:rPr>
              <w:t>≥2 kali</w:t>
            </w:r>
          </w:p>
        </w:tc>
      </w:tr>
      <w:tr>
        <w:tc>
          <w:tcPr>
            <w:tcW w:type="dxa" w:w="1728"/>
          </w:tcPr>
          <w:p>
            <w:r/>
            <w:r>
              <w:rPr>
                <w:b w:val="0"/>
                <w:sz w:val="19"/>
              </w:rPr>
              <w:t>3</w:t>
            </w:r>
          </w:p>
        </w:tc>
        <w:tc>
          <w:tcPr>
            <w:tcW w:type="dxa" w:w="1728"/>
          </w:tcPr>
          <w:p>
            <w:r/>
            <w:r>
              <w:rPr>
                <w:b w:val="0"/>
                <w:sz w:val="19"/>
              </w:rPr>
              <w:t>Pemenuhan aspek Good University Governance (dari 6 aspek: kredibel, transparan, akuntabel, tanggung jawab, adil, manajemen risiko)</w:t>
            </w:r>
          </w:p>
        </w:tc>
        <w:tc>
          <w:tcPr>
            <w:tcW w:type="dxa" w:w="1728"/>
          </w:tcPr>
          <w:p>
            <w:r/>
            <w:r>
              <w:rPr>
                <w:b w:val="0"/>
                <w:sz w:val="19"/>
              </w:rPr>
              <w:t>6 dari 6 aspek</w:t>
            </w:r>
          </w:p>
        </w:tc>
        <w:tc>
          <w:tcPr>
            <w:tcW w:type="dxa" w:w="1728"/>
          </w:tcPr>
          <w:p>
            <w:r/>
            <w:r>
              <w:rPr>
                <w:b w:val="0"/>
                <w:sz w:val="19"/>
              </w:rPr>
              <w:t>6 dari 6 aspek</w:t>
            </w:r>
          </w:p>
        </w:tc>
        <w:tc>
          <w:tcPr>
            <w:tcW w:type="dxa" w:w="1728"/>
          </w:tcPr>
          <w:p>
            <w:r/>
            <w:r>
              <w:rPr>
                <w:b w:val="0"/>
                <w:sz w:val="19"/>
              </w:rPr>
              <w:t>6 dari 6 aspek</w:t>
            </w:r>
          </w:p>
        </w:tc>
      </w:tr>
      <w:tr>
        <w:tc>
          <w:tcPr>
            <w:tcW w:type="dxa" w:w="1728"/>
          </w:tcPr>
          <w:p>
            <w:r/>
            <w:r>
              <w:rPr>
                <w:b w:val="0"/>
                <w:sz w:val="19"/>
              </w:rPr>
              <w:t>4</w:t>
            </w:r>
          </w:p>
        </w:tc>
        <w:tc>
          <w:tcPr>
            <w:tcW w:type="dxa" w:w="1728"/>
          </w:tcPr>
          <w:p>
            <w:r/>
            <w:r>
              <w:rPr>
                <w:b w:val="0"/>
                <w:sz w:val="19"/>
              </w:rPr>
              <w:t>Hasil evaluasi komitmen kepemimpinan &amp; kapabilitas manajerial pimpinan UPPS/Prodi</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r>
        <w:tc>
          <w:tcPr>
            <w:tcW w:type="dxa" w:w="1728"/>
          </w:tcPr>
          <w:p>
            <w:r/>
            <w:r>
              <w:rPr>
                <w:b w:val="0"/>
                <w:sz w:val="19"/>
              </w:rPr>
              <w:t>5</w:t>
            </w:r>
          </w:p>
        </w:tc>
        <w:tc>
          <w:tcPr>
            <w:tcW w:type="dxa" w:w="1728"/>
          </w:tcPr>
          <w:p>
            <w:r/>
            <w:r>
              <w:rPr>
                <w:b w:val="0"/>
                <w:sz w:val="19"/>
              </w:rPr>
              <w:t>Persentase unit kerja dengan dokumen fungsi manajemen (planning-organizing-staffing-leading-controlling) lengkap</w:t>
            </w:r>
          </w:p>
        </w:tc>
        <w:tc>
          <w:tcPr>
            <w:tcW w:type="dxa" w:w="1728"/>
          </w:tcPr>
          <w:p>
            <w:r/>
            <w:r>
              <w:rPr>
                <w:b w:val="0"/>
                <w:sz w:val="19"/>
              </w:rPr>
              <w:t>≥95%</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6</w:t>
            </w:r>
          </w:p>
        </w:tc>
        <w:tc>
          <w:tcPr>
            <w:tcW w:type="dxa" w:w="1728"/>
          </w:tcPr>
          <w:p>
            <w:r/>
            <w:r>
              <w:rPr>
                <w:b w:val="0"/>
                <w:sz w:val="19"/>
              </w:rPr>
              <w:t>Persentase keterlaksanaan program kerja terhadap Renop</w:t>
            </w:r>
          </w:p>
        </w:tc>
        <w:tc>
          <w:tcPr>
            <w:tcW w:type="dxa" w:w="1728"/>
          </w:tcPr>
          <w:p>
            <w:r/>
            <w:r>
              <w:rPr>
                <w:b w:val="0"/>
                <w:sz w:val="19"/>
              </w:rPr>
              <w:t>≥90%</w:t>
            </w:r>
          </w:p>
        </w:tc>
        <w:tc>
          <w:tcPr>
            <w:tcW w:type="dxa" w:w="1728"/>
          </w:tcPr>
          <w:p>
            <w:r/>
            <w:r>
              <w:rPr>
                <w:b w:val="0"/>
                <w:sz w:val="19"/>
              </w:rPr>
              <w:t>≥93%</w:t>
            </w:r>
          </w:p>
        </w:tc>
        <w:tc>
          <w:tcPr>
            <w:tcW w:type="dxa" w:w="1728"/>
          </w:tcPr>
          <w:p>
            <w:r/>
            <w:r>
              <w:rPr>
                <w:b w:val="0"/>
                <w:sz w:val="19"/>
              </w:rPr>
              <w:t>≥95%</w:t>
            </w:r>
          </w:p>
        </w:tc>
      </w:tr>
      <w:tr>
        <w:tc>
          <w:tcPr>
            <w:tcW w:type="dxa" w:w="1728"/>
          </w:tcPr>
          <w:p>
            <w:r/>
            <w:r>
              <w:rPr>
                <w:b w:val="0"/>
                <w:sz w:val="19"/>
              </w:rPr>
              <w:t>7</w:t>
            </w:r>
          </w:p>
        </w:tc>
        <w:tc>
          <w:tcPr>
            <w:tcW w:type="dxa" w:w="1728"/>
          </w:tcPr>
          <w:p>
            <w:r/>
            <w:r>
              <w:rPr>
                <w:b w:val="0"/>
                <w:sz w:val="19"/>
              </w:rPr>
              <w:t>Frekuensi monitoring dan evaluasi (Monev) fungsi manajemen &amp; tata kelola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8</w:t>
            </w:r>
          </w:p>
        </w:tc>
        <w:tc>
          <w:tcPr>
            <w:tcW w:type="dxa" w:w="1728"/>
          </w:tcPr>
          <w:p>
            <w:r/>
            <w:r>
              <w:rPr>
                <w:b w:val="0"/>
                <w:sz w:val="19"/>
              </w:rPr>
              <w:t>Frekuensi Audit Mutu Internal (AMI) atas tata pamong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9</w:t>
            </w:r>
          </w:p>
        </w:tc>
        <w:tc>
          <w:tcPr>
            <w:tcW w:type="dxa" w:w="1728"/>
          </w:tcPr>
          <w:p>
            <w:r/>
            <w:r>
              <w:rPr>
                <w:b w:val="0"/>
                <w:sz w:val="19"/>
              </w:rPr>
              <w:t>Persentase penyelesaian Rencana Tindak Lanjut (RTL) hasil AMI/evaluasi</w:t>
            </w:r>
          </w:p>
        </w:tc>
        <w:tc>
          <w:tcPr>
            <w:tcW w:type="dxa" w:w="1728"/>
          </w:tcPr>
          <w:p>
            <w:r/>
            <w:r>
              <w:rPr>
                <w:b w:val="0"/>
                <w:sz w:val="19"/>
              </w:rPr>
              <w:t>≥80%</w:t>
            </w:r>
          </w:p>
        </w:tc>
        <w:tc>
          <w:tcPr>
            <w:tcW w:type="dxa" w:w="1728"/>
          </w:tcPr>
          <w:p>
            <w:r/>
            <w:r>
              <w:rPr>
                <w:b w:val="0"/>
                <w:sz w:val="19"/>
              </w:rPr>
              <w:t>≥90%</w:t>
            </w:r>
          </w:p>
        </w:tc>
        <w:tc>
          <w:tcPr>
            <w:tcW w:type="dxa" w:w="1728"/>
          </w:tcPr>
          <w:p>
            <w:r/>
            <w:r>
              <w:rPr>
                <w:b w:val="0"/>
                <w:sz w:val="19"/>
              </w:rPr>
              <w:t>100%</w:t>
            </w:r>
          </w:p>
        </w:tc>
      </w:tr>
      <w:tr>
        <w:tc>
          <w:tcPr>
            <w:tcW w:type="dxa" w:w="1728"/>
          </w:tcPr>
          <w:p>
            <w:r/>
            <w:r>
              <w:rPr>
                <w:b w:val="0"/>
                <w:sz w:val="19"/>
              </w:rPr>
              <w:t>10</w:t>
            </w:r>
          </w:p>
        </w:tc>
        <w:tc>
          <w:tcPr>
            <w:tcW w:type="dxa" w:w="1728"/>
          </w:tcPr>
          <w:p>
            <w:r/>
            <w:r>
              <w:rPr>
                <w:b w:val="0"/>
                <w:sz w:val="19"/>
              </w:rPr>
              <w:t>Tingkat ketersediaan (uptime) sistem informasi/TIK terintegrasi per tahun</w:t>
            </w:r>
          </w:p>
        </w:tc>
        <w:tc>
          <w:tcPr>
            <w:tcW w:type="dxa" w:w="1728"/>
          </w:tcPr>
          <w:p>
            <w:r/>
            <w:r>
              <w:rPr>
                <w:b w:val="0"/>
                <w:sz w:val="19"/>
              </w:rPr>
              <w:t>≥95%</w:t>
            </w:r>
          </w:p>
        </w:tc>
        <w:tc>
          <w:tcPr>
            <w:tcW w:type="dxa" w:w="1728"/>
          </w:tcPr>
          <w:p>
            <w:r/>
            <w:r>
              <w:rPr>
                <w:b w:val="0"/>
                <w:sz w:val="19"/>
              </w:rPr>
              <w:t>≥97%</w:t>
            </w:r>
          </w:p>
        </w:tc>
        <w:tc>
          <w:tcPr>
            <w:tcW w:type="dxa" w:w="1728"/>
          </w:tcPr>
          <w:p>
            <w:r/>
            <w:r>
              <w:rPr>
                <w:b w:val="0"/>
                <w:sz w:val="19"/>
              </w:rPr>
              <w:t>≥99%</w:t>
            </w:r>
          </w:p>
        </w:tc>
      </w:tr>
      <w:tr>
        <w:tc>
          <w:tcPr>
            <w:tcW w:type="dxa" w:w="1728"/>
          </w:tcPr>
          <w:p>
            <w:r/>
            <w:r>
              <w:rPr>
                <w:b w:val="0"/>
                <w:sz w:val="19"/>
              </w:rPr>
              <w:t>11</w:t>
            </w:r>
          </w:p>
        </w:tc>
        <w:tc>
          <w:tcPr>
            <w:tcW w:type="dxa" w:w="1728"/>
          </w:tcPr>
          <w:p>
            <w:r/>
            <w:r>
              <w:rPr>
                <w:b w:val="0"/>
                <w:sz w:val="19"/>
              </w:rPr>
              <w:t>Persentase unit kerja dengan job description &amp; mekanisme pengambilan keputusan terdokumentasi</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12</w:t>
            </w:r>
          </w:p>
        </w:tc>
        <w:tc>
          <w:tcPr>
            <w:tcW w:type="dxa" w:w="1728"/>
          </w:tcPr>
          <w:p>
            <w:r/>
            <w:r>
              <w:rPr>
                <w:b w:val="0"/>
                <w:sz w:val="19"/>
              </w:rPr>
              <w:t>Kelengkapan pedoman pengelolaan 11 aspek</w:t>
            </w:r>
          </w:p>
        </w:tc>
        <w:tc>
          <w:tcPr>
            <w:tcW w:type="dxa" w:w="1728"/>
          </w:tcPr>
          <w:p>
            <w:r/>
            <w:r>
              <w:rPr>
                <w:b w:val="0"/>
                <w:sz w:val="19"/>
              </w:rPr>
              <w:t>≥95%</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13</w:t>
            </w:r>
          </w:p>
        </w:tc>
        <w:tc>
          <w:tcPr>
            <w:tcW w:type="dxa" w:w="1728"/>
          </w:tcPr>
          <w:p>
            <w:r/>
            <w:r>
              <w:rPr>
                <w:b w:val="0"/>
                <w:sz w:val="19"/>
              </w:rPr>
              <w:t>Pertumbuhan jumlah pendaftar mahasiswa baru per tahun</w:t>
            </w:r>
          </w:p>
        </w:tc>
        <w:tc>
          <w:tcPr>
            <w:tcW w:type="dxa" w:w="1728"/>
          </w:tcPr>
          <w:p>
            <w:r/>
            <w:r>
              <w:rPr>
                <w:b w:val="0"/>
                <w:sz w:val="19"/>
              </w:rPr>
              <w:t>≥3%</w:t>
            </w:r>
          </w:p>
        </w:tc>
        <w:tc>
          <w:tcPr>
            <w:tcW w:type="dxa" w:w="1728"/>
          </w:tcPr>
          <w:p>
            <w:r/>
            <w:r>
              <w:rPr>
                <w:b w:val="0"/>
                <w:sz w:val="19"/>
              </w:rPr>
              <w:t>≥3%</w:t>
            </w:r>
          </w:p>
        </w:tc>
        <w:tc>
          <w:tcPr>
            <w:tcW w:type="dxa" w:w="1728"/>
          </w:tcPr>
          <w:p>
            <w:r/>
            <w:r>
              <w:rPr>
                <w:b w:val="0"/>
                <w:sz w:val="19"/>
              </w:rPr>
              <w:t>≥3%</w:t>
            </w:r>
          </w:p>
        </w:tc>
      </w:tr>
      <w:tr>
        <w:tc>
          <w:tcPr>
            <w:tcW w:type="dxa" w:w="1728"/>
          </w:tcPr>
          <w:p>
            <w:r/>
            <w:r>
              <w:rPr>
                <w:b w:val="0"/>
                <w:sz w:val="19"/>
              </w:rPr>
              <w:t>14</w:t>
            </w:r>
          </w:p>
        </w:tc>
        <w:tc>
          <w:tcPr>
            <w:tcW w:type="dxa" w:w="1728"/>
          </w:tcPr>
          <w:p>
            <w:r/>
            <w:r>
              <w:rPr>
                <w:b w:val="0"/>
                <w:sz w:val="19"/>
              </w:rPr>
              <w:t>Persentase penyelesaian laporan PPKS sesuai prosedur dan tenggat waktu</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15</w:t>
            </w:r>
          </w:p>
        </w:tc>
        <w:tc>
          <w:tcPr>
            <w:tcW w:type="dxa" w:w="1728"/>
          </w:tcPr>
          <w:p>
            <w:r/>
            <w:r>
              <w:rPr>
                <w:b w:val="0"/>
                <w:sz w:val="19"/>
              </w:rPr>
              <w:t>Pelaksanaan audit eksternal keuangan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16</w:t>
            </w:r>
          </w:p>
        </w:tc>
        <w:tc>
          <w:tcPr>
            <w:tcW w:type="dxa" w:w="1728"/>
          </w:tcPr>
          <w:p>
            <w:r/>
            <w:r>
              <w:rPr>
                <w:b w:val="0"/>
                <w:sz w:val="19"/>
              </w:rPr>
              <w:t>Persentase tindak lanjut rekomendasi audit eksternal keuangan diselesaikan</w:t>
            </w:r>
          </w:p>
        </w:tc>
        <w:tc>
          <w:tcPr>
            <w:tcW w:type="dxa" w:w="1728"/>
          </w:tcPr>
          <w:p>
            <w:r/>
            <w:r>
              <w:rPr>
                <w:b w:val="0"/>
                <w:sz w:val="19"/>
              </w:rPr>
              <w:t>≥90%</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17</w:t>
            </w:r>
          </w:p>
        </w:tc>
        <w:tc>
          <w:tcPr>
            <w:tcW w:type="dxa" w:w="1728"/>
          </w:tcPr>
          <w:p>
            <w:r/>
            <w:r>
              <w:rPr>
                <w:b w:val="0"/>
                <w:sz w:val="19"/>
              </w:rPr>
              <w:t>Tingkat kepuasan pemangku kepentingan terhadap tata pamong dan tata kelola (hasil survei)</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r>
        <w:tc>
          <w:tcPr>
            <w:tcW w:type="dxa" w:w="1728"/>
          </w:tcPr>
          <w:p>
            <w:r/>
            <w:r>
              <w:rPr>
                <w:sz w:val="19"/>
              </w:rPr>
              <w:t>*18</w:t>
            </w:r>
          </w:p>
        </w:tc>
        <w:tc>
          <w:tcPr>
            <w:tcW w:type="dxa" w:w="1728"/>
          </w:tcPr>
          <w:p>
            <w:r/>
            <w:r>
              <w:rPr>
                <w:sz w:val="19"/>
              </w:rPr>
              <w:t>Pelaksanaan root-cause analysis &amp; SWOT tahunan atas tata pamong dan tata kelola (sesuai Standar SPMI)</w:t>
            </w:r>
          </w:p>
        </w:tc>
        <w:tc>
          <w:tcPr>
            <w:tcW w:type="dxa" w:w="1728"/>
          </w:tcPr>
          <w:p>
            <w:r/>
            <w:r>
              <w:rPr>
                <w:sz w:val="19"/>
              </w:rPr>
              <w:t>Terlaksana</w:t>
            </w:r>
          </w:p>
        </w:tc>
        <w:tc>
          <w:tcPr>
            <w:tcW w:type="dxa" w:w="1728"/>
          </w:tcPr>
          <w:p>
            <w:r/>
            <w:r>
              <w:rPr>
                <w:sz w:val="19"/>
              </w:rPr>
              <w:t>Terlaksana</w:t>
            </w:r>
          </w:p>
        </w:tc>
        <w:tc>
          <w:tcPr>
            <w:tcW w:type="dxa" w:w="1728"/>
          </w:tcPr>
          <w:p>
            <w:r/>
            <w:r>
              <w:rPr>
                <w:sz w:val="19"/>
              </w:rPr>
              <w:t>Terlaksana</w:t>
            </w:r>
          </w:p>
        </w:tc>
      </w:tr>
    </w:tbl>
    <w:p/>
    <w:p>
      <w:pPr>
        <w:spacing w:after="120"/>
      </w:pPr>
      <w:r>
        <w:rPr>
          <w:b/>
          <w:i w:val="0"/>
        </w:rPr>
        <w:t>Indikator Kinerja Tambahan (IKT):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dan aktivitas kelembagaan entrepreneur (jumlah program/kegiatan per tahun)</w:t>
            </w:r>
          </w:p>
        </w:tc>
        <w:tc>
          <w:tcPr>
            <w:tcW w:type="dxa" w:w="1728"/>
          </w:tcPr>
          <w:p>
            <w:r/>
            <w:r>
              <w:rPr>
                <w:b w:val="0"/>
                <w:sz w:val="19"/>
              </w:rPr>
              <w:t>≥2 kegiatan</w:t>
            </w:r>
          </w:p>
        </w:tc>
        <w:tc>
          <w:tcPr>
            <w:tcW w:type="dxa" w:w="1728"/>
          </w:tcPr>
          <w:p>
            <w:r/>
            <w:r>
              <w:rPr>
                <w:b w:val="0"/>
                <w:sz w:val="19"/>
              </w:rPr>
              <w:t>≥3 kegiatan</w:t>
            </w:r>
          </w:p>
        </w:tc>
        <w:tc>
          <w:tcPr>
            <w:tcW w:type="dxa" w:w="1728"/>
          </w:tcPr>
          <w:p>
            <w:r/>
            <w:r>
              <w:rPr>
                <w:b w:val="0"/>
                <w:sz w:val="19"/>
              </w:rPr>
              <w:t>≥4 kegiatan</w:t>
            </w:r>
          </w:p>
        </w:tc>
      </w:tr>
      <w:tr>
        <w:tc>
          <w:tcPr>
            <w:tcW w:type="dxa" w:w="1728"/>
          </w:tcPr>
          <w:p>
            <w:r/>
            <w:r>
              <w:rPr>
                <w:b w:val="0"/>
                <w:sz w:val="19"/>
              </w:rPr>
              <w:t>2</w:t>
            </w:r>
          </w:p>
        </w:tc>
        <w:tc>
          <w:tcPr>
            <w:tcW w:type="dxa" w:w="1728"/>
          </w:tcPr>
          <w:p>
            <w:r/>
            <w:r>
              <w:rPr>
                <w:b w:val="0"/>
                <w:sz w:val="19"/>
              </w:rPr>
              <w:t>Pengakuan mutu sistem tata kelola dari lembaga eksternal (audit/akreditasi/sertifikasi)</w:t>
            </w:r>
          </w:p>
        </w:tc>
        <w:tc>
          <w:tcPr>
            <w:tcW w:type="dxa" w:w="1728"/>
          </w:tcPr>
          <w:p>
            <w:r/>
            <w:r>
              <w:rPr>
                <w:b w:val="0"/>
                <w:sz w:val="19"/>
              </w:rPr>
              <w:t>1 pengakuan</w:t>
            </w:r>
          </w:p>
        </w:tc>
        <w:tc>
          <w:tcPr>
            <w:tcW w:type="dxa" w:w="1728"/>
          </w:tcPr>
          <w:p>
            <w:r/>
            <w:r>
              <w:rPr>
                <w:b w:val="0"/>
                <w:sz w:val="19"/>
              </w:rPr>
              <w:t>1 pengakuan</w:t>
            </w:r>
          </w:p>
        </w:tc>
        <w:tc>
          <w:tcPr>
            <w:tcW w:type="dxa" w:w="1728"/>
          </w:tcPr>
          <w:p>
            <w:r/>
            <w:r>
              <w:rPr>
                <w:b w:val="0"/>
                <w:sz w:val="19"/>
              </w:rPr>
              <w:t>≥2 pengakuan</w:t>
            </w:r>
          </w:p>
        </w:tc>
      </w:tr>
      <w:tr>
        <w:tc>
          <w:tcPr>
            <w:tcW w:type="dxa" w:w="1728"/>
          </w:tcPr>
          <w:p>
            <w:r/>
            <w:r>
              <w:rPr>
                <w:b w:val="0"/>
                <w:sz w:val="19"/>
              </w:rPr>
              <w:t>3</w:t>
            </w:r>
          </w:p>
        </w:tc>
        <w:tc>
          <w:tcPr>
            <w:tcW w:type="dxa" w:w="1728"/>
          </w:tcPr>
          <w:p>
            <w:r/>
            <w:r>
              <w:rPr>
                <w:b w:val="0"/>
                <w:sz w:val="19"/>
              </w:rPr>
              <w:t>Indeks efektivitas manajemen risiko (akademik, operasional, dan keuangan) berbasis hasil AMI</w:t>
            </w:r>
          </w:p>
        </w:tc>
        <w:tc>
          <w:tcPr>
            <w:tcW w:type="dxa" w:w="1728"/>
          </w:tcPr>
          <w:p>
            <w:r/>
            <w:r>
              <w:rPr>
                <w:b w:val="0"/>
                <w:sz w:val="19"/>
              </w:rPr>
              <w:t>≥75%</w:t>
            </w:r>
          </w:p>
        </w:tc>
        <w:tc>
          <w:tcPr>
            <w:tcW w:type="dxa" w:w="1728"/>
          </w:tcPr>
          <w:p>
            <w:r/>
            <w:r>
              <w:rPr>
                <w:b w:val="0"/>
                <w:sz w:val="19"/>
              </w:rPr>
              <w:t>≥85%</w:t>
            </w:r>
          </w:p>
        </w:tc>
        <w:tc>
          <w:tcPr>
            <w:tcW w:type="dxa" w:w="1728"/>
          </w:tcPr>
          <w:p>
            <w:r/>
            <w:r>
              <w:rPr>
                <w:b w:val="0"/>
                <w:sz w:val="19"/>
              </w:rPr>
              <w:t>≥90%</w:t>
            </w:r>
          </w:p>
        </w:tc>
      </w:tr>
    </w:tbl>
    <w:p/>
    <w:p>
      <w:pPr>
        <w:spacing w:before="280" w:after="120"/>
      </w:pPr>
      <w:r>
        <w:rPr>
          <w:b/>
          <w:sz w:val="26"/>
        </w:rPr>
        <w:t>5. STRATEGI PENCAPAIAN</w:t>
      </w:r>
    </w:p>
    <w:p>
      <w:pPr>
        <w:pStyle w:val="ListNumber"/>
        <w:spacing w:after="120"/>
      </w:pPr>
      <w:r>
        <w:t>Yayasan Pendidikan dan Penerbit Mahasiswa Indonesia (YPPMI) bersama Rektor menetapkan Statuta, Struktur Organisasi, dan OTK Universitas, serta memastikan RTM dilaksanakan paling sedikit 2 kali per tahun dengan agenda pembahasan hasil monev dan tindak lanjut AMI.</w:t>
      </w:r>
    </w:p>
    <w:p>
      <w:pPr>
        <w:pStyle w:val="ListNumber"/>
        <w:spacing w:after="120"/>
      </w:pPr>
      <w:r>
        <w:t>Rektor bersama Wakil Rektor mengembangkan dan mendokumentasikan praktik baik Good University Governance pada 6 aspek (kredibilitas, transparansi, akuntabilitas, tanggung jawab, keadilan, manajemen risiko), termasuk manajemen risiko akademik, operasional, dan keuangan secara terintegrasi.</w:t>
      </w:r>
    </w:p>
    <w:p>
      <w:pPr>
        <w:pStyle w:val="ListNumber"/>
        <w:spacing w:after="120"/>
      </w:pPr>
      <w:r>
        <w:t>Direktorat Jaminan Mutu (DJM) menyusun dan melaksanakan instrumen evaluasi komitmen kepemimpinan dan kapabilitas manajerial pimpinan UPPS/Prodi setiap tahun, mencakup aspek visi-tujuan, integritas-transparansi, pengembangan SDM, pengambilan keputusan, dan manajemen konflik.</w:t>
      </w:r>
    </w:p>
    <w:p>
      <w:pPr>
        <w:pStyle w:val="ListNumber"/>
        <w:spacing w:after="120"/>
      </w:pPr>
      <w:r>
        <w:t>Dekan FTII dan Ketua Program Studi menyusun serta mendokumentasikan pelaksanaan 5 fungsi manajemen (planning, organizing, staffing, leading, controlling) pada seluruh unit kerja, diverifikasi oleh GKM Program Studi setiap semester.</w:t>
      </w:r>
    </w:p>
    <w:p>
      <w:pPr>
        <w:pStyle w:val="ListNumber"/>
        <w:spacing w:after="120"/>
      </w:pPr>
      <w:r>
        <w:t>Rektor bersama Dekan FTII dan Ketua Program Studi menyusun Renstra dan Renop serta memantau keterlaksanaan program kerja secara triwulanan untuk menjaga tingkat keterlaksanaan ≥90% menuju ≥95%.</w:t>
      </w:r>
    </w:p>
    <w:p>
      <w:pPr>
        <w:pStyle w:val="ListNumber"/>
        <w:spacing w:after="120"/>
      </w:pPr>
      <w:r>
        <w:t>DJM, UJM, dan GKM melaksanakan Monev fungsi manajemen dan tata kelola serta AMI tata pamong paling sedikit 1 kali per tahun, dan mengoordinasikan penyelesaian RTL bersama Dekan FTII dalam RTM.</w:t>
      </w:r>
    </w:p>
    <w:p>
      <w:pPr>
        <w:pStyle w:val="ListNumber"/>
        <w:spacing w:after="120"/>
      </w:pPr>
      <w:r>
        <w:t>Direktorat Teknologi dan Sistem Informasi (DTSI) mengembangkan, memelihara, dan memantau ketersediaan (uptime) sistem informasi terintegrasi untuk mendukung pengelolaan data dan pengambilan keputusan berbasis data.</w:t>
      </w:r>
    </w:p>
    <w:p>
      <w:pPr>
        <w:pStyle w:val="ListNumber"/>
        <w:spacing w:after="120"/>
      </w:pPr>
      <w:r>
        <w:t>Dekan FTII dan Ketua Program Studi menyusun dan memutakhirkan job description serta mekanisme pengambilan keputusan yang terdokumentasi pada 100% unit kerja di lingkungan FTII.</w:t>
      </w:r>
    </w:p>
    <w:p>
      <w:pPr>
        <w:pStyle w:val="ListNumber"/>
        <w:spacing w:after="120"/>
      </w:pPr>
      <w:r>
        <w:t>DJM bersama Dekan FTII menyusun dan memutakhirkan pedoman pengelolaan pada 11 aspek (termasuk suasana akademik dan otonomi keilmuan), disosialisasikan dan dievaluasi keterlaksanaannya setiap tahun.</w:t>
      </w:r>
    </w:p>
    <w:p>
      <w:pPr>
        <w:pStyle w:val="ListNumber"/>
        <w:spacing w:after="120"/>
      </w:pPr>
      <w:r>
        <w:t>Rektor bersama Direktorat Kerja Sama, Marketing, Hubungan Masyarakat dan Media Komunikasi (DKMHM) mengembangkan kebijakan dan promosi PMB yang transparan dan memperluas akses melalui beasiswa, RPL, dan PJJ, dengan target pertumbuhan pendaftar ≥3% per tahun.</w:t>
      </w:r>
    </w:p>
    <w:p>
      <w:pPr>
        <w:pStyle w:val="ListNumber"/>
        <w:spacing w:after="120"/>
      </w:pPr>
      <w:r>
        <w:t>Rektor membentuk dan menguatkan Tim Satuan Tugas PPKS dan Komite Integritas Akademik, menetapkan prosedur dan tenggat waktu penanganan laporan, serta memastikan 100% laporan diselesaikan sesuai prosedur.</w:t>
      </w:r>
    </w:p>
    <w:p>
      <w:pPr>
        <w:pStyle w:val="ListNumber"/>
        <w:spacing w:after="120"/>
      </w:pPr>
      <w:r>
        <w:t>Kepala Divisi Keuangan (DKEU) menyelenggarakan audit eksternal keuangan tahunan oleh auditor independen, menindaklanjuti rekomendasi audit paling sedikit 90% dalam satu tahun, dan menerapkan manajemen risiko keuangan yang terdokumentasi.</w:t>
      </w:r>
    </w:p>
    <w:p>
      <w:pPr>
        <w:pStyle w:val="ListNumber"/>
        <w:spacing w:after="120"/>
      </w:pPr>
      <w:r>
        <w:t>DJM melaksanakan survei kepuasan pemangku kepentingan terhadap tata pamong dan tata kelola setiap tahun, menganalisis hasil, dan mengoordinasikan tindak lanjut peningkatan mutu berbasis hasil survei.</w:t>
      </w:r>
    </w:p>
    <w:p>
      <w:pPr>
        <w:pStyle w:val="ListNumber"/>
        <w:spacing w:after="120"/>
      </w:pPr>
      <w:r>
        <w:t>Rektor bersama Dekan FTII mengembangkan kelembagaan entrepreneur yang aktif menyelenggarakan program inovasi dan kewirausahaan, dengan target peningkatan jumlah kegiatan setiap tahun.</w:t>
      </w:r>
    </w:p>
    <w:p>
      <w:pPr>
        <w:pStyle w:val="ListNumber"/>
        <w:spacing w:after="120"/>
      </w:pPr>
      <w:r>
        <w:t>Seluruh unit kerja di lingkungan Universitas dan FTII menerapkan siklus PPEPP dalam tata pamong dan tata kelola untuk menjamin perbaikan mutu secara berkelanjutan dan terdokumentasi.</w:t>
      </w:r>
    </w:p>
    <w:p>
      <w:pPr>
        <w:pStyle w:val="ListNumber"/>
        <w:spacing w:after="120"/>
      </w:pPr>
      <w:r>
        <w:t>UJM Fakultas bersama GKM Program Studi melaksanakan root-cause analysis dan SWOT tahunan atas ketercapaian tata pamong dan tata kelola mengikuti template dan prosedur yang ditetapkan Standar Penjaminan Mutu Internal FTII, hasilnya menjadi bahan wajib RTM.</w:t>
      </w:r>
    </w:p>
    <w:p>
      <w:pPr>
        <w:spacing w:before="280" w:after="120"/>
      </w:pPr>
      <w:r>
        <w:rPr>
          <w:b/>
          <w:sz w:val="26"/>
        </w:rPr>
        <w:t>6. MEKANISME EVALUASI</w:t>
      </w:r>
    </w:p>
    <w:p>
      <w:pPr>
        <w:pStyle w:val="ListNumber"/>
        <w:spacing w:after="120"/>
      </w:pPr>
      <w:r>
        <w:t>Evaluasi keefektifan struktur organisasi dan OTK dilakukan oleh Dekan FTII dan Ketua Program Studi melalui RTM paling sedikit 2 kali per tahun, dengan pembahasan hasil monev dan tindak lanjut AMI.</w:t>
      </w:r>
    </w:p>
    <w:p>
      <w:pPr>
        <w:pStyle w:val="ListNumber"/>
        <w:spacing w:after="120"/>
      </w:pPr>
      <w:r>
        <w:t>Evaluasi pemenuhan 6 aspek Good University Governance dan manajemen risiko dilakukan oleh DJM bersama UJM Fakultas setiap tahun, dengan verifikasi bukti praktik baik pada masing-masing aspek.</w:t>
      </w:r>
    </w:p>
    <w:p>
      <w:pPr>
        <w:pStyle w:val="ListNumber"/>
        <w:spacing w:after="120"/>
      </w:pPr>
      <w:r>
        <w:t>Evaluasi komitmen kepemimpinan dan kapabilitas manajerial pimpinan dilaksanakan oleh DJM melalui instrumen evaluasi kepemimpinan setiap tahun, hasilnya disampaikan kepada Rektor sebagai dasar pembinaan dan pengembangan pimpinan.</w:t>
      </w:r>
    </w:p>
    <w:p>
      <w:pPr>
        <w:pStyle w:val="ListNumber"/>
        <w:spacing w:after="120"/>
      </w:pPr>
      <w:r>
        <w:t>Monitoring dan evaluasi pelaksanaan fungsi manajemen pada setiap unit kerja dilakukan oleh GKM Program Studi setiap semester, direkap oleh UJM Fakultas setiap tahun.</w:t>
      </w:r>
    </w:p>
    <w:p>
      <w:pPr>
        <w:pStyle w:val="ListNumber"/>
        <w:spacing w:after="120"/>
      </w:pPr>
      <w:r>
        <w:t>Audit Mutu Internal (AMI) atas tata pamong dilaksanakan oleh DJM dan UJM Fakultas paling sedikit 1 kali per tahun untuk memastikan kesesuaian pelaksanaan seluruh indikator terhadap ambang yang ditetapkan.</w:t>
      </w:r>
    </w:p>
    <w:p>
      <w:pPr>
        <w:pStyle w:val="ListNumber"/>
        <w:spacing w:after="120"/>
      </w:pPr>
      <w:r>
        <w:t>Audit eksternal keuangan dilaksanakan oleh kantor akuntan publik/auditor independen paling sedikit 1 kali per tahun, dikoordinasikan oleh Divisi Keuangan (DKEU), dengan hasil dilaporkan kepada Rektor dan Yayasan.</w:t>
      </w:r>
    </w:p>
    <w:p>
      <w:pPr>
        <w:pStyle w:val="ListNumber"/>
        <w:spacing w:after="120"/>
      </w:pPr>
      <w:r>
        <w:t>Survei kepuasan pemangku kepentingan terhadap tata pamong dilaksanakan oleh DJM paling sedikit 1 kali per tahun, dengan hasil dianalisis dan ditindaklanjuti dalam RTM.</w:t>
      </w:r>
    </w:p>
    <w:p>
      <w:pPr>
        <w:pStyle w:val="ListNumber"/>
        <w:spacing w:after="120"/>
      </w:pPr>
      <w:r>
        <w:t>Rapat Tinjauan Manajemen (RTM) tingkat Fakultas diselenggarakan setelah setiap siklus AMI untuk membahas hasil evaluasi, capaian terhadap ambang target, dan menyusun Rencana Tindak Lanjut (RTL) yang ditargetkan selesai paling sedikit 80% pada tahun berjalan.</w:t>
      </w:r>
    </w:p>
    <w:p>
      <w:pPr>
        <w:pStyle w:val="ListNumber"/>
        <w:spacing w:after="120"/>
      </w:pPr>
      <w:r>
        <w:t>Peninjauan menyeluruh terhadap Standar Tata Pamong dan Tata Kelola dilakukan paling sedikit 1 kali setiap siklus Renstra (4-5 tahun), atau lebih cepat apabila terdapat perubahan signifikan pada kriteria LAM Teknik/LAM INFOKOM atau regulasi nasional.</w:t>
      </w:r>
    </w:p>
    <w:p>
      <w:pPr>
        <w:pStyle w:val="ListNumber"/>
        <w:spacing w:after="120"/>
      </w:pPr>
      <w:r>
        <w:t>Root-cause analysis dan SWOT tahunan atas tata pamong dan tata kelola dievaluasi oleh UJM Fakultas paling sedikit 1 (satu) kali setiap akhir tahun akademik, sesuai mekanisme yang diatur Standar Penjaminan Mutu Internal FTII, dan wajib dibahas dalam RTM.</w:t>
      </w:r>
    </w:p>
    <w:p>
      <w:pPr>
        <w:spacing w:before="280" w:after="120"/>
      </w:pPr>
      <w:r>
        <w:rPr>
          <w:b/>
          <w:sz w:val="26"/>
        </w:rPr>
        <w:t>7. DOKUMEN / BUKTI PENDUKUNG</w:t>
      </w:r>
    </w:p>
    <w:p>
      <w:pPr>
        <w:pStyle w:val="ListNumber"/>
        <w:spacing w:after="120"/>
      </w:pPr>
      <w:r>
        <w:t>Statuta, Struktur Organisasi, dan Organisasi Tata Kerja (OTK) Universitas dan FTII, beserta bukti pelaksanaan RTM.</w:t>
      </w:r>
    </w:p>
    <w:p>
      <w:pPr>
        <w:pStyle w:val="ListNumber"/>
        <w:spacing w:after="120"/>
      </w:pPr>
      <w:r>
        <w:t>Dokumen kebijakan, standar, IKU, dan IKT Tata Pamong dan Tata Kelola FTII.</w:t>
      </w:r>
    </w:p>
    <w:p>
      <w:pPr>
        <w:pStyle w:val="ListNumber"/>
        <w:spacing w:after="120"/>
      </w:pPr>
      <w:r>
        <w:t>Dokumen bukti praktik baik (best practices) 6 aspek Good University Governance, termasuk dokumen manajemen risiko akademik, operasional, dan keuangan.</w:t>
      </w:r>
    </w:p>
    <w:p>
      <w:pPr>
        <w:pStyle w:val="ListNumber"/>
        <w:spacing w:after="120"/>
      </w:pPr>
      <w:r>
        <w:t>Instrumen dan hasil evaluasi komitmen kepemimpinan serta kapabilitas manajerial pimpinan UPPS/Prodi.</w:t>
      </w:r>
    </w:p>
    <w:p>
      <w:pPr>
        <w:pStyle w:val="ListNumber"/>
        <w:spacing w:after="120"/>
      </w:pPr>
      <w:r>
        <w:t>Dokumen pelaksanaan 5 fungsi manajemen (planning, organizing, staffing, leading, controlling) pada setiap unit kerja.</w:t>
      </w:r>
    </w:p>
    <w:p>
      <w:pPr>
        <w:pStyle w:val="ListNumber"/>
        <w:spacing w:after="120"/>
      </w:pPr>
      <w:r>
        <w:t>Renstra dan Renop Universitas serta FTII, beserta laporan keterlaksanaan program kerja.</w:t>
      </w:r>
    </w:p>
    <w:p>
      <w:pPr>
        <w:pStyle w:val="ListNumber"/>
        <w:spacing w:after="120"/>
      </w:pPr>
      <w:r>
        <w:t>Laporan monitoring dan evaluasi (Monev) fungsi manajemen dan tata kelola, serta laporan Audit Mutu Internal (AMI) dan Rencana Tindak Lanjut (RTL).</w:t>
      </w:r>
    </w:p>
    <w:p>
      <w:pPr>
        <w:pStyle w:val="ListNumber"/>
        <w:spacing w:after="120"/>
      </w:pPr>
      <w:r>
        <w:t>Dokumen kebijakan dan sistem informasi/TIK terintegrasi beserta laporan tingkat ketersediaan (uptime).</w:t>
      </w:r>
    </w:p>
    <w:p>
      <w:pPr>
        <w:pStyle w:val="ListNumber"/>
        <w:spacing w:after="120"/>
      </w:pPr>
      <w:r>
        <w:t>Dokumen job description dan mekanisme pengambilan keputusan pada setiap unit kerja.</w:t>
      </w:r>
    </w:p>
    <w:p>
      <w:pPr>
        <w:pStyle w:val="ListNumber"/>
        <w:spacing w:after="120"/>
      </w:pPr>
      <w:r>
        <w:t>Pedoman pengelolaan 11 aspek (pendidikan, suasana akademik, kemahasiswaan, penelitian, PkM, SDM, keuangan, sarana prasarana, sistem informasi, penjaminan mutu, kerja sama).</w:t>
      </w:r>
    </w:p>
    <w:p>
      <w:pPr>
        <w:pStyle w:val="ListNumber"/>
        <w:spacing w:after="120"/>
      </w:pPr>
      <w:r>
        <w:t>Kebijakan dan pedoman Penerimaan Mahasiswa Baru (PMB), data tren pendaftar, serta dokumen beasiswa, RPL, dan PJJ.</w:t>
      </w:r>
    </w:p>
    <w:p>
      <w:pPr>
        <w:pStyle w:val="ListNumber"/>
        <w:spacing w:after="120"/>
      </w:pPr>
      <w:r>
        <w:t>SK Tim Satuan Tugas PPKS dan Komite Integritas Akademik, beserta laporan penanganan kasus.</w:t>
      </w:r>
    </w:p>
    <w:p>
      <w:pPr>
        <w:pStyle w:val="ListNumber"/>
        <w:spacing w:after="120"/>
      </w:pPr>
      <w:r>
        <w:t>Laporan audit eksternal keuangan tahunan dan dokumen tindak lanjut rekomendasi audit.</w:t>
      </w:r>
    </w:p>
    <w:p>
      <w:pPr>
        <w:pStyle w:val="ListNumber"/>
        <w:spacing w:after="120"/>
      </w:pPr>
      <w:r>
        <w:t>Instrumen dan hasil survei kepuasan pemangku kepentingan terhadap tata pamong dan tata kelola.</w:t>
      </w:r>
    </w:p>
    <w:p>
      <w:pPr>
        <w:pStyle w:val="ListNumber"/>
        <w:spacing w:after="120"/>
      </w:pPr>
      <w:r>
        <w:t>Dokumen kelembagaan dan pelaksanaan program entrepreneur.</w:t>
      </w:r>
    </w:p>
    <w:p>
      <w:pPr>
        <w:pStyle w:val="ListNumber"/>
        <w:spacing w:after="120"/>
      </w:pPr>
      <w:r>
        <w:t>Berita Acara Rapat Tinjauan Manajemen (RTM) dan dokumentasi penerapan siklus PPEPP pada tata pamong.</w:t>
      </w:r>
    </w:p>
    <w:p>
      <w:pPr>
        <w:pStyle w:val="ListNumber"/>
        <w:spacing w:after="120"/>
      </w:pPr>
      <w:r>
        <w:t>Instrumen Akreditasi Program Studi LAM INFOKOM (Kriteria Unggul 2.1) dan Matriks Penilaian LED-LKPS LAM Teknik APS-AV 2025 1.0 sebagai acuan kalibrasi ambang indikator.</w:t>
      </w:r>
    </w:p>
    <w:p/>
    <w:p>
      <w:pPr>
        <w:pStyle w:val="ListNumber"/>
        <w:spacing w:after="120"/>
      </w:pPr>
      <w:r>
        <w:t>Dokumen root-cause analysis dan SWOT tahunan atas tata pamong dan tata kelola, sesuai template Standar Penjaminan Mutu Internal FTII, beserta berita acara pembahasannya dalam RTM.</w:t>
      </w: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