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UNIVERSITAS STIKUBANK (UNISBANK) SEMARANG</w:t>
      </w:r>
    </w:p>
    <w:p>
      <w:pPr>
        <w:jc w:val="center"/>
      </w:pPr>
      <w:r>
        <w:t>FAKULTAS TEKNOLOGI INFORMASI DAN INDUSTRI (FTII)</w:t>
      </w:r>
    </w:p>
    <w:p>
      <w:pPr>
        <w:jc w:val="center"/>
      </w:pPr>
      <w:r>
        <w:t>PEMETAAN STANDAR TATA PAMONG-TATA KELOLA DAN STANDAR PENJAMINAN MUTU INTERNAL FTII</w:t>
      </w:r>
    </w:p>
    <w:p>
      <w:pPr>
        <w:jc w:val="center"/>
      </w:pPr>
      <w:r>
        <w:t>TERHADAP KRITERIA C.7 SISTEM PENJAMINAN MUTU PEDOMAN PENYUSUNAN LEDPS LAM TEKNIK 2025</w:t>
      </w:r>
    </w:p>
    <w:p>
      <w:pPr>
        <w:jc w:val="center"/>
      </w:pPr>
      <w:r>
        <w:t>DAN KRITERIA C.1 BUDAYA MUTU LAPORAN EVALUASI DIRI LAM INFOKOM 2.1 (2025)</w:t>
      </w:r>
    </w:p>
    <w:p/>
    <w:p>
      <w:pPr>
        <w:pStyle w:val="Heading1"/>
      </w:pPr>
      <w:r>
        <w:t>1. TUJUAN PEMETAAN</w:t>
      </w:r>
    </w:p>
    <w:p>
      <w:r>
        <w:t>Dokumen ini memetakan kepatuhan DUA standar FTII UNISBANK — Standar_Tata_Kelola_Unggul_FTII.docx (revisi ke-2) dan Standar_Penjaminan_Mutu_Internal_Unggul_FTII.docx (payung bagi seluruh standar turunan FTII) — terhadap dua sumber instrumen akreditasi yang SAMA-SAMA menilai unsur tata kelola dan sistem penjaminan mutu, namun dengan penomoran kriteria dan sistematika penulisan LED yang berbeda:</w:t>
      </w:r>
    </w:p>
    <w:p>
      <w:pPr>
        <w:pStyle w:val="ListNumber"/>
      </w:pPr>
      <w:r>
        <w:t>Kriteria C.7 Sistem Penjaminan Mutu — Pedoman Penyusunan LEDPS Instrumen Akreditasi Program Studi (IAPS)-AVP 2025 LAM Teknik, halaman 22-24, berisi 5 unsur naratif: (1) Latar Belakang [unit penjaminan mutu, komitmen pimpinan, IKT, keterlaksanaan penjaminan mutu, AMI sesuai siklus PPEPP]; (2) Kebijakan [dokumen formal kebijakan mendukung SPMI]; (3) Indikator Kinerja Utama (IKU)/Indikator Kinerja Tambahan (IKT) yang terdiri atas 5 sub-unsur: a) Keberadaan unit penjaminan mutu dan komitmen pimpinan (4 aspek) serta Ketersediaan dokumen dan pengakuan mutu eksternal (4 unsur perangkat SPMI); b) Indikator Kinerja Tambahan (4 unsur: tujuan strategis organisasi, dampak positif terukur, daya saing internasional, telah diukur-dianalisis untuk perbaikan); c) Keterlaksanaan Penjaminan Mutu dan Audit Mutu Internal (4 aspek); d) Evaluasi Capaian Kinerja (4 aspek: metode tepat mengukur kinerja, evaluasi akar masalah, tinjauan rutin, penyebarluasan hasil ke pemangku kepentingan); e) Kepuasan Pemangku Kepentingan (survei terhadap layanan manajemen); (4) Analisis Faktor Keberhasilan dan Penghambat Pelaksanaan SPM; dan (5) Strategi Perbaikan dan Pengembangan (Analisis SWOT).</w:t>
      </w:r>
    </w:p>
    <w:p>
      <w:pPr>
        <w:pStyle w:val="ListNumber"/>
      </w:pPr>
      <w:r>
        <w:t>Kriteria C.1 Budaya Mutu — Laporan Evaluasi Diri (LED) LAM INFOKOM 2.1 (2025), halaman 13-15, berisi 5 sub-butir mengikuti siklus PPEPP (1.1 Penetapan, 1.2 Pelaksanaan, 1.3 Evaluasi, 1.4 Pengendalian, 1.5 Peningkatan), masing-masing terdiri atas 2 unsur A) Sistem Tata Kelola UPPS/PT berikut SOP (administrasi akademik, keuangan, SDM, aspek lain PPEPP) dan B) Fungsi SPMI dengan SDM kompeten sebagai pelaksana. Kriteria ini secara eksplisit mensyaratkan pemenuhan 5 (lima) unsur Good University Governance (GUG): unsur pengambil kebijakan, unsur pelaksana akademik, unsur penjaminan mutu, unsur penunjang akademik, dan unsur pelaksana administrasi.</w:t>
      </w:r>
    </w:p>
    <w:p>
      <w:r>
        <w:t>Catatan penomoran: LAM Teknik menomori kriteria Sistem Penjaminan Mutu sebagai "C.7" (kriteria terakhir dari 7 kriteria LEDPS), sedangkan LAM INFOKOM 2.1 menomori kriteria yang secara substansi sebagian besar sama (tata kelola + SPMI) sebagai "C.1 Budaya Mutu" (kriteria PERTAMA dari 6 kriteria LED: Budaya Mutu, Relevansi Pendidikan, Relevansi Penelitian, Relevansi PkM, Akuntabilitas, Diferensiasi Misi). PENTING: definisi "Good University Governance" pada kedua sumber TIDAK IDENTIK — Standar Tata Kelola FTII (Pernyataan #20) memakai 6 aspek GUG bercorak PRINSIP (kredibilitas, transparansi, akuntabilitas, tanggung jawab, keadilan, manajemen risiko), sedangkan C.1 LAM INFOKOM memakai 5 unsur GUG bercorak STRUKTUR ORGANISASI (unsur pengambil kebijakan, pelaksana akademik, penjaminan mutu, penunjang akademik, pelaksana administrasi). Kedua definisi GUG dipetakan terpisah pada tabel di bawah agar tidak tertukar.</w:t>
      </w:r>
    </w:p>
    <w:p>
      <w:pPr>
        <w:pStyle w:val="Heading1"/>
      </w:pPr>
      <w:r>
        <w:t>2. METODE PEMETAAN</w:t>
      </w:r>
    </w:p>
    <w:p>
      <w:r>
        <w:t>Setiap unsur naratif pada C.7 (LAM Teknik) dan setiap sub-butir PPEPP pada C.1 (LAM INFOKOM 2.1) dipetakan terhadap Pernyataan Standar, Strategi Pencapaian, dan/atau Indikator Kinerja pada Standar Tata Kelola dan/atau Standar Penjaminan Mutu Internal FTII yang relevan — setiap baris tabel menyebutkan eksplisit dokumen sumber FTII (Tata Kelola atau SPMI). Status kepatuhan diberi tanda: SELARAS PENUH (unsur tercakup eksplisit dan terukur), SELARAS SEBAGIAN (tercakup namun perlu penguatan/penegasan eksplisit), atau GAP (unsur tidak tercakup).</w:t>
      </w:r>
    </w:p>
    <w:p>
      <w:pPr>
        <w:pStyle w:val="Heading1"/>
      </w:pPr>
      <w:r>
        <w:t>3. TABEL PEMETAAN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9"/>
              </w:rPr>
              <w:t>Unsur C.7 LAM Teknik</w:t>
            </w:r>
          </w:p>
        </w:tc>
        <w:tc>
          <w:tcPr>
            <w:tcW w:type="dxa" w:w="2160"/>
          </w:tcPr>
          <w:p>
            <w:r>
              <w:rPr>
                <w:b/>
                <w:sz w:val="19"/>
              </w:rPr>
              <w:t>Unsur C.1 LAM INFOKOM 2.1 (Budaya Mutu)</w:t>
            </w:r>
          </w:p>
        </w:tc>
        <w:tc>
          <w:tcPr>
            <w:tcW w:type="dxa" w:w="2160"/>
          </w:tcPr>
          <w:p>
            <w:r>
              <w:rPr>
                <w:b/>
                <w:sz w:val="19"/>
              </w:rPr>
              <w:t>Pemenuhan dalam Standar FTII</w:t>
            </w:r>
          </w:p>
        </w:tc>
        <w:tc>
          <w:tcPr>
            <w:tcW w:type="dxa" w:w="2160"/>
          </w:tcPr>
          <w:p>
            <w:r>
              <w:rPr>
                <w:b/>
                <w:sz w:val="19"/>
              </w:rPr>
              <w:t>Status</w:t>
            </w:r>
          </w:p>
        </w:tc>
      </w:tr>
      <w:tr>
        <w:tc>
          <w:tcPr>
            <w:tcW w:type="dxa" w:w="2160"/>
          </w:tcPr>
          <w:p>
            <w:r/>
            <w:r>
              <w:rPr>
                <w:sz w:val="18"/>
              </w:rPr>
              <w:t>(1) Latar Belakang — unit penjaminan mutu, komitmen pimpinan, IKT, keterlaksanaan penjaminan mutu, AMI sesuai siklus PPEPP.</w:t>
            </w:r>
          </w:p>
        </w:tc>
        <w:tc>
          <w:tcPr>
            <w:tcW w:type="dxa" w:w="2160"/>
          </w:tcPr>
          <w:p>
            <w:r/>
            <w:r>
              <w:rPr>
                <w:sz w:val="18"/>
              </w:rPr>
              <w:t>Definisi umum — standar tata kelola &amp; fungsi SPMI membangun budaya mutu, memenuhi 5 unsur GUG.</w:t>
            </w:r>
          </w:p>
        </w:tc>
        <w:tc>
          <w:tcPr>
            <w:tcW w:type="dxa" w:w="2160"/>
          </w:tcPr>
          <w:p>
            <w:r/>
            <w:r>
              <w:rPr>
                <w:sz w:val="18"/>
              </w:rPr>
              <w:t>[SPMI] Pernyataan #19 (perangkat SPMI lengkap: Kebijakan, Pedoman PPEPP, Standar, SOP) + Rasional (par.8-9, komitmen budaya mutu terintegrasi). [Tata Kelola] Pernyataan #20 (6 aspek GUG korporat).</w:t>
            </w:r>
          </w:p>
        </w:tc>
        <w:tc>
          <w:tcPr>
            <w:tcW w:type="dxa" w:w="2160"/>
          </w:tcPr>
          <w:p>
            <w:r/>
            <w:r>
              <w:rPr>
                <w:sz w:val="18"/>
              </w:rPr>
              <w:t>SELARAS PENUH</w:t>
            </w:r>
          </w:p>
        </w:tc>
      </w:tr>
      <w:tr>
        <w:tc>
          <w:tcPr>
            <w:tcW w:type="dxa" w:w="2160"/>
          </w:tcPr>
          <w:p>
            <w:r/>
            <w:r>
              <w:rPr>
                <w:sz w:val="18"/>
              </w:rPr>
              <w:t>(2) Kebijakan — dokumen formal kebijakan (regulasi pemerintah + PT) mendukung SPMI.</w:t>
            </w:r>
          </w:p>
        </w:tc>
        <w:tc>
          <w:tcPr>
            <w:tcW w:type="dxa" w:w="2160"/>
          </w:tcPr>
          <w:p>
            <w:r/>
            <w:r>
              <w:rPr>
                <w:sz w:val="18"/>
              </w:rPr>
              <w:t>1.1(A) Kebijakan/standar/indikator Sistem Tata Kelola + SOP. 1.1(B) Kebijakan/standar/indikator fungsi SPMI dengan SDM kompeten.</w:t>
            </w:r>
          </w:p>
        </w:tc>
        <w:tc>
          <w:tcPr>
            <w:tcW w:type="dxa" w:w="2160"/>
          </w:tcPr>
          <w:p>
            <w:r/>
            <w:r>
              <w:rPr>
                <w:sz w:val="18"/>
              </w:rPr>
              <w:t>[SPMI] Pernyataan #19 (Kebijakan SPMI, Pedoman PPEPP, Standar, SOP, tata cara pendokumentasian). [Tata Kelola] Pernyataan #19 (Statuta, Struktur Organisasi, OTK) + Pernyataan #27 (pedoman pengelolaan 11 aspek).</w:t>
            </w:r>
          </w:p>
        </w:tc>
        <w:tc>
          <w:tcPr>
            <w:tcW w:type="dxa" w:w="2160"/>
          </w:tcPr>
          <w:p>
            <w:r/>
            <w:r>
              <w:rPr>
                <w:sz w:val="18"/>
              </w:rPr>
              <w:t>SELARAS PENUH</w:t>
            </w:r>
          </w:p>
        </w:tc>
      </w:tr>
      <w:tr>
        <w:tc>
          <w:tcPr>
            <w:tcW w:type="dxa" w:w="2160"/>
          </w:tcPr>
          <w:p>
            <w:r/>
            <w:r>
              <w:rPr>
                <w:sz w:val="18"/>
              </w:rPr>
              <w:t>(3a-I) Keberadaan unit penjaminan mutu &amp; komitmen pimpinan — 4 aspek: dok. legal pembentukan unsur pelaksana penjaminan mutu; dok. legal independensi auditor; dok. pelaksanaan AMI; dok. RTM.</w:t>
            </w:r>
          </w:p>
        </w:tc>
        <w:tc>
          <w:tcPr>
            <w:tcW w:type="dxa" w:w="2160"/>
          </w:tcPr>
          <w:p>
            <w:r/>
            <w:r>
              <w:rPr>
                <w:sz w:val="18"/>
              </w:rPr>
              <w:t>1.1(B)/1.2(B) — fungsi SPMI dengan SDM kompeten sebagai pelaksana di tingkat UPPS/PT.</w:t>
            </w:r>
          </w:p>
        </w:tc>
        <w:tc>
          <w:tcPr>
            <w:tcW w:type="dxa" w:w="2160"/>
          </w:tcPr>
          <w:p>
            <w:r/>
            <w:r>
              <w:rPr>
                <w:sz w:val="18"/>
              </w:rPr>
              <w:t>[SPMI] Pernyataan #23 (organisasi DJM mengoordinasikan PPEPP) + Pernyataan #25* (independensi auditor, dibuktikan surat pernyataan+matriks penugasan) + Pernyataan #26 (AMI akademik berkala) + Mekanisme Evaluasi #65 (RTM wajib bahas hasil AMI).</w:t>
            </w:r>
          </w:p>
        </w:tc>
        <w:tc>
          <w:tcPr>
            <w:tcW w:type="dxa" w:w="2160"/>
          </w:tcPr>
          <w:p>
            <w:r/>
            <w:r>
              <w:rPr>
                <w:sz w:val="18"/>
              </w:rPr>
              <w:t>SELARAS PENUH</w:t>
            </w:r>
          </w:p>
        </w:tc>
      </w:tr>
      <w:tr>
        <w:tc>
          <w:tcPr>
            <w:tcW w:type="dxa" w:w="2160"/>
          </w:tcPr>
          <w:p>
            <w:r/>
            <w:r>
              <w:rPr>
                <w:sz w:val="18"/>
              </w:rPr>
              <w:t>(3a-II) Ketersediaan dokumen &amp; pengakuan mutu eksternal — perangkat SPMI minimal 4 unsur (Kebijakan SPMI; Pedoman PPEPP; Standar/kriteria/norma/acuan mutu; Tata cara pendokumentasian) + pengakuan dari lembaga audit eksternal/akreditasi/sertifikasi.</w:t>
            </w:r>
          </w:p>
        </w:tc>
        <w:tc>
          <w:tcPr>
            <w:tcW w:type="dxa" w:w="2160"/>
          </w:tcPr>
          <w:p>
            <w:r/>
            <w:r>
              <w:rPr>
                <w:sz w:val="18"/>
              </w:rPr>
              <w:t>1.1(A)/(B) — kelengkapan kebijakan tata kelola &amp; SPMI di tingkat UPPS/PT.</w:t>
            </w:r>
          </w:p>
        </w:tc>
        <w:tc>
          <w:tcPr>
            <w:tcW w:type="dxa" w:w="2160"/>
          </w:tcPr>
          <w:p>
            <w:r/>
            <w:r>
              <w:rPr>
                <w:sz w:val="18"/>
              </w:rPr>
              <w:t>[SPMI] Pernyataan #19 (4 perangkat SPMI persis sama: Kebijakan, Pedoman PPEPP, Standar, tata cara pendokumentasian) + Pernyataan #31* (pengakuan mutu eksternal: audit eksternal dan/atau sertifikasi ISO 9001 atau setara, ≥1x/siklus).</w:t>
            </w:r>
          </w:p>
        </w:tc>
        <w:tc>
          <w:tcPr>
            <w:tcW w:type="dxa" w:w="2160"/>
          </w:tcPr>
          <w:p>
            <w:r/>
            <w:r>
              <w:rPr>
                <w:sz w:val="18"/>
              </w:rPr>
              <w:t>SELARAS PENUH</w:t>
            </w:r>
          </w:p>
        </w:tc>
      </w:tr>
      <w:tr>
        <w:tc>
          <w:tcPr>
            <w:tcW w:type="dxa" w:w="2160"/>
          </w:tcPr>
          <w:p>
            <w:r/>
            <w:r>
              <w:rPr>
                <w:sz w:val="18"/>
              </w:rPr>
              <w:t>(3b) Indikator Kinerja Tambahan (IKT) — 4 unsur: tujuan strategis organisasi; dampak positif terukur; daya saing internasional; telah diukur-dianalisis untuk perbaikan.</w:t>
            </w:r>
          </w:p>
        </w:tc>
        <w:tc>
          <w:tcPr>
            <w:tcW w:type="dxa" w:w="2160"/>
          </w:tcPr>
          <w:p>
            <w:r/>
            <w:r>
              <w:rPr>
                <w:sz w:val="18"/>
              </w:rPr>
              <w:t>(tidak ada padanan eksplisit — C.1 LAM INFOKOM tidak memuat sub-butir IKT terpisah).</w:t>
            </w:r>
          </w:p>
        </w:tc>
        <w:tc>
          <w:tcPr>
            <w:tcW w:type="dxa" w:w="2160"/>
          </w:tcPr>
          <w:p>
            <w:r/>
            <w:r>
              <w:rPr>
                <w:sz w:val="18"/>
              </w:rPr>
              <w:t>[SPMI] Pernyataan #32* (IKT SPMI wajib memenuhi 4 unsur — redaksi hampir identik kata demi kata dengan sumber C.7 LAM Teknik) + Strategi #54 (kerangka IKT berdimensi daya saing internasional, benchmarking).</w:t>
            </w:r>
          </w:p>
        </w:tc>
        <w:tc>
          <w:tcPr>
            <w:tcW w:type="dxa" w:w="2160"/>
          </w:tcPr>
          <w:p>
            <w:r/>
            <w:r>
              <w:rPr>
                <w:sz w:val="18"/>
              </w:rPr>
              <w:t>SELARAS PENUH</w:t>
            </w:r>
          </w:p>
        </w:tc>
      </w:tr>
      <w:tr>
        <w:tc>
          <w:tcPr>
            <w:tcW w:type="dxa" w:w="2160"/>
          </w:tcPr>
          <w:p>
            <w:r/>
            <w:r>
              <w:rPr>
                <w:sz w:val="18"/>
              </w:rPr>
              <w:t>(3c) Keterlaksanaan Penjaminan Mutu &amp; AMI — 4 aspek: tersedia dok. IKU/IKT Pendidikan-Penelitian-PkM; terlaksana siklus PPEPP; bukti sahih efektivitas; tersedia bukti peningkatan standar.</w:t>
            </w:r>
          </w:p>
        </w:tc>
        <w:tc>
          <w:tcPr>
            <w:tcW w:type="dxa" w:w="2160"/>
          </w:tcPr>
          <w:p>
            <w:r/>
            <w:r>
              <w:rPr>
                <w:sz w:val="18"/>
              </w:rPr>
              <w:t>1.2(A)/(B) [Pelaksanaan] — kegiatan pelaksanaan standar &amp; indikator tata kelola dan fungsi SPMI.</w:t>
            </w:r>
          </w:p>
        </w:tc>
        <w:tc>
          <w:tcPr>
            <w:tcW w:type="dxa" w:w="2160"/>
          </w:tcPr>
          <w:p>
            <w:r/>
            <w:r>
              <w:rPr>
                <w:sz w:val="18"/>
              </w:rPr>
              <w:t>[SPMI] Pernyataan #24 (siklus PPEPP terhadap seluruh Standar Dikti+Tambahan) + Pernyataan #27* (repeat findings AMI ≤15%, menurun — bukti efektivitas) + Pernyataan #28* (≥1 standar turunan direvisi/ditingkatkan per tahun — bukti peningkatan standar, sesuai persis persyaratan sumber).</w:t>
            </w:r>
          </w:p>
        </w:tc>
        <w:tc>
          <w:tcPr>
            <w:tcW w:type="dxa" w:w="2160"/>
          </w:tcPr>
          <w:p>
            <w:r/>
            <w:r>
              <w:rPr>
                <w:sz w:val="18"/>
              </w:rPr>
              <w:t>SELARAS PENUH</w:t>
            </w:r>
          </w:p>
        </w:tc>
      </w:tr>
      <w:tr>
        <w:tc>
          <w:tcPr>
            <w:tcW w:type="dxa" w:w="2160"/>
          </w:tcPr>
          <w:p>
            <w:r/>
            <w:r>
              <w:rPr>
                <w:sz w:val="18"/>
              </w:rPr>
              <w:t>(3d) Evaluasi Capaian Kinerja — 4 aspek: metode tepat mengukur kinerja; evaluasi indikator tak tercapai dengan mencari akar masalah+faktor pendukung; tinjauan rutin hasil pengukuran kinerja; penyebarluasan hasil pengukuran kinerja kepada pemangku kepentingan.</w:t>
            </w:r>
          </w:p>
        </w:tc>
        <w:tc>
          <w:tcPr>
            <w:tcW w:type="dxa" w:w="2160"/>
          </w:tcPr>
          <w:p>
            <w:r/>
            <w:r>
              <w:rPr>
                <w:sz w:val="18"/>
              </w:rPr>
              <w:t>1.3(A)/(B) [Evaluasi] — evaluasi berkala ketercapaian standar+indikator, termasuk survei kepuasan tata kelola &amp; SPMI (dosen, tendik, mahasiswa).</w:t>
            </w:r>
          </w:p>
        </w:tc>
        <w:tc>
          <w:tcPr>
            <w:tcW w:type="dxa" w:w="2160"/>
          </w:tcPr>
          <w:p>
            <w:r/>
            <w:r>
              <w:rPr>
                <w:sz w:val="18"/>
              </w:rPr>
              <w:t>[SPMI] Pernyataan #20* (root-cause analysis WAJIB pada evaluasi capaian kinerja tahunan) + Pernyataan #29 (monev berkala terdokumentasi) + Mekanisme Evaluasi #59 (RTM ≥1x/tahun). Penyebarluasan hasil ke pemangku kepentingan TERCAKUP SEBAGIAN: sosialisasi (Pernyataan #35 SPMI, Strategi #57) berfokus pada dokumen mutu/kebijakan, belum eksplisit menyebut diseminasi HASIL PENGUKURAN KINERJA (skor/capaian indikator) secara khusus kepada pemangku kepentingan eksternal.</w:t>
            </w:r>
          </w:p>
        </w:tc>
        <w:tc>
          <w:tcPr>
            <w:tcW w:type="dxa" w:w="2160"/>
          </w:tcPr>
          <w:p>
            <w:r/>
            <w:r>
              <w:rPr>
                <w:sz w:val="18"/>
              </w:rPr>
              <w:t>SELARAS SEBAGIAN</w:t>
            </w:r>
          </w:p>
        </w:tc>
      </w:tr>
      <w:tr>
        <w:tc>
          <w:tcPr>
            <w:tcW w:type="dxa" w:w="2160"/>
          </w:tcPr>
          <w:p>
            <w:r/>
            <w:r>
              <w:rPr>
                <w:sz w:val="18"/>
              </w:rPr>
              <w:t>(3d) survei kepuasan tata kelola &amp; fungsi SPMI, responden dosen/tendik/mahasiswa (bagian dari 1.3 Evaluasi C.1 LAM INFOKOM).</w:t>
            </w:r>
          </w:p>
        </w:tc>
        <w:tc>
          <w:tcPr>
            <w:tcW w:type="dxa" w:w="2160"/>
          </w:tcPr>
          <w:p>
            <w:r/>
            <w:r>
              <w:rPr>
                <w:sz w:val="18"/>
              </w:rPr>
              <w:t>1.3(A)/(B) — idem.</w:t>
            </w:r>
          </w:p>
        </w:tc>
        <w:tc>
          <w:tcPr>
            <w:tcW w:type="dxa" w:w="2160"/>
          </w:tcPr>
          <w:p>
            <w:r/>
            <w:r>
              <w:rPr>
                <w:sz w:val="18"/>
              </w:rPr>
              <w:t>[Tata Kelola] Pernyataan #31 (survei kepuasan pemangku kepentingan thd tata pamong ≥1x/tahun).</w:t>
            </w:r>
          </w:p>
        </w:tc>
        <w:tc>
          <w:tcPr>
            <w:tcW w:type="dxa" w:w="2160"/>
          </w:tcPr>
          <w:p>
            <w:r/>
            <w:r>
              <w:rPr>
                <w:sz w:val="18"/>
              </w:rPr>
              <w:t>SELARAS PENUH</w:t>
            </w:r>
          </w:p>
        </w:tc>
      </w:tr>
      <w:tr>
        <w:tc>
          <w:tcPr>
            <w:tcW w:type="dxa" w:w="2160"/>
          </w:tcPr>
          <w:p>
            <w:r/>
            <w:r>
              <w:rPr>
                <w:sz w:val="18"/>
              </w:rPr>
              <w:t>(3e) Kepuasan Pemangku Kepentingan — survei kepuasan (mahasiswa, dosen, tendik, lulusan, pengguna lulusan, mitra industri, mitra lainnya) terhadap layanan manajemen.</w:t>
            </w:r>
          </w:p>
        </w:tc>
        <w:tc>
          <w:tcPr>
            <w:tcW w:type="dxa" w:w="2160"/>
          </w:tcPr>
          <w:p>
            <w:r/>
            <w:r>
              <w:rPr>
                <w:sz w:val="18"/>
              </w:rPr>
              <w:t>(tercakup dalam 1.3 Evaluasi, cakupan responden lebih sempit: dosen, tendik, mahasiswa).</w:t>
            </w:r>
          </w:p>
        </w:tc>
        <w:tc>
          <w:tcPr>
            <w:tcW w:type="dxa" w:w="2160"/>
          </w:tcPr>
          <w:p>
            <w:r/>
            <w:r>
              <w:rPr>
                <w:sz w:val="18"/>
              </w:rPr>
              <w:t>[SPMI] Pernyataan #33* (survei kepuasan pemangku kepentingan — 7 kategori responden PERSIS sama dengan sumber C.7: mahasiswa, dosen, tendik, lulusan, pengguna lulusan, mitra industri, mitra lainnya, terhadap layanan manajemen) + Strategi #55.</w:t>
            </w:r>
          </w:p>
        </w:tc>
        <w:tc>
          <w:tcPr>
            <w:tcW w:type="dxa" w:w="2160"/>
          </w:tcPr>
          <w:p>
            <w:r/>
            <w:r>
              <w:rPr>
                <w:sz w:val="18"/>
              </w:rPr>
              <w:t>SELARAS PENUH (melampaui cakupan C.1 LAM INFOKOM)</w:t>
            </w:r>
          </w:p>
        </w:tc>
      </w:tr>
      <w:tr>
        <w:tc>
          <w:tcPr>
            <w:tcW w:type="dxa" w:w="2160"/>
          </w:tcPr>
          <w:p>
            <w:r/>
            <w:r>
              <w:rPr>
                <w:sz w:val="18"/>
              </w:rPr>
              <w:t>(4) Analisis Faktor Keberhasilan dan Penghambat Pelaksanaan SPM — evaluasi dari proses PPEPP, identifikasi faktor pendukung keberhasilan + penelusuran akar masalah penghambat.</w:t>
            </w:r>
          </w:p>
        </w:tc>
        <w:tc>
          <w:tcPr>
            <w:tcW w:type="dxa" w:w="2160"/>
          </w:tcPr>
          <w:p>
            <w:r/>
            <w:r>
              <w:rPr>
                <w:sz w:val="18"/>
              </w:rPr>
              <w:t>1.3 [Evaluasi] — faktor pendukung terlampaui/tercapainya standar &amp; akar masalah penyebab tidak tercapainya standar.</w:t>
            </w:r>
          </w:p>
        </w:tc>
        <w:tc>
          <w:tcPr>
            <w:tcW w:type="dxa" w:w="2160"/>
          </w:tcPr>
          <w:p>
            <w:r/>
            <w:r>
              <w:rPr>
                <w:sz w:val="18"/>
              </w:rPr>
              <w:t>[SPMI] Pernyataan #20* (root-cause analysis WAJIB, memuat identifikasi faktor pendukung DAN akar masalah, redaksi selaras persis) + Strategi #48 (template &amp; prosedur root-cause analysis).</w:t>
            </w:r>
          </w:p>
        </w:tc>
        <w:tc>
          <w:tcPr>
            <w:tcW w:type="dxa" w:w="2160"/>
          </w:tcPr>
          <w:p>
            <w:r/>
            <w:r>
              <w:rPr>
                <w:sz w:val="18"/>
              </w:rPr>
              <w:t>SELARAS PENUH</w:t>
            </w:r>
          </w:p>
        </w:tc>
      </w:tr>
      <w:tr>
        <w:tc>
          <w:tcPr>
            <w:tcW w:type="dxa" w:w="2160"/>
          </w:tcPr>
          <w:p>
            <w:r/>
            <w:r>
              <w:rPr>
                <w:sz w:val="18"/>
              </w:rPr>
              <w:t>(5) Strategi Perbaikan dan Pengembangan (Analisis SWOT) — faktor eksternal peluang/ancaman untuk kontrol dan tingkatkan kinerja pelaksanaan penjaminan mutu.</w:t>
            </w:r>
          </w:p>
        </w:tc>
        <w:tc>
          <w:tcPr>
            <w:tcW w:type="dxa" w:w="2160"/>
          </w:tcPr>
          <w:p>
            <w:r/>
            <w:r>
              <w:rPr>
                <w:sz w:val="18"/>
              </w:rPr>
              <w:t>1.4 [Pengendalian] tindak lanjut (revisi+rekomendasi); 1.5 [Peningkatan] optimalisasi standar &amp; indikator tata kelola+SPMI.</w:t>
            </w:r>
          </w:p>
        </w:tc>
        <w:tc>
          <w:tcPr>
            <w:tcW w:type="dxa" w:w="2160"/>
          </w:tcPr>
          <w:p>
            <w:r/>
            <w:r>
              <w:rPr>
                <w:sz w:val="18"/>
              </w:rPr>
              <w:t>[SPMI] Pernyataan #21* (SWOT WAJIB sebagai siklus evaluasi berkala, bukan hanya tahap penyusunan awal) + Pengendalian (Pihak Bertanggung Jawab #16, RTL) + Peningkatan (#17, berdasarkan root-cause+SWOT+survei kepuasan).</w:t>
            </w:r>
          </w:p>
        </w:tc>
        <w:tc>
          <w:tcPr>
            <w:tcW w:type="dxa" w:w="2160"/>
          </w:tcPr>
          <w:p>
            <w:r/>
            <w:r>
              <w:rPr>
                <w:sz w:val="18"/>
              </w:rPr>
              <w:t>SELARAS PENUH</w:t>
            </w:r>
          </w:p>
        </w:tc>
      </w:tr>
      <w:tr>
        <w:tc>
          <w:tcPr>
            <w:tcW w:type="dxa" w:w="2160"/>
          </w:tcPr>
          <w:p>
            <w:r/>
            <w:r>
              <w:rPr>
                <w:sz w:val="18"/>
              </w:rPr>
              <w:t>5 (lima) unsur Good University Governance C.1 LAM INFOKOM: unsur pengambil kebijakan, unsur pelaksana akademik, unsur penjaminan mutu, unsur penunjang akademik, unsur pelaksana administrasi (struktur organisasi, BUKAN prinsip GUG).</w:t>
            </w:r>
          </w:p>
        </w:tc>
        <w:tc>
          <w:tcPr>
            <w:tcW w:type="dxa" w:w="2160"/>
          </w:tcPr>
          <w:p>
            <w:r/>
            <w:r>
              <w:rPr>
                <w:sz w:val="18"/>
              </w:rPr>
              <w:t>Definisi umum C.1 (lihat baris pembuka).</w:t>
            </w:r>
          </w:p>
        </w:tc>
        <w:tc>
          <w:tcPr>
            <w:tcW w:type="dxa" w:w="2160"/>
          </w:tcPr>
          <w:p>
            <w:r/>
            <w:r>
              <w:rPr>
                <w:sz w:val="18"/>
              </w:rPr>
              <w:t>[Tata Kelola] Pernyataan #19 (Statuta, Struktur Organisasi, OTK) secara FUNGSIONAL mencakup kelima unsur (Rektor/Dekan=pengambil kebijakan; Prodi/dosen=pelaksana akademik; DJM/UJM/GKM=penjaminan mutu; unit penunjang=penunjang akademik; tenaga kependidikan=pelaksana administrasi), NAMUN tidak ada Pernyataan Standar yang secara EKSPLISIT menyebut/menamai kelima unsur GUG tersebut sesuai taksonomi persis C.1 LAM INFOKOM — berbeda dari 6 aspek GUG (Pernyataan #20) yang eksplisit menyebut nama aspeknya satu per satu.</w:t>
            </w:r>
          </w:p>
        </w:tc>
        <w:tc>
          <w:tcPr>
            <w:tcW w:type="dxa" w:w="2160"/>
          </w:tcPr>
          <w:p>
            <w:r/>
            <w:r>
              <w:rPr>
                <w:sz w:val="18"/>
              </w:rPr>
              <w:t>SELARAS SEBAGIAN (substansi ada, penamaan eksplisit belum)</w:t>
            </w:r>
          </w:p>
        </w:tc>
      </w:tr>
    </w:tbl>
    <w:p/>
    <w:p>
      <w:pPr>
        <w:pStyle w:val="Heading1"/>
      </w:pPr>
      <w:r>
        <w:t>4. TEMUAN DAN KESIMPULAN</w:t>
      </w:r>
    </w:p>
    <w:p>
      <w:r>
        <w:t>Pemetaan menemukan bahwa Standar Penjaminan Mutu Internal FTII dan Standar Tata Pamong-Tata Kelola FTII SECARA GABUNGAN telah SELARAS PENUH terhadap hampir seluruh unsur Kriteria C.7 Sistem Penjaminan Mutu LAM Teknik dan seluruh sub-butir PPEPP Kriteria C.1 Budaya Mutu LAM INFOKOM 2.1. Standar Penjaminan Mutu Internal FTII memang secara eksplisit sudah direvisi berdasarkan pemetaan Kriteria C.7 sebelumnya (lihat Rasional dokumen tersebut), sehingga sebagian besar unsur C.7 tercakup kata demi kata (IKT 4 unsur, kepuasan pemangku kepentingan 7 kategori responden, root-cause analysis, SWOT, independensi auditor, repeat findings, bukti peningkatan standar).</w:t>
      </w:r>
    </w:p>
    <w:p>
      <w:r>
        <w:t>Ditemukan 2 (dua) gap SEBAGIAN yang perlu penguatan eksplisit (bukan gap substansial/struktural):</w:t>
      </w:r>
    </w:p>
    <w:p>
      <w:pPr>
        <w:pStyle w:val="ListNumber"/>
      </w:pPr>
      <w:r>
        <w:t>Penyebarluasan hasil pengukuran kinerja kepada pemangku kepentingan (unsur C.7 3d.4) belum menjadi kalimat eksplisit tersendiri pada Standar SPMI FTII — sosialisasi yang ada (Pernyataan #35, Strategi #57) berfokus pada dokumen mutu/kebijakan/pelatihan root-cause-SWOT, belum secara eksplisit menyatakan kewajiban menyebarluaskan HASIL/CAPAIAN indikator kinerja SPMI kepada pemangku kepentingan internal maupun eksternal.</w:t>
      </w:r>
    </w:p>
    <w:p>
      <w:pPr>
        <w:pStyle w:val="ListNumber"/>
      </w:pPr>
      <w:r>
        <w:t>Taksonomi 5 (lima) unsur Good University Governance versi C.1 LAM INFOKOM (unsur pengambil kebijakan, pelaksana akademik, penjaminan mutu, penunjang akademik, pelaksana administrasi) belum disebut/dinamai secara eksplisit pada Standar Tata Kelola FTII — meskipun struktur organisasi FTII (Statuta, OTK, DJM/UJM/GKM) secara fungsional/substantif sudah mencakup kelima unsur tersebut. Perlu dibedakan dari 6 aspek GUG bercorak prinsip (Pernyataan #20) yang sudah eksplisit disebutkan.</w:t>
      </w:r>
    </w:p>
    <w:p>
      <w:r>
        <w:t>Kesimpulan: TIDAK ada gap struktural yang menghalangi pemenuhan ambang skor tertinggi C.7 LAM Teknik maupun deskriptor tertinggi C.1 LAM INFOKOM 2.1 — kedua gap di atas bersifat PENGUATAN REDAKSIONAL (explicit articulation), bukan kekurangan substansi/mekanisme. Direkomendasikan (opsional, bukan wajib) untuk menambahkan: (a) satu kalimat pada Strategi Pencapaian/Mekanisme Evaluasi Standar SPMI yang menegaskan kewajiban penyebarluasan hasil pengukuran kinerja SPMI kepada pemangku kepentingan; dan (b) satu kalimat pada Pernyataan Standar Tata Kelola yang secara eksplisit menamai kelima unsur GUG struktural (pengambil kebijakan, pelaksana akademik, penjaminan mutu, penunjang akademik, pelaksana administrasi) agar keselarasan dengan C.1 LAM INFOKOM dapat diverifikasi tanpa penafsiran.</w:t>
      </w:r>
    </w:p>
    <w:p>
      <w:pPr>
        <w:pStyle w:val="Heading1"/>
      </w:pPr>
      <w:r>
        <w:t>5. REFERENSI</w:t>
      </w:r>
    </w:p>
    <w:p>
      <w:pPr>
        <w:pStyle w:val="ListNumber"/>
      </w:pPr>
      <w:r>
        <w:t>Standar_Tata_Kelola_Unggul_FTII.docx (revisi ke-2, FTII UNISBANK).</w:t>
      </w:r>
    </w:p>
    <w:p>
      <w:pPr>
        <w:pStyle w:val="ListNumber"/>
      </w:pPr>
      <w:r>
        <w:t>Standar_Penjaminan_Mutu_Internal_Unggul_FTII.docx (FTII UNISBANK).</w:t>
      </w:r>
    </w:p>
    <w:p>
      <w:pPr>
        <w:pStyle w:val="ListNumber"/>
      </w:pPr>
      <w:r>
        <w:t>Pedoman Penyusunan LEDPS – Instrumen Akreditasi Program Studi (IAPS)-AVP 2025, LAM Teknik, Kriteria C.7 Sistem Penjaminan Mutu, halaman 22-24.</w:t>
      </w:r>
    </w:p>
    <w:p>
      <w:pPr>
        <w:pStyle w:val="ListNumber"/>
      </w:pPr>
      <w:r>
        <w:t>Laporan Evaluasi Diri LAM INFOKOM 2.1 (2025), Instrumen APS untuk Perolehan dan Perpanjangan Status Terakreditasi Unggul S1-LED, Kriteria C.1 Budaya Mutu, halaman 13-15.</w:t>
      </w:r>
    </w:p>
    <w:p/>
    <w:p>
      <w: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