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 xml:space="preserve">STANDAR PROSES PENGABDIAN KEPADA </w:t>
      </w:r>
    </w:p>
    <w:p w14:paraId="00000002">
      <w:pPr>
        <w:spacing w:after="0"/>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 xml:space="preserve">MASYARAKAT </w:t>
      </w:r>
    </w:p>
    <w:p w14:paraId="00000003">
      <w:pPr>
        <w:spacing w:after="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FAKULTAS TEKNOLOGI INFORMASI DAN INDUSTRI</w:t>
      </w:r>
    </w:p>
    <w:p w14:paraId="00000004">
      <w:pPr>
        <w:spacing w:after="0"/>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UNIVERSITAS STIKUBANK (UNISBANK)</w:t>
      </w:r>
    </w:p>
    <w:p w14:paraId="00000005">
      <w:pPr>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SEMARANG</w:t>
      </w:r>
    </w:p>
    <w:p w14:paraId="00000006">
      <w:pPr>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drawing>
          <wp:inline distT="114300" distB="114300" distL="114300" distR="114300">
            <wp:extent cx="5943600" cy="4508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7"/>
                    <a:srcRect/>
                    <a:stretch>
                      <a:fillRect/>
                    </a:stretch>
                  </pic:blipFill>
                  <pic:spPr>
                    <a:xfrm>
                      <a:off x="0" y="0"/>
                      <a:ext cx="5943600" cy="4508500"/>
                    </a:xfrm>
                    <a:prstGeom prst="rect">
                      <a:avLst/>
                    </a:prstGeom>
                  </pic:spPr>
                </pic:pic>
              </a:graphicData>
            </a:graphic>
          </wp:inline>
        </w:drawing>
      </w:r>
    </w:p>
    <w:p w14:paraId="00000007">
      <w:pPr>
        <w:jc w:val="center"/>
        <w:rPr>
          <w:rFonts w:ascii="Times New Roman" w:hAnsi="Times New Roman" w:eastAsia="Times New Roman" w:cs="Times New Roman"/>
          <w:b/>
          <w:bCs/>
          <w:sz w:val="40"/>
          <w:szCs w:val="40"/>
        </w:rPr>
      </w:pPr>
    </w:p>
    <w:p w14:paraId="00000008">
      <w:pPr>
        <w:spacing w:after="0"/>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STANDAR PROSES PENGABDIAN KEPADA MASYARAKAT</w:t>
      </w:r>
    </w:p>
    <w:p w14:paraId="00000009">
      <w:pPr>
        <w:spacing w:after="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FAKULTAS TEKNOLOGI INFORMASI DAN INDUSTRI</w:t>
      </w:r>
    </w:p>
    <w:p w14:paraId="0000000A">
      <w:pPr>
        <w:spacing w:after="0"/>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UNIVERSITAS STIKUBANK (UNISBANK)</w:t>
      </w:r>
    </w:p>
    <w:p w14:paraId="0000000B">
      <w:pPr>
        <w:spacing w:after="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40"/>
          <w:szCs w:val="40"/>
          <w:rtl w:val="0"/>
        </w:rPr>
        <w:t>SEMARANG</w:t>
      </w:r>
    </w:p>
    <w:p w14:paraId="0000000C">
      <w:pPr>
        <w:spacing w:after="0"/>
        <w:jc w:val="center"/>
        <w:rPr>
          <w:rFonts w:ascii="Times New Roman" w:hAnsi="Times New Roman" w:eastAsia="Times New Roman" w:cs="Times New Roman"/>
          <w:b/>
          <w:bCs/>
          <w:sz w:val="32"/>
          <w:szCs w:val="32"/>
        </w:rPr>
      </w:pPr>
      <w:bookmarkStart w:id="0" w:name="_heading=h.3znysh7" w:colFirst="0" w:colLast="0"/>
      <w:bookmarkEnd w:id="0"/>
    </w:p>
    <w:p w14:paraId="0000000D">
      <w:pPr>
        <w:spacing w:after="0" w:line="240" w:lineRule="auto"/>
        <w:ind w:left="1" w:hanging="3"/>
        <w:jc w:val="center"/>
        <w:rPr>
          <w:sz w:val="28"/>
          <w:szCs w:val="28"/>
        </w:rPr>
      </w:pPr>
    </w:p>
    <w:tbl>
      <w:tblPr>
        <w:tblStyle w:val="13"/>
        <w:tblW w:w="9804" w:type="dxa"/>
        <w:tblInd w:w="-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804"/>
      </w:tblGrid>
      <w:tr w14:paraId="7DB0D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000000E">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 xml:space="preserve">Visi, Misi, Tujuan dan Stategi </w:t>
            </w:r>
            <w:r>
              <w:rPr>
                <w:rFonts w:ascii="Times New Roman" w:hAnsi="Times New Roman" w:eastAsia="Times New Roman" w:cs="Times New Roman"/>
                <w:b/>
                <w:bCs/>
                <w:sz w:val="24"/>
                <w:szCs w:val="24"/>
                <w:rtl w:val="0"/>
              </w:rPr>
              <w:t>Fakultas Teknologi Informasi Dan Industri (FTII)</w:t>
            </w:r>
            <w:r>
              <w:rPr>
                <w:rFonts w:ascii="Times New Roman" w:hAnsi="Times New Roman" w:eastAsia="Times New Roman" w:cs="Times New Roman"/>
                <w:b/>
                <w:bCs/>
                <w:color w:val="000000"/>
                <w:sz w:val="24"/>
                <w:szCs w:val="24"/>
                <w:rtl w:val="0"/>
              </w:rPr>
              <w:t xml:space="preserve"> Universitas Stikubank (UNISBANK) Semarang</w:t>
            </w:r>
          </w:p>
          <w:p w14:paraId="0000000F">
            <w:pPr>
              <w:pBdr>
                <w:top w:val="none" w:color="auto" w:sz="0" w:space="0"/>
                <w:left w:val="none" w:color="auto" w:sz="0" w:space="0"/>
                <w:bottom w:val="none" w:color="auto" w:sz="0" w:space="0"/>
                <w:right w:val="none" w:color="auto" w:sz="0" w:space="0"/>
                <w:between w:val="none" w:color="auto" w:sz="0" w:space="0"/>
              </w:pBdr>
              <w:spacing w:after="0" w:line="240" w:lineRule="auto"/>
              <w:ind w:left="720" w:firstLine="0"/>
              <w:rPr>
                <w:rFonts w:ascii="Times New Roman" w:hAnsi="Times New Roman" w:eastAsia="Times New Roman" w:cs="Times New Roman"/>
                <w:b/>
                <w:bCs/>
                <w:color w:val="000000"/>
                <w:sz w:val="24"/>
                <w:szCs w:val="24"/>
              </w:rPr>
            </w:pPr>
          </w:p>
        </w:tc>
      </w:tr>
    </w:tbl>
    <w:p w14:paraId="00000010">
      <w:pPr>
        <w:spacing w:after="0" w:line="240" w:lineRule="auto"/>
        <w:ind w:hanging="2"/>
        <w:jc w:val="both"/>
        <w:rPr>
          <w:rFonts w:ascii="Times New Roman" w:hAnsi="Times New Roman" w:eastAsia="Times New Roman" w:cs="Times New Roman"/>
          <w:sz w:val="24"/>
          <w:szCs w:val="24"/>
        </w:rPr>
      </w:pPr>
    </w:p>
    <w:p w14:paraId="00000011">
      <w:pP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xml:space="preserve">Visi </w:t>
      </w:r>
      <w:r>
        <w:rPr>
          <w:rFonts w:ascii="Times New Roman" w:hAnsi="Times New Roman" w:eastAsia="Times New Roman" w:cs="Times New Roman"/>
          <w:sz w:val="24"/>
          <w:szCs w:val="24"/>
          <w:rtl w:val="0"/>
        </w:rPr>
        <w:t>Fakultas Teknologi Informasi Dan Industri (FTII) Universitas Stikubank (UNISBANK) Semarang adalah:</w:t>
      </w:r>
    </w:p>
    <w:p w14:paraId="00000012">
      <w:pPr>
        <w:spacing w:line="240" w:lineRule="auto"/>
        <w:ind w:firstLine="709"/>
        <w:jc w:val="both"/>
        <w:rPr>
          <w:rFonts w:ascii="Times New Roman" w:hAnsi="Times New Roman" w:eastAsia="Times New Roman" w:cs="Times New Roman"/>
        </w:rPr>
      </w:pPr>
      <w:r>
        <w:rPr>
          <w:rFonts w:ascii="Times New Roman" w:hAnsi="Times New Roman" w:eastAsia="Times New Roman" w:cs="Times New Roman"/>
          <w:rtl w:val="0"/>
        </w:rPr>
        <w:t>Pada tahun 2035 menjadi Fakultas Teknologi Informasi dan Industri yang unggul, inovatif, adaptif dalam penerapan ilmu komputer, informatika dan industri yang berjiwa kewirausahaan dan berdaya saing internasional</w:t>
      </w:r>
      <w:r>
        <w:rPr>
          <w:rFonts w:ascii="Times New Roman" w:hAnsi="Times New Roman" w:eastAsia="Times New Roman" w:cs="Times New Roman"/>
          <w:color w:val="010101"/>
          <w:rtl w:val="0"/>
        </w:rPr>
        <w:t>.</w:t>
      </w:r>
    </w:p>
    <w:p w14:paraId="00000013">
      <w:pPr>
        <w:spacing w:after="0" w:line="240" w:lineRule="auto"/>
        <w:ind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Misi Fakultas Teknologi Informasi Dan Industri (FTII) Universitas Stikubank (UNISBANK) Semarang adalah:</w:t>
      </w:r>
    </w:p>
    <w:p w14:paraId="0000001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Menyelenggarakan pendidikan yang menghasilkan sarjana dan magister di bidang Teknologi Informasi dan Industri yang kompeten, unggul, dan mandiri.</w:t>
      </w:r>
    </w:p>
    <w:p w14:paraId="0000001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Melaksanakan penelitian dan pengkajian rekayasa di bidang Teknologi Informasi dan Industri yang inovatif dan berkontribusi pada pengembangan ilmu.</w:t>
      </w:r>
    </w:p>
    <w:p w14:paraId="0000001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Melaksanakan pengabdian kepada masyarakat di bidang Teknologi Informasi dan Industri yang bermanfaat bagi kesejahteraan masyarakat.</w:t>
      </w:r>
    </w:p>
    <w:p w14:paraId="0000001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Mengembangkan kerja sama dalam bidang pendidikan, penelitian, pengabdian, serta kerja praktik dengan industri teknologi, manufaktur, dan UMKM pada tingkat lokal, nasional, dan internasional.</w:t>
      </w:r>
    </w:p>
    <w:p w14:paraId="0000001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before="0" w:after="28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Membentuk lulusan berkarakter mandiri, beretika, dan berjiwa wirausaha.</w:t>
      </w:r>
    </w:p>
    <w:p w14:paraId="00000019">
      <w:pPr>
        <w:spacing w:after="0" w:line="240" w:lineRule="auto"/>
        <w:ind w:hanging="2"/>
        <w:jc w:val="both"/>
        <w:rPr>
          <w:rFonts w:ascii="Times New Roman" w:hAnsi="Times New Roman" w:eastAsia="Times New Roman" w:cs="Times New Roman"/>
          <w:color w:val="010101"/>
          <w:sz w:val="24"/>
          <w:szCs w:val="24"/>
        </w:rPr>
      </w:pPr>
      <w:r>
        <w:rPr>
          <w:rFonts w:ascii="Times New Roman" w:hAnsi="Times New Roman" w:eastAsia="Times New Roman" w:cs="Times New Roman"/>
          <w:sz w:val="24"/>
          <w:szCs w:val="24"/>
          <w:rtl w:val="0"/>
        </w:rPr>
        <w:t>Tujuan Fakultas Teknologi Informasi Dan Industri (FTII) Universitas Stikubank (UNISBANK) Semarang meliputi:</w:t>
      </w:r>
      <w:r>
        <w:rPr>
          <w:rFonts w:ascii="Times New Roman" w:hAnsi="Times New Roman" w:eastAsia="Times New Roman" w:cs="Times New Roman"/>
          <w:color w:val="010101"/>
          <w:sz w:val="24"/>
          <w:szCs w:val="24"/>
          <w:rtl w:val="0"/>
        </w:rPr>
        <w:t xml:space="preserve"> </w:t>
      </w:r>
    </w:p>
    <w:p w14:paraId="0000001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Terwujudnya organisasi FTII yang transparan, akuntabel, dan berbasis TIK untuk mendukung Good University Governance.</w:t>
      </w:r>
    </w:p>
    <w:p w14:paraId="0000001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Menghasilkan lulusan yang cerdas, beretika, beriman, bertakwa, serta bertanggung jawab terhadap kesejahteraan masyarakat.</w:t>
      </w:r>
    </w:p>
    <w:p w14:paraId="0000001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Menghasilkan lulusan yang kompeten di bidang ilmu komputer, informatika, dan industri.</w:t>
      </w:r>
    </w:p>
    <w:p w14:paraId="0000001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Menghasilkan lulusan berjiwa wirausaha yang memiliki kemampuan komunikasi, hubungan interpersonal, dan negosiasi.</w:t>
      </w:r>
    </w:p>
    <w:p w14:paraId="0000001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Terwujudnya SDM yang mampu melakukan penelitian dan menghasilkan karya ilmiah.</w:t>
      </w:r>
    </w:p>
    <w:p w14:paraId="0000001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Terwujudnya SDM yang mampu mengembangkan karya ilmiah dalam rangka mendukung pengabdian kepada masyarakat.</w:t>
      </w:r>
    </w:p>
    <w:p w14:paraId="0000002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0" w:after="280" w:line="240" w:lineRule="auto"/>
        <w:ind w:left="720" w:right="0" w:hanging="360"/>
        <w:jc w:val="both"/>
        <w:rPr>
          <w:rFonts w:ascii="Times New Roman" w:hAnsi="Times New Roman" w:eastAsia="Times New Roman" w:cs="Times New Roman"/>
          <w:b w:val="0"/>
          <w:bCs w:val="0"/>
          <w:i w:val="0"/>
          <w:iCs w:val="0"/>
          <w:smallCaps w:val="0"/>
          <w:strike w:val="0"/>
          <w:color w:val="212529"/>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212529"/>
          <w:sz w:val="22"/>
          <w:szCs w:val="22"/>
          <w:u w:val="none"/>
          <w:shd w:val="clear" w:fill="auto"/>
          <w:vertAlign w:val="baseline"/>
          <w:rtl w:val="0"/>
        </w:rPr>
        <w:t>Terbentuknya jaringan kerja sama yang saling menguntungkan untuk pengembangan ilmu komputer, informatika, dan industri.</w:t>
      </w:r>
    </w:p>
    <w:p w14:paraId="00000021">
      <w:pPr>
        <w:spacing w:after="0" w:line="240" w:lineRule="auto"/>
        <w:jc w:val="both"/>
        <w:rPr>
          <w:rFonts w:ascii="Times New Roman" w:hAnsi="Times New Roman" w:eastAsia="Times New Roman" w:cs="Times New Roman"/>
          <w:color w:val="010101"/>
          <w:sz w:val="24"/>
          <w:szCs w:val="24"/>
        </w:rPr>
      </w:pPr>
      <w:r>
        <w:rPr>
          <w:rFonts w:ascii="Times New Roman" w:hAnsi="Times New Roman" w:eastAsia="Times New Roman" w:cs="Times New Roman"/>
          <w:sz w:val="24"/>
          <w:szCs w:val="24"/>
          <w:rtl w:val="0"/>
        </w:rPr>
        <w:t>Strategi  Fakultas Teknologi Informasi Dan Industri (FTII) Universitas Stikubank (UNISBANK) Semarang meliputi:</w:t>
      </w:r>
      <w:r>
        <w:rPr>
          <w:rFonts w:ascii="Times New Roman" w:hAnsi="Times New Roman" w:eastAsia="Times New Roman" w:cs="Times New Roman"/>
          <w:color w:val="010101"/>
          <w:sz w:val="24"/>
          <w:szCs w:val="24"/>
          <w:rtl w:val="0"/>
        </w:rPr>
        <w:t xml:space="preserve"> </w:t>
      </w:r>
    </w:p>
    <w:p w14:paraId="00000022">
      <w:pPr>
        <w:spacing w:after="0" w:line="240"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Strategi FTII disusun untuk memastikan seluruh visi, misi, tujuan, dan sasaran fakultas dapat dicapai secara terarah dan berkelanjutan menuju target tahun 2035. Penyusunan strategi ini mempertimbangkan perkembangan teknologi informasi dan industri, kebutuhan kompetensi masa depan, serta tuntutan dunia industri dan kebijakan pendidikan tinggi nasional.</w:t>
      </w:r>
    </w:p>
    <w:p w14:paraId="00000023">
      <w:pPr>
        <w:spacing w:after="0" w:line="240"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Untuk itu, strategi FTII difokuskan pada delapan bidang utama: (1) penguatan tata kelola dan layanan berbasis teknologi informasi; (2) peningkatan kualitas pendidikan dan kurikulum yang relevan dengan kebutuhan industri; (3) pengembangan SDM dosen dan tenaga kependidikan; (4) peningkatan penelitian dan publikasi; (5) penguatan pengabdian kepada masyarakat; (6) perluasan kerja sama dengan industri dan mitra global; (7) pengembangan sarana dan prasarana pembelajaran; serta (8) pembentukan karakter dan jiwa kewirausahaan mahasiswa.</w:t>
      </w:r>
    </w:p>
    <w:p w14:paraId="00000024">
      <w:pPr>
        <w:spacing w:after="0" w:line="240"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Melalui strategi yang terstruktur ini, FTII diharapkan mampu meningkatkan daya saing institusi, menghasilkan lulusan yang kompeten dan berkarakter, serta memberikan kontribusi nyata bagi masyarakat dan dunia industri. Strategi ini sekaligus menjadi pedoman dalam pelaksanaan program kerja fakultas secara terpadu dan berkesinambungan. Berkut ini Rincian dari ke 8 bidang utama dari strategi yang di rencanakan:</w:t>
      </w:r>
    </w:p>
    <w:p w14:paraId="00000025">
      <w:pPr>
        <w:numPr>
          <w:ilvl w:val="3"/>
          <w:numId w:val="4"/>
        </w:numPr>
        <w:spacing w:after="0" w:line="240" w:lineRule="auto"/>
        <w:ind w:left="426" w:hanging="360"/>
        <w:rPr>
          <w:rFonts w:ascii="Times New Roman" w:hAnsi="Times New Roman" w:eastAsia="Times New Roman" w:cs="Times New Roman"/>
          <w:b/>
          <w:bCs/>
        </w:rPr>
      </w:pPr>
      <w:r>
        <w:rPr>
          <w:rFonts w:ascii="Times New Roman" w:hAnsi="Times New Roman" w:eastAsia="Times New Roman" w:cs="Times New Roman"/>
          <w:b/>
          <w:bCs/>
          <w:rtl w:val="0"/>
        </w:rPr>
        <w:t>Strategi Penguatan Tata Kelola &amp; Layanan Publik</w:t>
      </w:r>
    </w:p>
    <w:p w14:paraId="00000026">
      <w:pPr>
        <w:spacing w:after="0" w:line="240" w:lineRule="auto"/>
        <w:ind w:firstLine="426"/>
        <w:rPr>
          <w:rFonts w:ascii="Times New Roman" w:hAnsi="Times New Roman" w:eastAsia="Times New Roman" w:cs="Times New Roman"/>
          <w:b/>
          <w:bCs/>
        </w:rPr>
      </w:pPr>
      <w:r>
        <w:rPr>
          <w:rFonts w:ascii="Times New Roman" w:hAnsi="Times New Roman" w:eastAsia="Times New Roman" w:cs="Times New Roman"/>
          <w:b/>
          <w:bCs/>
          <w:rtl w:val="0"/>
        </w:rPr>
        <w:t>Strategi Utama:</w:t>
      </w:r>
    </w:p>
    <w:p w14:paraId="00000027">
      <w:pPr>
        <w:numPr>
          <w:ilvl w:val="5"/>
          <w:numId w:val="4"/>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Membangun tata kelola fakultas yang transparan, akuntabel, dan berbasis teknologi informasi.</w:t>
      </w:r>
    </w:p>
    <w:p w14:paraId="00000028">
      <w:pPr>
        <w:numPr>
          <w:ilvl w:val="5"/>
          <w:numId w:val="4"/>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Mengimplementasikan Good University Governance melalui digitalisasi layanan akademik dan non-akademik.</w:t>
      </w:r>
    </w:p>
    <w:p w14:paraId="00000029">
      <w:pPr>
        <w:spacing w:after="0" w:line="240" w:lineRule="auto"/>
        <w:ind w:firstLine="426"/>
        <w:rPr>
          <w:rFonts w:ascii="Times New Roman" w:hAnsi="Times New Roman" w:eastAsia="Times New Roman" w:cs="Times New Roman"/>
          <w:b/>
          <w:bCs/>
        </w:rPr>
      </w:pPr>
      <w:r>
        <w:rPr>
          <w:rFonts w:ascii="Times New Roman" w:hAnsi="Times New Roman" w:eastAsia="Times New Roman" w:cs="Times New Roman"/>
          <w:b/>
          <w:bCs/>
          <w:rtl w:val="0"/>
        </w:rPr>
        <w:t>Strategi Operasional:</w:t>
      </w:r>
    </w:p>
    <w:p w14:paraId="0000002A">
      <w:pPr>
        <w:numPr>
          <w:ilvl w:val="1"/>
          <w:numId w:val="4"/>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Mengembangkan sistem administrasi akademik berbasis IT (digitalisasi layanan).</w:t>
      </w:r>
    </w:p>
    <w:p w14:paraId="0000002B">
      <w:pPr>
        <w:numPr>
          <w:ilvl w:val="1"/>
          <w:numId w:val="4"/>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Menerapkan SOP layanan untuk seluruh program studi.</w:t>
      </w:r>
    </w:p>
    <w:p w14:paraId="0000002C">
      <w:pPr>
        <w:numPr>
          <w:ilvl w:val="1"/>
          <w:numId w:val="4"/>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Mengoptimalkan sistem pelaporan kinerja SDM (GKM/GJM).</w:t>
      </w:r>
    </w:p>
    <w:p w14:paraId="0000002D">
      <w:pPr>
        <w:numPr>
          <w:ilvl w:val="1"/>
          <w:numId w:val="4"/>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Melakukan audit internal fakultas secara berkala.</w:t>
      </w:r>
    </w:p>
    <w:p w14:paraId="0000002E">
      <w:pPr>
        <w:numPr>
          <w:ilvl w:val="1"/>
          <w:numId w:val="4"/>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Meningkatkan kapasitas manajerial pimpinan, pengelola prodi, dan tenaga kependidikan.</w:t>
      </w:r>
    </w:p>
    <w:p w14:paraId="0000002F">
      <w:pPr>
        <w:spacing w:after="0" w:line="240" w:lineRule="auto"/>
        <w:rPr>
          <w:rFonts w:ascii="Times New Roman" w:hAnsi="Times New Roman" w:eastAsia="Times New Roman" w:cs="Times New Roman"/>
          <w:b/>
          <w:bCs/>
        </w:rPr>
      </w:pPr>
      <w:r>
        <w:rPr>
          <w:rFonts w:ascii="Times New Roman" w:hAnsi="Times New Roman" w:eastAsia="Times New Roman" w:cs="Times New Roman"/>
          <w:b/>
          <w:bCs/>
          <w:rtl w:val="0"/>
        </w:rPr>
        <w:t>2. Strategi Pengembangan Pendidikan &amp; Kurikulum</w:t>
      </w:r>
    </w:p>
    <w:p w14:paraId="00000030">
      <w:pPr>
        <w:spacing w:after="0" w:line="240" w:lineRule="auto"/>
        <w:ind w:firstLine="426"/>
        <w:rPr>
          <w:rFonts w:ascii="Times New Roman" w:hAnsi="Times New Roman" w:eastAsia="Times New Roman" w:cs="Times New Roman"/>
          <w:b/>
          <w:bCs/>
        </w:rPr>
      </w:pPr>
      <w:r>
        <w:rPr>
          <w:rFonts w:ascii="Times New Roman" w:hAnsi="Times New Roman" w:eastAsia="Times New Roman" w:cs="Times New Roman"/>
          <w:b/>
          <w:bCs/>
          <w:rtl w:val="0"/>
        </w:rPr>
        <w:t>Strategi Utama:</w:t>
      </w:r>
    </w:p>
    <w:p w14:paraId="00000031">
      <w:pPr>
        <w:numPr>
          <w:ilvl w:val="0"/>
          <w:numId w:val="5"/>
        </w:numPr>
        <w:spacing w:after="0" w:line="240" w:lineRule="auto"/>
        <w:ind w:left="1276" w:hanging="360"/>
        <w:rPr>
          <w:rFonts w:ascii="Times New Roman" w:hAnsi="Times New Roman" w:eastAsia="Times New Roman" w:cs="Times New Roman"/>
        </w:rPr>
      </w:pPr>
      <w:r>
        <w:rPr>
          <w:rFonts w:ascii="Times New Roman" w:hAnsi="Times New Roman" w:eastAsia="Times New Roman" w:cs="Times New Roman"/>
          <w:rtl w:val="0"/>
        </w:rPr>
        <w:t>Menyelenggarakan pendidikan berkualitas untuk menghasilkan lulusan kompeten, mandiri, dan berkarakter.</w:t>
      </w:r>
    </w:p>
    <w:p w14:paraId="00000032">
      <w:pPr>
        <w:numPr>
          <w:ilvl w:val="0"/>
          <w:numId w:val="5"/>
        </w:numPr>
        <w:spacing w:after="0" w:line="240" w:lineRule="auto"/>
        <w:ind w:left="1276" w:hanging="360"/>
        <w:rPr>
          <w:rFonts w:ascii="Times New Roman" w:hAnsi="Times New Roman" w:eastAsia="Times New Roman" w:cs="Times New Roman"/>
        </w:rPr>
      </w:pPr>
      <w:r>
        <w:rPr>
          <w:rFonts w:ascii="Times New Roman" w:hAnsi="Times New Roman" w:eastAsia="Times New Roman" w:cs="Times New Roman"/>
          <w:rtl w:val="0"/>
        </w:rPr>
        <w:t>Menyesuaikan kurikulum dengan perkembangan teknologi, industri, dan pasar kerja.</w:t>
      </w:r>
    </w:p>
    <w:p w14:paraId="00000033">
      <w:pPr>
        <w:spacing w:after="0" w:line="240" w:lineRule="auto"/>
        <w:rPr>
          <w:rFonts w:ascii="Times New Roman" w:hAnsi="Times New Roman" w:eastAsia="Times New Roman" w:cs="Times New Roman"/>
        </w:rPr>
      </w:pPr>
    </w:p>
    <w:p w14:paraId="00000034">
      <w:pPr>
        <w:spacing w:after="0" w:line="240" w:lineRule="auto"/>
        <w:ind w:left="426" w:firstLine="0"/>
        <w:rPr>
          <w:rFonts w:ascii="Times New Roman" w:hAnsi="Times New Roman" w:eastAsia="Times New Roman" w:cs="Times New Roman"/>
          <w:b/>
          <w:bCs/>
        </w:rPr>
      </w:pPr>
      <w:r>
        <w:rPr>
          <w:rFonts w:ascii="Times New Roman" w:hAnsi="Times New Roman" w:eastAsia="Times New Roman" w:cs="Times New Roman"/>
          <w:b/>
          <w:bCs/>
          <w:rtl w:val="0"/>
        </w:rPr>
        <w:t>Strategi Operasional:</w:t>
      </w:r>
    </w:p>
    <w:p w14:paraId="00000035">
      <w:pPr>
        <w:numPr>
          <w:ilvl w:val="0"/>
          <w:numId w:val="6"/>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Melakukan review kurikulum minimal setiap 2–4 tahun berbasis KKNI, OBE, dan kebutuhan industri.</w:t>
      </w:r>
    </w:p>
    <w:p w14:paraId="00000036">
      <w:pPr>
        <w:numPr>
          <w:ilvl w:val="0"/>
          <w:numId w:val="6"/>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Mengintegrasikan mata kuliah kewirausahaan, soft skills, dan komunikasi profesional.</w:t>
      </w:r>
    </w:p>
    <w:p w14:paraId="00000037">
      <w:pPr>
        <w:numPr>
          <w:ilvl w:val="0"/>
          <w:numId w:val="6"/>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Meningkatkan kualitas proses pembelajaran melalui monitoring dan evaluasi rutin.</w:t>
      </w:r>
    </w:p>
    <w:p w14:paraId="00000038">
      <w:pPr>
        <w:numPr>
          <w:ilvl w:val="0"/>
          <w:numId w:val="6"/>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Memperluas penggunaan teknologi pembelajaran (LMS, e-learning, simulasi industri).</w:t>
      </w:r>
    </w:p>
    <w:p w14:paraId="00000039">
      <w:pPr>
        <w:numPr>
          <w:ilvl w:val="0"/>
          <w:numId w:val="6"/>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Meningkatkan jumlah dosen bersertifikat kompetensi profesi.</w:t>
      </w:r>
    </w:p>
    <w:p w14:paraId="0000003A">
      <w:pPr>
        <w:spacing w:after="0" w:line="240" w:lineRule="auto"/>
        <w:rPr>
          <w:rFonts w:ascii="Times New Roman" w:hAnsi="Times New Roman" w:eastAsia="Times New Roman" w:cs="Times New Roman"/>
          <w:b/>
          <w:bCs/>
        </w:rPr>
      </w:pPr>
      <w:r>
        <w:rPr>
          <w:rFonts w:ascii="Times New Roman" w:hAnsi="Times New Roman" w:eastAsia="Times New Roman" w:cs="Times New Roman"/>
          <w:b/>
          <w:bCs/>
          <w:rtl w:val="0"/>
        </w:rPr>
        <w:t>3. Strategi Penguatan Sumber Daya Manusia (Dosen &amp; Tendik)</w:t>
      </w:r>
    </w:p>
    <w:p w14:paraId="0000003B">
      <w:pPr>
        <w:spacing w:after="0" w:line="240" w:lineRule="auto"/>
        <w:ind w:left="426" w:firstLine="0"/>
        <w:rPr>
          <w:rFonts w:ascii="Times New Roman" w:hAnsi="Times New Roman" w:eastAsia="Times New Roman" w:cs="Times New Roman"/>
          <w:b/>
          <w:bCs/>
        </w:rPr>
      </w:pPr>
      <w:r>
        <w:rPr>
          <w:rFonts w:ascii="Times New Roman" w:hAnsi="Times New Roman" w:eastAsia="Times New Roman" w:cs="Times New Roman"/>
          <w:b/>
          <w:bCs/>
          <w:rtl w:val="0"/>
        </w:rPr>
        <w:t>Strategi Utama:</w:t>
      </w:r>
    </w:p>
    <w:p w14:paraId="0000003C">
      <w:pPr>
        <w:numPr>
          <w:ilvl w:val="0"/>
          <w:numId w:val="7"/>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Meningkatkan kualifikasi akademik dan kompetensi profesional dosen.</w:t>
      </w:r>
    </w:p>
    <w:p w14:paraId="0000003D">
      <w:pPr>
        <w:numPr>
          <w:ilvl w:val="0"/>
          <w:numId w:val="7"/>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Mengembangkan tenaga kependidikan yang kompeten dalam layanan akademik digital.</w:t>
      </w:r>
    </w:p>
    <w:p w14:paraId="0000003E">
      <w:pPr>
        <w:spacing w:after="0" w:line="240" w:lineRule="auto"/>
        <w:ind w:left="426" w:firstLine="0"/>
        <w:rPr>
          <w:rFonts w:ascii="Times New Roman" w:hAnsi="Times New Roman" w:eastAsia="Times New Roman" w:cs="Times New Roman"/>
          <w:b/>
          <w:bCs/>
        </w:rPr>
      </w:pPr>
      <w:r>
        <w:rPr>
          <w:rFonts w:ascii="Times New Roman" w:hAnsi="Times New Roman" w:eastAsia="Times New Roman" w:cs="Times New Roman"/>
          <w:b/>
          <w:bCs/>
          <w:rtl w:val="0"/>
        </w:rPr>
        <w:t>Strategi Operasional:</w:t>
      </w:r>
    </w:p>
    <w:p w14:paraId="0000003F">
      <w:pPr>
        <w:numPr>
          <w:ilvl w:val="0"/>
          <w:numId w:val="8"/>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Mendorong dosen melanjutkan studi S3 dan memperoleh jabatan akademik.</w:t>
      </w:r>
    </w:p>
    <w:p w14:paraId="00000040">
      <w:pPr>
        <w:numPr>
          <w:ilvl w:val="0"/>
          <w:numId w:val="8"/>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Memberikan pelatihan kompetensi pedagogik dan teknologi pembelajaran.</w:t>
      </w:r>
    </w:p>
    <w:p w14:paraId="00000041">
      <w:pPr>
        <w:numPr>
          <w:ilvl w:val="0"/>
          <w:numId w:val="8"/>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Melaksanakan pelatihan non-akademik seperti leadership, komunikasi, manajemen konflik.</w:t>
      </w:r>
    </w:p>
    <w:p w14:paraId="00000042">
      <w:pPr>
        <w:numPr>
          <w:ilvl w:val="0"/>
          <w:numId w:val="8"/>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Mengirim dosen untuk sertifikasi profesi dan pelatihan industri.</w:t>
      </w:r>
    </w:p>
    <w:p w14:paraId="00000043">
      <w:pPr>
        <w:numPr>
          <w:ilvl w:val="0"/>
          <w:numId w:val="8"/>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Mengadakan workshop peningkatan keterampilan tendik dalam layanan digital.</w:t>
      </w:r>
    </w:p>
    <w:p w14:paraId="00000044">
      <w:pPr>
        <w:numPr>
          <w:ilvl w:val="0"/>
          <w:numId w:val="9"/>
        </w:numPr>
        <w:spacing w:after="0" w:line="240" w:lineRule="auto"/>
        <w:ind w:left="284" w:hanging="360"/>
        <w:rPr>
          <w:rFonts w:ascii="Times New Roman" w:hAnsi="Times New Roman" w:eastAsia="Times New Roman" w:cs="Times New Roman"/>
          <w:b/>
          <w:bCs/>
        </w:rPr>
      </w:pPr>
      <w:r>
        <w:rPr>
          <w:rFonts w:ascii="Times New Roman" w:hAnsi="Times New Roman" w:eastAsia="Times New Roman" w:cs="Times New Roman"/>
          <w:b/>
          <w:bCs/>
          <w:rtl w:val="0"/>
        </w:rPr>
        <w:t>Strategi Peningkatan Penelitian &amp; Publikasi</w:t>
      </w:r>
    </w:p>
    <w:p w14:paraId="00000045">
      <w:pPr>
        <w:spacing w:after="0" w:line="240" w:lineRule="auto"/>
        <w:ind w:firstLine="567"/>
        <w:rPr>
          <w:rFonts w:ascii="Times New Roman" w:hAnsi="Times New Roman" w:eastAsia="Times New Roman" w:cs="Times New Roman"/>
          <w:b/>
          <w:bCs/>
        </w:rPr>
      </w:pPr>
      <w:r>
        <w:rPr>
          <w:rFonts w:ascii="Times New Roman" w:hAnsi="Times New Roman" w:eastAsia="Times New Roman" w:cs="Times New Roman"/>
          <w:b/>
          <w:bCs/>
          <w:rtl w:val="0"/>
        </w:rPr>
        <w:t>Strategi Utama</w:t>
      </w:r>
    </w:p>
    <w:p w14:paraId="00000046">
      <w:pPr>
        <w:numPr>
          <w:ilvl w:val="0"/>
          <w:numId w:val="10"/>
        </w:numPr>
        <w:spacing w:after="0" w:line="240" w:lineRule="auto"/>
        <w:ind w:left="1134" w:hanging="360"/>
        <w:rPr>
          <w:rFonts w:ascii="Times New Roman" w:hAnsi="Times New Roman" w:eastAsia="Times New Roman" w:cs="Times New Roman"/>
        </w:rPr>
      </w:pPr>
      <w:r>
        <w:rPr>
          <w:rFonts w:ascii="Times New Roman" w:hAnsi="Times New Roman" w:eastAsia="Times New Roman" w:cs="Times New Roman"/>
          <w:rtl w:val="0"/>
        </w:rPr>
        <w:t>Meningkatkan kualitas dan kuantitas penelitian di bidang teknologi informasi dan industri.</w:t>
      </w:r>
    </w:p>
    <w:p w14:paraId="00000047">
      <w:pPr>
        <w:numPr>
          <w:ilvl w:val="0"/>
          <w:numId w:val="10"/>
        </w:numPr>
        <w:spacing w:after="0" w:line="240" w:lineRule="auto"/>
        <w:ind w:left="1134" w:hanging="360"/>
        <w:rPr>
          <w:rFonts w:ascii="Times New Roman" w:hAnsi="Times New Roman" w:eastAsia="Times New Roman" w:cs="Times New Roman"/>
        </w:rPr>
      </w:pPr>
      <w:r>
        <w:rPr>
          <w:rFonts w:ascii="Times New Roman" w:hAnsi="Times New Roman" w:eastAsia="Times New Roman" w:cs="Times New Roman"/>
          <w:rtl w:val="0"/>
        </w:rPr>
        <w:t>Meningkatkan output penelitian berupa publikasi, HKI, dan kerja sama riset.</w:t>
      </w:r>
    </w:p>
    <w:p w14:paraId="00000048">
      <w:pPr>
        <w:spacing w:after="0" w:line="240" w:lineRule="auto"/>
        <w:ind w:firstLine="426"/>
        <w:rPr>
          <w:rFonts w:ascii="Times New Roman" w:hAnsi="Times New Roman" w:eastAsia="Times New Roman" w:cs="Times New Roman"/>
          <w:b/>
          <w:bCs/>
        </w:rPr>
      </w:pPr>
      <w:r>
        <w:rPr>
          <w:rFonts w:ascii="Times New Roman" w:hAnsi="Times New Roman" w:eastAsia="Times New Roman" w:cs="Times New Roman"/>
          <w:b/>
          <w:bCs/>
          <w:rtl w:val="0"/>
        </w:rPr>
        <w:t>Strategi Operasional:</w:t>
      </w:r>
    </w:p>
    <w:p w14:paraId="00000049">
      <w:pPr>
        <w:numPr>
          <w:ilvl w:val="0"/>
          <w:numId w:val="11"/>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Menyediakan dana penelitian internal fakultas.</w:t>
      </w:r>
    </w:p>
    <w:p w14:paraId="0000004A">
      <w:pPr>
        <w:numPr>
          <w:ilvl w:val="0"/>
          <w:numId w:val="11"/>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Mendorong dosen mengikuti hibah penelitian nasional/internasional.</w:t>
      </w:r>
    </w:p>
    <w:p w14:paraId="0000004B">
      <w:pPr>
        <w:numPr>
          <w:ilvl w:val="0"/>
          <w:numId w:val="11"/>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Membentuk klaster riset berbasis kompetensi dosen.</w:t>
      </w:r>
    </w:p>
    <w:p w14:paraId="0000004C">
      <w:pPr>
        <w:numPr>
          <w:ilvl w:val="0"/>
          <w:numId w:val="11"/>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Mewajibkan publikasi pada jurnal nasional/internasional terindeks.</w:t>
      </w:r>
    </w:p>
    <w:p w14:paraId="0000004D">
      <w:pPr>
        <w:numPr>
          <w:ilvl w:val="0"/>
          <w:numId w:val="11"/>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Meningkatkan jumlah HKI melalui bimbingan paten dan copyright.</w:t>
      </w:r>
    </w:p>
    <w:p w14:paraId="0000004E">
      <w:pPr>
        <w:numPr>
          <w:ilvl w:val="0"/>
          <w:numId w:val="11"/>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Menyelenggarakan seminar rutin tingkat fakultas.</w:t>
      </w:r>
    </w:p>
    <w:p w14:paraId="0000004F">
      <w:pPr>
        <w:spacing w:after="0" w:line="240" w:lineRule="auto"/>
        <w:rPr>
          <w:rFonts w:ascii="Times New Roman" w:hAnsi="Times New Roman" w:eastAsia="Times New Roman" w:cs="Times New Roman"/>
          <w:b/>
          <w:bCs/>
        </w:rPr>
      </w:pPr>
      <w:r>
        <w:rPr>
          <w:rFonts w:ascii="Times New Roman" w:hAnsi="Times New Roman" w:eastAsia="Times New Roman" w:cs="Times New Roman"/>
          <w:b/>
          <w:bCs/>
          <w:rtl w:val="0"/>
        </w:rPr>
        <w:t>5.</w:t>
      </w:r>
      <w:r>
        <w:rPr>
          <w:rFonts w:ascii="Times New Roman" w:hAnsi="Times New Roman" w:eastAsia="Times New Roman" w:cs="Times New Roman"/>
          <w:rtl w:val="0"/>
        </w:rPr>
        <w:t xml:space="preserve"> </w:t>
      </w:r>
      <w:r>
        <w:rPr>
          <w:rFonts w:ascii="Times New Roman" w:hAnsi="Times New Roman" w:eastAsia="Times New Roman" w:cs="Times New Roman"/>
          <w:b/>
          <w:bCs/>
          <w:rtl w:val="0"/>
        </w:rPr>
        <w:t>Strategi Pengabdian kepada Masyarakat</w:t>
      </w:r>
    </w:p>
    <w:p w14:paraId="00000050">
      <w:pPr>
        <w:spacing w:after="0" w:line="240" w:lineRule="auto"/>
        <w:ind w:firstLine="426"/>
        <w:rPr>
          <w:rFonts w:ascii="Times New Roman" w:hAnsi="Times New Roman" w:eastAsia="Times New Roman" w:cs="Times New Roman"/>
          <w:b/>
          <w:bCs/>
        </w:rPr>
      </w:pPr>
      <w:r>
        <w:rPr>
          <w:rFonts w:ascii="Times New Roman" w:hAnsi="Times New Roman" w:eastAsia="Times New Roman" w:cs="Times New Roman"/>
          <w:b/>
          <w:bCs/>
          <w:rtl w:val="0"/>
        </w:rPr>
        <w:t>Strategi Utama:</w:t>
      </w:r>
    </w:p>
    <w:p w14:paraId="00000051">
      <w:pPr>
        <w:numPr>
          <w:ilvl w:val="0"/>
          <w:numId w:val="12"/>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Memperkuat posisi FTII sebagai pusat pemberdayaan masyarakat berbasis teknologi.</w:t>
      </w:r>
    </w:p>
    <w:p w14:paraId="00000052">
      <w:pPr>
        <w:numPr>
          <w:ilvl w:val="0"/>
          <w:numId w:val="12"/>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Mendorong inovasi dosen dalam kegiatan abdimas.</w:t>
      </w:r>
    </w:p>
    <w:p w14:paraId="00000053">
      <w:pPr>
        <w:spacing w:after="0" w:line="240" w:lineRule="auto"/>
        <w:ind w:left="426" w:firstLine="0"/>
        <w:rPr>
          <w:rFonts w:ascii="Times New Roman" w:hAnsi="Times New Roman" w:eastAsia="Times New Roman" w:cs="Times New Roman"/>
          <w:b/>
          <w:bCs/>
        </w:rPr>
      </w:pPr>
      <w:r>
        <w:rPr>
          <w:rFonts w:ascii="Times New Roman" w:hAnsi="Times New Roman" w:eastAsia="Times New Roman" w:cs="Times New Roman"/>
          <w:b/>
          <w:bCs/>
          <w:rtl w:val="0"/>
        </w:rPr>
        <w:t>Strategi Operasional:</w:t>
      </w:r>
    </w:p>
    <w:p w14:paraId="00000054">
      <w:pPr>
        <w:numPr>
          <w:ilvl w:val="0"/>
          <w:numId w:val="13"/>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Menyediakan dana hibah abdimas internal.</w:t>
      </w:r>
    </w:p>
    <w:p w14:paraId="00000055">
      <w:pPr>
        <w:numPr>
          <w:ilvl w:val="0"/>
          <w:numId w:val="13"/>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Mengarahkan abdimas agar relevan dengan kompetensi teknologi dan industri.</w:t>
      </w:r>
    </w:p>
    <w:p w14:paraId="00000056">
      <w:pPr>
        <w:numPr>
          <w:ilvl w:val="0"/>
          <w:numId w:val="13"/>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Bekerja sama dengan desa binaan, UMKM, dan pemerintah daerah.</w:t>
      </w:r>
    </w:p>
    <w:p w14:paraId="00000057">
      <w:pPr>
        <w:numPr>
          <w:ilvl w:val="0"/>
          <w:numId w:val="13"/>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Meningkatkan publikasi hasil pengabdian di jurnal nasional dan internasional.</w:t>
      </w:r>
    </w:p>
    <w:p w14:paraId="00000058">
      <w:pPr>
        <w:numPr>
          <w:ilvl w:val="0"/>
          <w:numId w:val="13"/>
        </w:numPr>
        <w:spacing w:after="0" w:line="240" w:lineRule="auto"/>
        <w:ind w:left="1134" w:hanging="360"/>
        <w:jc w:val="both"/>
        <w:rPr>
          <w:rFonts w:ascii="Times New Roman" w:hAnsi="Times New Roman" w:eastAsia="Times New Roman" w:cs="Times New Roman"/>
        </w:rPr>
      </w:pPr>
      <w:r>
        <w:rPr>
          <w:rFonts w:ascii="Times New Roman" w:hAnsi="Times New Roman" w:eastAsia="Times New Roman" w:cs="Times New Roman"/>
          <w:rtl w:val="0"/>
        </w:rPr>
        <w:t>Membuat program community empowerment berbasis IT (digitalisasi UMKM, workshop digital skill, dll).</w:t>
      </w:r>
    </w:p>
    <w:p w14:paraId="00000059">
      <w:pPr>
        <w:spacing w:after="0" w:line="240" w:lineRule="auto"/>
        <w:rPr>
          <w:rFonts w:ascii="Times New Roman" w:hAnsi="Times New Roman" w:eastAsia="Times New Roman" w:cs="Times New Roman"/>
          <w:b/>
          <w:bCs/>
        </w:rPr>
      </w:pPr>
      <w:r>
        <w:rPr>
          <w:rFonts w:ascii="Times New Roman" w:hAnsi="Times New Roman" w:eastAsia="Times New Roman" w:cs="Times New Roman"/>
          <w:b/>
          <w:bCs/>
          <w:rtl w:val="0"/>
        </w:rPr>
        <w:t>6. Strategi Kerja Sama &amp; Link and Match dengan Industri</w:t>
      </w:r>
    </w:p>
    <w:p w14:paraId="0000005A">
      <w:pPr>
        <w:spacing w:after="0" w:line="240" w:lineRule="auto"/>
        <w:ind w:firstLine="426"/>
        <w:rPr>
          <w:rFonts w:ascii="Times New Roman" w:hAnsi="Times New Roman" w:eastAsia="Times New Roman" w:cs="Times New Roman"/>
          <w:b/>
          <w:bCs/>
        </w:rPr>
      </w:pPr>
      <w:r>
        <w:rPr>
          <w:rFonts w:ascii="Times New Roman" w:hAnsi="Times New Roman" w:eastAsia="Times New Roman" w:cs="Times New Roman"/>
          <w:b/>
          <w:bCs/>
          <w:rtl w:val="0"/>
        </w:rPr>
        <w:t>Strategi Utama:</w:t>
      </w:r>
    </w:p>
    <w:p w14:paraId="0000005B">
      <w:pPr>
        <w:numPr>
          <w:ilvl w:val="0"/>
          <w:numId w:val="14"/>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Meningkatkan jejaring kerja sama dengan industri nasional dan internasional.</w:t>
      </w:r>
    </w:p>
    <w:p w14:paraId="0000005C">
      <w:pPr>
        <w:numPr>
          <w:ilvl w:val="0"/>
          <w:numId w:val="14"/>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Menjamin ketersediaan tempat magang dan rekrutmen lulusan.</w:t>
      </w:r>
    </w:p>
    <w:p w14:paraId="0000005D">
      <w:pPr>
        <w:spacing w:after="0" w:line="240" w:lineRule="auto"/>
        <w:ind w:left="426" w:firstLine="0"/>
        <w:rPr>
          <w:rFonts w:ascii="Times New Roman" w:hAnsi="Times New Roman" w:eastAsia="Times New Roman" w:cs="Times New Roman"/>
          <w:b/>
          <w:bCs/>
        </w:rPr>
      </w:pPr>
      <w:r>
        <w:rPr>
          <w:rFonts w:ascii="Times New Roman" w:hAnsi="Times New Roman" w:eastAsia="Times New Roman" w:cs="Times New Roman"/>
          <w:b/>
          <w:bCs/>
          <w:rtl w:val="0"/>
        </w:rPr>
        <w:t>Strategi Operasional:</w:t>
      </w:r>
    </w:p>
    <w:p w14:paraId="0000005E">
      <w:pPr>
        <w:numPr>
          <w:ilvl w:val="0"/>
          <w:numId w:val="15"/>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Menjalin MoU dan MoA dengan perusahaan teknologi, manufaktur, dan startup.</w:t>
      </w:r>
    </w:p>
    <w:p w14:paraId="0000005F">
      <w:pPr>
        <w:numPr>
          <w:ilvl w:val="0"/>
          <w:numId w:val="15"/>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Menjalankan program collaborative teaching, guest lecture, dan industrial visit.</w:t>
      </w:r>
    </w:p>
    <w:p w14:paraId="00000060">
      <w:pPr>
        <w:numPr>
          <w:ilvl w:val="0"/>
          <w:numId w:val="15"/>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Membentuk Career Center untuk menghubungkan mahasiswa dengan kebutuhan tenaga kerja.</w:t>
      </w:r>
    </w:p>
    <w:p w14:paraId="00000061">
      <w:pPr>
        <w:numPr>
          <w:ilvl w:val="0"/>
          <w:numId w:val="15"/>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Mengembangkan kurikulum berbasis industri (industry-driven curriculum).</w:t>
      </w:r>
    </w:p>
    <w:p w14:paraId="00000062">
      <w:pPr>
        <w:numPr>
          <w:ilvl w:val="0"/>
          <w:numId w:val="15"/>
        </w:numPr>
        <w:spacing w:after="0" w:line="240" w:lineRule="auto"/>
        <w:ind w:left="1276" w:hanging="360"/>
        <w:jc w:val="both"/>
        <w:rPr>
          <w:rFonts w:ascii="Times New Roman" w:hAnsi="Times New Roman" w:eastAsia="Times New Roman" w:cs="Times New Roman"/>
          <w:b/>
          <w:bCs/>
        </w:rPr>
      </w:pPr>
      <w:r>
        <w:rPr>
          <w:rFonts w:ascii="Times New Roman" w:hAnsi="Times New Roman" w:eastAsia="Times New Roman" w:cs="Times New Roman"/>
          <w:rtl w:val="0"/>
        </w:rPr>
        <w:t>Menjalankan program riset bersama dan joint project dengan industri.</w:t>
      </w:r>
    </w:p>
    <w:p w14:paraId="00000063">
      <w:pPr>
        <w:spacing w:after="0" w:line="240" w:lineRule="auto"/>
        <w:rPr>
          <w:rFonts w:ascii="Times New Roman" w:hAnsi="Times New Roman" w:eastAsia="Times New Roman" w:cs="Times New Roman"/>
          <w:b/>
          <w:bCs/>
        </w:rPr>
      </w:pPr>
      <w:r>
        <w:rPr>
          <w:rFonts w:ascii="Times New Roman" w:hAnsi="Times New Roman" w:eastAsia="Times New Roman" w:cs="Times New Roman"/>
          <w:b/>
          <w:bCs/>
          <w:rtl w:val="0"/>
        </w:rPr>
        <w:t>7. Strategi Pengembangan Sarana &amp; Prasarana</w:t>
      </w:r>
    </w:p>
    <w:p w14:paraId="00000064">
      <w:pPr>
        <w:spacing w:after="0" w:line="240" w:lineRule="auto"/>
        <w:ind w:firstLine="426"/>
        <w:rPr>
          <w:rFonts w:ascii="Times New Roman" w:hAnsi="Times New Roman" w:eastAsia="Times New Roman" w:cs="Times New Roman"/>
          <w:b/>
          <w:bCs/>
        </w:rPr>
      </w:pPr>
      <w:r>
        <w:rPr>
          <w:rFonts w:ascii="Times New Roman" w:hAnsi="Times New Roman" w:eastAsia="Times New Roman" w:cs="Times New Roman"/>
          <w:b/>
          <w:bCs/>
          <w:rtl w:val="0"/>
        </w:rPr>
        <w:t>Strategi Utama:</w:t>
      </w:r>
    </w:p>
    <w:p w14:paraId="00000065">
      <w:pPr>
        <w:numPr>
          <w:ilvl w:val="0"/>
          <w:numId w:val="16"/>
        </w:numPr>
        <w:spacing w:after="0" w:line="240" w:lineRule="auto"/>
        <w:ind w:left="1276" w:hanging="360"/>
        <w:rPr>
          <w:rFonts w:ascii="Times New Roman" w:hAnsi="Times New Roman" w:eastAsia="Times New Roman" w:cs="Times New Roman"/>
        </w:rPr>
      </w:pPr>
      <w:r>
        <w:rPr>
          <w:rFonts w:ascii="Times New Roman" w:hAnsi="Times New Roman" w:eastAsia="Times New Roman" w:cs="Times New Roman"/>
          <w:rtl w:val="0"/>
        </w:rPr>
        <w:t>Menyediakan sarana prasarana pembelajaran dan laboratorium yang mendukung kompetensi industri 4.0.</w:t>
      </w:r>
    </w:p>
    <w:p w14:paraId="00000066">
      <w:pPr>
        <w:numPr>
          <w:ilvl w:val="0"/>
          <w:numId w:val="16"/>
        </w:numPr>
        <w:spacing w:after="0" w:line="240" w:lineRule="auto"/>
        <w:ind w:left="1276" w:hanging="360"/>
        <w:rPr>
          <w:rFonts w:ascii="Times New Roman" w:hAnsi="Times New Roman" w:eastAsia="Times New Roman" w:cs="Times New Roman"/>
        </w:rPr>
      </w:pPr>
      <w:r>
        <w:rPr>
          <w:rFonts w:ascii="Times New Roman" w:hAnsi="Times New Roman" w:eastAsia="Times New Roman" w:cs="Times New Roman"/>
          <w:rtl w:val="0"/>
        </w:rPr>
        <w:t>Meningkatkan akses teknologi untuk menunjang kegiatan Tri Dharma.</w:t>
      </w:r>
    </w:p>
    <w:p w14:paraId="00000067">
      <w:pPr>
        <w:spacing w:after="0" w:line="240" w:lineRule="auto"/>
        <w:ind w:firstLine="426"/>
        <w:rPr>
          <w:rFonts w:ascii="Times New Roman" w:hAnsi="Times New Roman" w:eastAsia="Times New Roman" w:cs="Times New Roman"/>
          <w:b/>
          <w:bCs/>
        </w:rPr>
      </w:pPr>
      <w:r>
        <w:rPr>
          <w:rFonts w:ascii="Times New Roman" w:hAnsi="Times New Roman" w:eastAsia="Times New Roman" w:cs="Times New Roman"/>
          <w:b/>
          <w:bCs/>
          <w:rtl w:val="0"/>
        </w:rPr>
        <w:t>Strategi Operasional:</w:t>
      </w:r>
    </w:p>
    <w:p w14:paraId="00000068">
      <w:pPr>
        <w:numPr>
          <w:ilvl w:val="0"/>
          <w:numId w:val="17"/>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Mengembangkan laboratorium AI, IoT, manufaktur, multimedia, dan jaringan.</w:t>
      </w:r>
    </w:p>
    <w:p w14:paraId="00000069">
      <w:pPr>
        <w:numPr>
          <w:ilvl w:val="0"/>
          <w:numId w:val="17"/>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Mengadakan peralatan pendukung praktikum secara berkala.</w:t>
      </w:r>
    </w:p>
    <w:p w14:paraId="0000006A">
      <w:pPr>
        <w:numPr>
          <w:ilvl w:val="0"/>
          <w:numId w:val="17"/>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Meningkatkan kualitas ruang belajar, akses internet, dan fasilitas pendukung mahasiswa.</w:t>
      </w:r>
    </w:p>
    <w:p w14:paraId="0000006B">
      <w:pPr>
        <w:numPr>
          <w:ilvl w:val="0"/>
          <w:numId w:val="17"/>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Mengembangkan sistem informasi akademik terintegrasi.</w:t>
      </w:r>
    </w:p>
    <w:p w14:paraId="0000006C">
      <w:pPr>
        <w:spacing w:after="0" w:line="240" w:lineRule="auto"/>
        <w:rPr>
          <w:rFonts w:ascii="Times New Roman" w:hAnsi="Times New Roman" w:eastAsia="Times New Roman" w:cs="Times New Roman"/>
          <w:b/>
          <w:bCs/>
        </w:rPr>
      </w:pPr>
      <w:r>
        <w:rPr>
          <w:rFonts w:ascii="Times New Roman" w:hAnsi="Times New Roman" w:eastAsia="Times New Roman" w:cs="Times New Roman"/>
          <w:b/>
          <w:bCs/>
          <w:rtl w:val="0"/>
        </w:rPr>
        <w:t>8. Strategi Pembentukan Karakter &amp; Jiwa Kewirausahaan</w:t>
      </w:r>
    </w:p>
    <w:p w14:paraId="0000006D">
      <w:pPr>
        <w:spacing w:after="0" w:line="240" w:lineRule="auto"/>
        <w:ind w:firstLine="426"/>
        <w:rPr>
          <w:rFonts w:ascii="Times New Roman" w:hAnsi="Times New Roman" w:eastAsia="Times New Roman" w:cs="Times New Roman"/>
          <w:b/>
          <w:bCs/>
        </w:rPr>
      </w:pPr>
      <w:r>
        <w:rPr>
          <w:rFonts w:ascii="Times New Roman" w:hAnsi="Times New Roman" w:eastAsia="Times New Roman" w:cs="Times New Roman"/>
          <w:b/>
          <w:bCs/>
          <w:rtl w:val="0"/>
        </w:rPr>
        <w:t>Strategi Utama:</w:t>
      </w:r>
    </w:p>
    <w:p w14:paraId="0000006E">
      <w:pPr>
        <w:numPr>
          <w:ilvl w:val="0"/>
          <w:numId w:val="18"/>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Mengembangkan lulusan berkarakter, beretika, dan berjiwa wirausaha.</w:t>
      </w:r>
    </w:p>
    <w:p w14:paraId="0000006F">
      <w:pPr>
        <w:numPr>
          <w:ilvl w:val="0"/>
          <w:numId w:val="18"/>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Meningkatkan kapasitas mahasiswa dalam soft skills dan kompetensi industri.</w:t>
      </w:r>
    </w:p>
    <w:p w14:paraId="00000070">
      <w:pPr>
        <w:spacing w:after="0" w:line="240" w:lineRule="auto"/>
        <w:ind w:firstLine="426"/>
        <w:rPr>
          <w:rFonts w:ascii="Times New Roman" w:hAnsi="Times New Roman" w:eastAsia="Times New Roman" w:cs="Times New Roman"/>
          <w:b/>
          <w:bCs/>
        </w:rPr>
      </w:pPr>
      <w:r>
        <w:rPr>
          <w:rFonts w:ascii="Times New Roman" w:hAnsi="Times New Roman" w:eastAsia="Times New Roman" w:cs="Times New Roman"/>
          <w:b/>
          <w:bCs/>
          <w:rtl w:val="0"/>
        </w:rPr>
        <w:t>Strategi Operasional:</w:t>
      </w:r>
    </w:p>
    <w:p w14:paraId="00000071">
      <w:pPr>
        <w:numPr>
          <w:ilvl w:val="0"/>
          <w:numId w:val="19"/>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Integrasi nilai etika, moral, dan karakter dalam kurikulum.</w:t>
      </w:r>
    </w:p>
    <w:p w14:paraId="00000072">
      <w:pPr>
        <w:numPr>
          <w:ilvl w:val="0"/>
          <w:numId w:val="19"/>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Menyelenggarakan pelatihan kewirausahaan, startup incubator, dan business coaching.</w:t>
      </w:r>
    </w:p>
    <w:p w14:paraId="00000073">
      <w:pPr>
        <w:numPr>
          <w:ilvl w:val="0"/>
          <w:numId w:val="19"/>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Menyelenggarakan workshop soft skills: komunikasi, leadership, problem solving.</w:t>
      </w:r>
    </w:p>
    <w:p w14:paraId="00000074">
      <w:pPr>
        <w:numPr>
          <w:ilvl w:val="0"/>
          <w:numId w:val="19"/>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Mengadakan kompetisi karya inovasi, lomba teknologi, dan hackathon.</w:t>
      </w:r>
    </w:p>
    <w:p w14:paraId="00000075">
      <w:pPr>
        <w:numPr>
          <w:ilvl w:val="0"/>
          <w:numId w:val="19"/>
        </w:numPr>
        <w:spacing w:after="0" w:line="240" w:lineRule="auto"/>
        <w:ind w:left="1276" w:hanging="360"/>
        <w:jc w:val="both"/>
        <w:rPr>
          <w:rFonts w:ascii="Times New Roman" w:hAnsi="Times New Roman" w:eastAsia="Times New Roman" w:cs="Times New Roman"/>
        </w:rPr>
      </w:pPr>
      <w:r>
        <w:rPr>
          <w:rFonts w:ascii="Times New Roman" w:hAnsi="Times New Roman" w:eastAsia="Times New Roman" w:cs="Times New Roman"/>
          <w:rtl w:val="0"/>
        </w:rPr>
        <w:t>Memperkuat organisasi mahasiswa berbasis kreativitas dan teknologi.</w:t>
      </w:r>
    </w:p>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200" w:line="240" w:lineRule="auto"/>
        <w:ind w:left="720" w:right="0" w:firstLine="0"/>
        <w:jc w:val="both"/>
        <w:rPr>
          <w:rFonts w:ascii="Times New Roman" w:hAnsi="Times New Roman" w:eastAsia="Times New Roman" w:cs="Times New Roman"/>
          <w:b w:val="0"/>
          <w:bCs w:val="0"/>
          <w:i w:val="0"/>
          <w:iCs w:val="0"/>
          <w:smallCaps w:val="0"/>
          <w:strike w:val="0"/>
          <w:color w:val="010101"/>
          <w:sz w:val="24"/>
          <w:szCs w:val="24"/>
          <w:u w:val="none"/>
          <w:shd w:val="clear" w:fill="auto"/>
          <w:vertAlign w:val="baseline"/>
        </w:rPr>
      </w:pPr>
    </w:p>
    <w:p w14:paraId="551EE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200" w:line="240" w:lineRule="auto"/>
        <w:ind w:left="720" w:right="0" w:firstLine="0"/>
        <w:jc w:val="both"/>
        <w:rPr>
          <w:rFonts w:ascii="Times New Roman" w:hAnsi="Times New Roman" w:eastAsia="Times New Roman" w:cs="Times New Roman"/>
          <w:b w:val="0"/>
          <w:bCs w:val="0"/>
          <w:i w:val="0"/>
          <w:iCs w:val="0"/>
          <w:smallCaps w:val="0"/>
          <w:strike w:val="0"/>
          <w:color w:val="010101"/>
          <w:sz w:val="24"/>
          <w:szCs w:val="24"/>
          <w:u w:val="none"/>
          <w:shd w:val="clear" w:fill="auto"/>
          <w:vertAlign w:val="baseline"/>
        </w:rPr>
      </w:pPr>
    </w:p>
    <w:p w14:paraId="0CCFC3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200" w:line="240" w:lineRule="auto"/>
        <w:ind w:left="720" w:right="0" w:firstLine="0"/>
        <w:jc w:val="both"/>
        <w:rPr>
          <w:rFonts w:ascii="Times New Roman" w:hAnsi="Times New Roman" w:eastAsia="Times New Roman" w:cs="Times New Roman"/>
          <w:b w:val="0"/>
          <w:bCs w:val="0"/>
          <w:i w:val="0"/>
          <w:iCs w:val="0"/>
          <w:smallCaps w:val="0"/>
          <w:strike w:val="0"/>
          <w:color w:val="010101"/>
          <w:sz w:val="24"/>
          <w:szCs w:val="24"/>
          <w:u w:val="none"/>
          <w:shd w:val="clear" w:fill="auto"/>
          <w:vertAlign w:val="baseline"/>
        </w:rPr>
      </w:pPr>
    </w:p>
    <w:p w14:paraId="5434D1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200" w:line="240" w:lineRule="auto"/>
        <w:ind w:left="720" w:right="0" w:firstLine="0"/>
        <w:jc w:val="both"/>
        <w:rPr>
          <w:rFonts w:ascii="Times New Roman" w:hAnsi="Times New Roman" w:eastAsia="Times New Roman" w:cs="Times New Roman"/>
          <w:b w:val="0"/>
          <w:bCs w:val="0"/>
          <w:i w:val="0"/>
          <w:iCs w:val="0"/>
          <w:smallCaps w:val="0"/>
          <w:strike w:val="0"/>
          <w:color w:val="010101"/>
          <w:sz w:val="24"/>
          <w:szCs w:val="24"/>
          <w:u w:val="none"/>
          <w:shd w:val="clear" w:fill="auto"/>
          <w:vertAlign w:val="baseline"/>
        </w:rPr>
      </w:pPr>
    </w:p>
    <w:tbl>
      <w:tblPr>
        <w:tblStyle w:val="14"/>
        <w:tblW w:w="9804" w:type="dxa"/>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804"/>
      </w:tblGrid>
      <w:tr w14:paraId="3454C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000007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Acuan</w:t>
            </w:r>
          </w:p>
          <w:p w14:paraId="00000078">
            <w:pPr>
              <w:pBdr>
                <w:top w:val="none" w:color="auto" w:sz="0" w:space="0"/>
                <w:left w:val="none" w:color="auto" w:sz="0" w:space="0"/>
                <w:bottom w:val="none" w:color="auto" w:sz="0" w:space="0"/>
                <w:right w:val="none" w:color="auto" w:sz="0" w:space="0"/>
                <w:between w:val="none" w:color="auto" w:sz="0" w:space="0"/>
              </w:pBdr>
              <w:spacing w:after="0" w:line="240" w:lineRule="auto"/>
              <w:ind w:left="720" w:firstLine="0"/>
              <w:rPr>
                <w:rFonts w:ascii="Times New Roman" w:hAnsi="Times New Roman" w:eastAsia="Times New Roman" w:cs="Times New Roman"/>
                <w:b/>
                <w:bCs/>
                <w:color w:val="000000"/>
                <w:sz w:val="24"/>
                <w:szCs w:val="24"/>
              </w:rPr>
            </w:pPr>
          </w:p>
        </w:tc>
      </w:tr>
    </w:tbl>
    <w:p w14:paraId="00000079">
      <w:pPr>
        <w:widowControl w:val="0"/>
        <w:spacing w:after="0" w:line="240" w:lineRule="auto"/>
        <w:ind w:hanging="2"/>
        <w:rPr>
          <w:rFonts w:ascii="Cambria" w:hAnsi="Cambria" w:eastAsia="Cambria" w:cs="Cambria"/>
          <w:sz w:val="24"/>
          <w:szCs w:val="24"/>
        </w:rPr>
      </w:pPr>
    </w:p>
    <w:p w14:paraId="0000007A">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Acuan Standar Luaran Pengabdian kepada Masyarakat (PkM) adalah:</w:t>
      </w:r>
    </w:p>
    <w:p w14:paraId="0000007B">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Undang-Undang Republik Indonesia Nomor 12 Tahun 2012 tentang Pendidikan Tinggi.</w:t>
      </w:r>
    </w:p>
    <w:p w14:paraId="0000007C">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Peraturan Menteri Pendidikan, Kebudayaan, Riset, dan Teknologi Republik Indonesia Nomor 53 Tahun 2023 tentang Penjaminan Mutu Pendidikan Tinggi.</w:t>
      </w:r>
    </w:p>
    <w:p w14:paraId="0000007D">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Peraturan Badan Akreditasi Nasional Perguruan Tinggi Nomor 13 Tahun 2023 tentang Sistem Akreditasi Nasional Pendidikan Tinggi (SAN).</w:t>
      </w:r>
    </w:p>
    <w:p w14:paraId="0000007E">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Peraturan Badan Akreditasi Nasional Perguruan Tinggi Nomor 5 Tahun 2024 tentang Pemantauan dan Evaluasi Mutu Perguruan Tinggi (PMPT).</w:t>
      </w:r>
    </w:p>
    <w:p w14:paraId="0000007F">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Statuta Universitas Stikubank (UNISBANK) Semarang Tahun 2020.</w:t>
      </w:r>
    </w:p>
    <w:p w14:paraId="00000080">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Rencana Strategis (Renstra) Universitas Stikubank (UNISBANK) Semarang Tahun 2024–2027.</w:t>
      </w:r>
    </w:p>
    <w:p w14:paraId="00000081">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Rencana Strategis Pengabdian kepada Masyarakat Universitas Stikubank (UNISBANK) Semarang Tahun 2021–2025.</w:t>
      </w:r>
    </w:p>
    <w:p w14:paraId="00000082">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Rencana Strategis Fakultas Teknologi Informasi dan Industri (FTII) Universitas Stikubank (UNISBANK) Semarang Tahun 2024–2027.</w:t>
      </w:r>
    </w:p>
    <w:p w14:paraId="00000083">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Rencana Strategis Pengabdian kepada Masyarakat FTII Universitas Stikubank (UNISBANK) Semarang Tahun 2024–2027.</w:t>
      </w:r>
    </w:p>
    <w:p w14:paraId="00000084">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Buku Pedoman Pengabdian kepada Masyarakat Universitas Stikubank (UNISBANK) Semarang yang berlaku.</w:t>
      </w:r>
    </w:p>
    <w:p w14:paraId="00000085">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Dokumen Sistem Penjaminan Mutu Internal (SPMI) Universitas Stikubank (UNISBANK) Semarang yang meliputi Kebijakan SPMI, Manual SPMI, Standar SPMI, dan Formulir SPMI.</w:t>
      </w:r>
    </w:p>
    <w:p w14:paraId="00000086">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Instrumen Akreditasi Program Studi LAM INFOKOM 2022 (Instrumen LAM INFOKOM 1.0).</w:t>
      </w:r>
    </w:p>
    <w:p w14:paraId="00000087">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Surat Edaran LAM INFOKOM Nomor 02/SE/DE/LAM-INFOKOM/VII/2024 tentang Penyesuaian terhadap Permendikbudristek Nomor 53 Tahun 2023.</w:t>
      </w:r>
    </w:p>
    <w:p w14:paraId="00000088">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Pedoman Penerapan Siklus Penetapan, Pelaksanaan, Evaluasi, Pengendalian, dan Peningkatan (PPEPP) Standar Pengabdian kepada Masyarakat Universitas Stikubank (UNISBANK) Semarang.</w:t>
      </w:r>
    </w:p>
    <w:p w14:paraId="00000089">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hanging="360"/>
        <w:jc w:val="both"/>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val="0"/>
          <w:bCs w:val="0"/>
          <w:i w:val="0"/>
          <w:iCs w:val="0"/>
          <w:smallCaps w:val="0"/>
          <w:strike w:val="0"/>
          <w:color w:val="000000"/>
          <w:sz w:val="24"/>
          <w:szCs w:val="24"/>
          <w:u w:val="none"/>
          <w:shd w:val="clear" w:fill="auto"/>
          <w:vertAlign w:val="baseline"/>
          <w:rtl w:val="0"/>
        </w:rPr>
        <w:t>Kebijakan dan Pedoman Pengelolaan Luaran Pengabdian kepada Masyarakat, Publikasi, Hak Kekayaan Intelektual (HKI), Diseminasi Hasil PkM, Hilirisasi Inovasi, dan Lisensi Terbuka yang berlaku di Universitas Stikubank (UNISBANK) Semarang.</w:t>
      </w:r>
    </w:p>
    <w:p w14:paraId="000000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0" w:firstLine="0"/>
        <w:jc w:val="both"/>
        <w:rPr>
          <w:rFonts w:ascii="Cambria" w:hAnsi="Cambria" w:eastAsia="Cambria" w:cs="Cambria"/>
          <w:b w:val="0"/>
          <w:bCs w:val="0"/>
          <w:i w:val="0"/>
          <w:iCs w:val="0"/>
          <w:smallCaps w:val="0"/>
          <w:strike w:val="0"/>
          <w:color w:val="000000"/>
          <w:sz w:val="24"/>
          <w:szCs w:val="24"/>
          <w:u w:val="none"/>
          <w:shd w:val="clear" w:fill="auto"/>
          <w:vertAlign w:val="baseline"/>
        </w:rPr>
      </w:pPr>
    </w:p>
    <w:tbl>
      <w:tblPr>
        <w:tblStyle w:val="15"/>
        <w:tblW w:w="9714" w:type="dxa"/>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714"/>
      </w:tblGrid>
      <w:tr w14:paraId="19823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000008F">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340" w:hanging="36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Rasional Standar</w:t>
            </w:r>
          </w:p>
          <w:p w14:paraId="00000090">
            <w:pPr>
              <w:pBdr>
                <w:top w:val="none" w:color="auto" w:sz="0" w:space="0"/>
                <w:left w:val="none" w:color="auto" w:sz="0" w:space="0"/>
                <w:bottom w:val="none" w:color="auto" w:sz="0" w:space="0"/>
                <w:right w:val="none" w:color="auto" w:sz="0" w:space="0"/>
                <w:between w:val="none" w:color="auto" w:sz="0" w:space="0"/>
              </w:pBdr>
              <w:spacing w:after="0" w:line="240" w:lineRule="auto"/>
              <w:ind w:left="720" w:firstLine="0"/>
              <w:rPr>
                <w:b/>
                <w:bCs/>
                <w:color w:val="000000"/>
                <w:sz w:val="24"/>
                <w:szCs w:val="24"/>
              </w:rPr>
            </w:pPr>
          </w:p>
        </w:tc>
      </w:tr>
    </w:tbl>
    <w:p w14:paraId="00000091">
      <w:pPr>
        <w:spacing w:after="0" w:line="240" w:lineRule="auto"/>
        <w:jc w:val="both"/>
        <w:rPr>
          <w:rFonts w:ascii="Times New Roman" w:hAnsi="Times New Roman" w:eastAsia="Times New Roman" w:cs="Times New Roman"/>
          <w:sz w:val="24"/>
          <w:szCs w:val="24"/>
        </w:rPr>
      </w:pPr>
    </w:p>
    <w:p w14:paraId="00000092">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Rasional Standar Luaran Pengabdian kepada Masyarakat (PkM) Fakultas Teknologi Informasi dan Industri (FTII) Universitas Stikubank (UNISBANK) Semarang disusun sebagai perwujudan pencapaian visi, misi, tujuan, dan sasaran FTII serta Universitas Stikubank (UNISBANK) Semarang dalam menghasilkan luaran PkM yang bermutu, relevan, inovatif, terdokumentasi, dan memberikan manfaat nyata bagi masyarakat. Standar ini dikembangkan untuk memastikan bahwa setiap kegiatan PkM menghasilkan luaran yang dapat dipertanggungjawabkan secara akademik, profesional, dan sosial sesuai dengan amanat Peraturan Menteri Pendidikan, Kebudayaan, Riset, dan Teknologi Republik Indonesia Nomor 53 Tahun 2023 tentang Penjaminan Mutu Pendidikan Tinggi.</w:t>
      </w:r>
    </w:p>
    <w:p w14:paraId="0000009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Standar Luaran PkM diarahkan untuk menjamin bahwa hasil kegiatan PkM tidak berhenti pada pelaksanaan kegiatan semata, tetapi menghasilkan luaran yang terdokumentasi dengan baik dalam bentuk publikasi ilmiah, artikel pengabdian, prosiding, poster, Hak Kekayaan Intelektual (HKI), produk inovasi, model pemberdayaan masyarakat, maupun bentuk luaran lain yang dapat dimanfaatkan oleh masyarakat, dunia usaha, dunia industri, pemerintah, dan pemangku kepentingan lainnya. Luaran tersebut juga diharapkan mampu mendukung pengembangan ilmu pengetahuan dan teknologi, meningkatkan kesejahteraan masyarakat, serta memperkuat daya saing bangsa.</w:t>
      </w:r>
    </w:p>
    <w:p w14:paraId="0000009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Standar ini disusun untuk mendorong peningkatan jumlah dan mutu luaran PkM, peningkatan publikasi ilmiah hasil PkM, peningkatan perolehan HKI, peningkatan diseminasi hasil PkM, serta peningkatan kegiatan PkM yang memperoleh hibah dan kerja sama dengan mitra eksternal. Selain itu, standar ini mendorong penerapan lisensi terbuka, pengakuan masyarakat terhadap hasil PkM, hilirisasi dan komersialisasi luaran PkM, serta penguatan kolaborasi dengan dunia usaha dan dunia industri (DUDI), pemerintah, perguruan tinggi nasional maupun internasional.</w:t>
      </w:r>
    </w:p>
    <w:p w14:paraId="00000095">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Dalam rangka mendukung pelaksanaan Merdeka Belajar Kampus Merdeka (MBKM), standar ini juga menekankan keterlibatan mahasiswa dalam kegiatan dan luaran PkM, sehingga hasil PkM dapat menjadi sumber pembelajaran, studi kasus, bahan ajar, serta sarana penguatan capaian pembelajaran lulusan. Dengan demikian, pelaksanaan PkM tidak hanya memberikan manfaat kepada masyarakat, tetapi juga berkontribusi terhadap peningkatan mutu pendidikan, kompetensi lulusan, dan rekognisi institusi.</w:t>
      </w:r>
    </w:p>
    <w:p w14:paraId="00000096">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Indikator kinerja, strategi pencapaian, dan target pencapaian standar ini diturunkan dari Standar Nasional Pendidikan Tinggi, Sistem Penjaminan Mutu Internal (SPMI), Rencana Strategis Universitas, Rencana Strategis FTII, Rencana Strategis PkM, serta Instrumen Akreditasi Program Studi LAM INFOKOM 2022 (Instrumen 1.0) yang berlaku pada saat standar ini ditetapkan. Oleh karena itu, Standar Luaran PkM menjadi salah satu acuan utama dalam penyelenggaraan, evaluasi, pengendalian, dan peningkatan mutu Pengabdian kepada Masyarakat secara berkelanjutan melalui siklus PPEPP, sekaligus mendukung pencapaian indikator kinerja institusi dan akreditasi program studi di lingkungan FTII Universitas Stikubank (UNISBANK) Semarang.</w:t>
      </w:r>
    </w:p>
    <w:p w14:paraId="00000097">
      <w:pPr>
        <w:spacing w:after="0" w:line="240" w:lineRule="auto"/>
        <w:jc w:val="both"/>
        <w:rPr>
          <w:sz w:val="24"/>
          <w:szCs w:val="24"/>
        </w:rPr>
      </w:pPr>
    </w:p>
    <w:tbl>
      <w:tblPr>
        <w:tblStyle w:val="16"/>
        <w:tblW w:w="9804" w:type="dxa"/>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804"/>
      </w:tblGrid>
      <w:tr w14:paraId="1238C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0000098">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340" w:hanging="36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Pihak yang Bertanggungjawab</w:t>
            </w:r>
          </w:p>
          <w:p w14:paraId="00000099">
            <w:pPr>
              <w:pBdr>
                <w:top w:val="none" w:color="auto" w:sz="0" w:space="0"/>
                <w:left w:val="none" w:color="auto" w:sz="0" w:space="0"/>
                <w:bottom w:val="none" w:color="auto" w:sz="0" w:space="0"/>
                <w:right w:val="none" w:color="auto" w:sz="0" w:space="0"/>
                <w:between w:val="none" w:color="auto" w:sz="0" w:space="0"/>
              </w:pBdr>
              <w:spacing w:after="0" w:line="240" w:lineRule="auto"/>
              <w:ind w:left="720" w:firstLine="0"/>
              <w:rPr>
                <w:b/>
                <w:bCs/>
                <w:color w:val="000000"/>
                <w:sz w:val="24"/>
                <w:szCs w:val="24"/>
              </w:rPr>
            </w:pPr>
          </w:p>
        </w:tc>
      </w:tr>
    </w:tbl>
    <w:p w14:paraId="0000009A">
      <w:pPr>
        <w:spacing w:after="0" w:line="240" w:lineRule="auto"/>
        <w:ind w:left="540" w:hanging="541"/>
        <w:jc w:val="both"/>
        <w:rPr>
          <w:sz w:val="24"/>
          <w:szCs w:val="24"/>
        </w:rPr>
      </w:pPr>
    </w:p>
    <w:p w14:paraId="0000009B">
      <w:pPr>
        <w:numPr>
          <w:ilvl w:val="0"/>
          <w:numId w:val="2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Penetapan Standar Proses Pengabdian kepada Masyarakat (PkM) dilakukan oleh Rektor Universitas Stikubank (UNISBANK) Semarang berdasarkan usulan Direktorat Penelitian, Pengabdian kepada Masyarakat dan Publikasi (DPPMP), Fakultas Teknologi Informasi dan Industri (FTII), serta Direktorat Jaminan Mutu (DJM).</w:t>
      </w:r>
    </w:p>
    <w:p w14:paraId="0000009C">
      <w:pPr>
        <w:numPr>
          <w:ilvl w:val="0"/>
          <w:numId w:val="2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Pelaksanaan Standar Proses Pengabdian kepada Masyarakat (PkM) dilakukan oleh DPPMP, Dekan FTII, Ketua Program Studi, dosen, mahasiswa, tenaga kependidikan, reviewer internal, serta mitra kerja sama yang terlibat dalam kegiatan PkM.</w:t>
      </w:r>
    </w:p>
    <w:p w14:paraId="0000009D">
      <w:pPr>
        <w:numPr>
          <w:ilvl w:val="0"/>
          <w:numId w:val="2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Evaluasi pelaksanaan Standar Proses Pengabdian kepada Masyarakat (PkM) dilakukan oleh DPPMP, Direktorat Jaminan Mutu (DJM), Unit Jaminan Mutu (UJM) Fakultas, Gugus Kendali Mutu (GKM) Program Studi, reviewer, dan Auditor Mutu Internal melalui kegiatan monitoring, evaluasi, review, dan Audit Mutu Internal (AMI).</w:t>
      </w:r>
    </w:p>
    <w:p w14:paraId="0000009E">
      <w:pPr>
        <w:numPr>
          <w:ilvl w:val="0"/>
          <w:numId w:val="2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Pengendalian Standar Proses Pengabdian kepada Masyarakat (PkM) dilakukan oleh Rektor, Wakil Rektor Bidang Akademik dan Kemahasiswaan, Wakil Rektor Bidang Pengembangan dan Sumber Daya, DPPMP, DJM, Dekan FTII, UJM, dan GKM melalui tindak lanjut hasil monitoring, evaluasi, audit mutu internal, serta pengukuran capaian indikator kinerja standar proses PkM.</w:t>
      </w:r>
    </w:p>
    <w:p w14:paraId="0000009F">
      <w:pPr>
        <w:numPr>
          <w:ilvl w:val="0"/>
          <w:numId w:val="2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Peningkatan Standar Proses Pengabdian kepada Masyarakat (PkM) dilakukan oleh Rektor, DPPMP, DJM, Dekan FTII, UJM, GKM, Ketua Program Studi, dan dosen berdasarkan hasil evaluasi pelaksanaan standar, capaian indikator kinerja utama dan indikator kinerja tambahan, hasil Audit Mutu Internal (AMI), umpan balik mitra, serta perkembangan kebijakan nasional dan internasional di bidang Pengabdian kepada Masyarakat.</w:t>
      </w:r>
    </w:p>
    <w:p w14:paraId="000000A0">
      <w:pPr>
        <w:numPr>
          <w:ilvl w:val="0"/>
          <w:numId w:val="2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Ketua Program Studi bertanggung jawab memastikan keterlibatan mahasiswa dalam kegiatan PkM, pelaksanaan konversi SKS, integrasi hasil PkM ke dalam pembelajaran, serta kesesuaian pelaksanaan PkM dengan roadmap dan bidang keilmuan program studi.</w:t>
      </w:r>
    </w:p>
    <w:p w14:paraId="000000A1">
      <w:pPr>
        <w:numPr>
          <w:ilvl w:val="0"/>
          <w:numId w:val="2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DPPMP bertanggung jawab dalam pengelolaan seluruh proses PkM yang meliputi penyusunan pedoman, pengelolaan hibah, penunjukan reviewer, pelaksanaan monitoring dan evaluasi, dokumentasi luaran, pelaporan kegiatan PkM, fasilitasi HKI, publikasi hasil PkM, dan pengembangan kerja sama dengan mitra.</w:t>
      </w:r>
    </w:p>
    <w:p w14:paraId="000000A2">
      <w:pPr>
        <w:numPr>
          <w:ilvl w:val="0"/>
          <w:numId w:val="2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Dosen pelaksana PkM bertanggung jawab terhadap perencanaan, pelaksanaan, pelaporan, pencapaian luaran, pelibatan mahasiswa, kepatuhan terhadap kode etik PkM, serta pemenuhan target mutu yang telah ditetapkan.</w:t>
      </w:r>
    </w:p>
    <w:p w14:paraId="000000A3">
      <w:pPr>
        <w:numPr>
          <w:ilvl w:val="0"/>
          <w:numId w:val="2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Mahasiswa yang terlibat dalam kegiatan PkM bertanggung jawab melaksanakan kegiatan sesuai tugas yang diberikan, menjaga etika akademik, serta berpartisipasi dalam pencapaian luaran dan diseminasi hasil PkM.</w:t>
      </w:r>
    </w:p>
    <w:p w14:paraId="000000A4">
      <w:pPr>
        <w:numPr>
          <w:ilvl w:val="0"/>
          <w:numId w:val="2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Mitra kerja sama PkM bertanggung jawab mendukung pelaksanaan kegiatan, pemanfaatan hasil PkM, penyebarluasan dampak kegiatan, serta memberikan umpan balik terhadap kebermanfaatan program Pengabdian kepada Masyarakat.</w:t>
      </w:r>
    </w:p>
    <w:p w14:paraId="000000A5">
      <w:pPr>
        <w:spacing w:after="0" w:line="240" w:lineRule="auto"/>
        <w:ind w:hanging="2"/>
        <w:jc w:val="both"/>
        <w:rPr>
          <w:sz w:val="24"/>
          <w:szCs w:val="24"/>
        </w:rPr>
      </w:pPr>
    </w:p>
    <w:tbl>
      <w:tblPr>
        <w:tblStyle w:val="17"/>
        <w:tblW w:w="9804" w:type="dxa"/>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804"/>
      </w:tblGrid>
      <w:tr w14:paraId="3EB19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00000A6">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340" w:hanging="36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Definisi Istilah</w:t>
            </w:r>
          </w:p>
          <w:p w14:paraId="000000A7">
            <w:pPr>
              <w:pBdr>
                <w:top w:val="none" w:color="auto" w:sz="0" w:space="0"/>
                <w:left w:val="none" w:color="auto" w:sz="0" w:space="0"/>
                <w:bottom w:val="none" w:color="auto" w:sz="0" w:space="0"/>
                <w:right w:val="none" w:color="auto" w:sz="0" w:space="0"/>
                <w:between w:val="none" w:color="auto" w:sz="0" w:space="0"/>
              </w:pBdr>
              <w:spacing w:after="0" w:line="240" w:lineRule="auto"/>
              <w:ind w:left="720" w:firstLine="0"/>
              <w:rPr>
                <w:b/>
                <w:bCs/>
                <w:color w:val="000000"/>
                <w:sz w:val="24"/>
                <w:szCs w:val="24"/>
              </w:rPr>
            </w:pPr>
          </w:p>
        </w:tc>
      </w:tr>
    </w:tbl>
    <w:p w14:paraId="000000A8">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Standar Proses Pengabdian kepada Masyarakat (PkM) adalah kriteria minimal mengenai pelaksanaan, pengelolaan, pemantauan, evaluasi, pengendalian, dan peningkatan mutu kegiatan Pengabdian kepada Masyarakat yang meliputi tahap perencanaan, pelaksanaan, pelaporan, diseminasi, monitoring dan evaluasi, serta tindak lanjut hasil PkM.</w:t>
      </w:r>
    </w:p>
    <w:p w14:paraId="000000A9">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Pengabdian kepada Masyarakat (PkM) adalah kegiatan sivitas akademika dalam mengamalkan dan membudayakan ilmu pengetahuan, teknologi, seni, dan/atau humaniora untuk memajukan kesejahteraan masyarakat serta mencerdaskan kehidupan bangsa melalui penerapan hasil pendidikan dan penelitian.</w:t>
      </w:r>
    </w:p>
    <w:p w14:paraId="000000AA">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Roadmap PkM adalah dokumen peta jalan Pengabdian kepada Masyarakat yang memuat arah, fokus, tema, tahapan, dan target capaian kegiatan PkM yang menjadi acuan pelaksanaan PkM di FTII Universitas Stikubank (UNISBANK) Semarang.</w:t>
      </w:r>
    </w:p>
    <w:p w14:paraId="000000AB">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Proses PkM adalah rangkaian kegiatan yang dilaksanakan secara sistematis mulai dari penyusunan proposal, review, penetapan, pelaksanaan, monitoring dan evaluasi, pelaporan, diseminasi hasil, hingga pengukuran dampak kegiatan kepada masyarakat.</w:t>
      </w:r>
    </w:p>
    <w:p w14:paraId="000000AC">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Pengelolaan PkM adalah proses perencanaan, pengorganisasian, pelaksanaan, pemantauan, evaluasi, pengendalian, dan pengembangan kegiatan Pengabdian kepada Masyarakat yang dilakukan oleh DPPMP, fakultas, program studi, dan pelaksana PkM sesuai dengan standar mutu yang ditetapkan.</w:t>
      </w:r>
    </w:p>
    <w:p w14:paraId="000000AD">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Skema PkM Reguler adalah kegiatan PkM yang didanai oleh universitas atau sumber pendanaan lain yang dikelola secara kompetitif dan dilaksanakan berdasarkan pedoman serta roadmap PkM Universitas Stikubank (UNISBANK) Semarang.</w:t>
      </w:r>
    </w:p>
    <w:p w14:paraId="000000AE">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Skema PkM Mandiri adalah kegiatan PkM yang dilaksanakan secara mandiri oleh dosen atau kelompok dosen dengan sumber pendanaan mandiri maupun pihak lain yang sah serta tetap mengikuti ketentuan mutu dan pelaporan yang berlaku di universitas.</w:t>
      </w:r>
    </w:p>
    <w:p w14:paraId="000000AF">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Pelaksana PkM adalah dosen tetap, dosen tidak tetap, mahasiswa, atau tim pelaksana yang memperoleh penugasan resmi untuk melaksanakan kegiatan Pengabdian kepada Masyarakat sesuai bidang keahlian dan kompetensinya.</w:t>
      </w:r>
    </w:p>
    <w:p w14:paraId="000000B0">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Mahasiswa dalam PkM adalah peserta didik yang terlibat dalam kegiatan Pengabdian kepada Masyarakat sebagai anggota tim pelaksana, baik dalam bentuk kegiatan bersama dosen maupun kegiatan mahasiswa dengan bimbingan dosen.</w:t>
      </w:r>
    </w:p>
    <w:p w14:paraId="000000B1">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Reviewer PkM adalah dosen atau pakar yang ditugaskan secara resmi untuk melakukan penilaian proposal, evaluasi pelaksanaan, dan penilaian hasil kegiatan PkM berdasarkan kriteria dan instrumen yang telah ditetapkan.</w:t>
      </w:r>
    </w:p>
    <w:p w14:paraId="000000B2">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Monitoring dan Evaluasi (Monev) PkM adalah kegiatan pemantauan dan penilaian terhadap kesesuaian pelaksanaan PkM dengan proposal, roadmap, jadwal, penggunaan anggaran, luaran, serta capaian tujuan kegiatan.</w:t>
      </w:r>
    </w:p>
    <w:p w14:paraId="000000B3">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Audit Mutu Internal (AMI) PkM adalah proses pemeriksaan yang sistematis, independen, dan terdokumentasi untuk memastikan ketercapaian Standar Proses PkM sesuai siklus Penetapan, Pelaksanaan, Evaluasi, Pengendalian, dan Peningkatan (PPEPP).</w:t>
      </w:r>
    </w:p>
    <w:p w14:paraId="000000B4">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Diseminasi Hasil PkM adalah kegiatan penyebarluasan hasil Pengabdian kepada Masyarakat kepada masyarakat, mitra, pemerintah, dunia usaha dan dunia industri, maupun komunitas akademik melalui publikasi, seminar, pelatihan, media digital, atau bentuk lainnya.</w:t>
      </w:r>
    </w:p>
    <w:p w14:paraId="000000B5">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Kerja Sama PkM adalah bentuk kolaborasi antara Universitas Stikubank (UNISBANK) Semarang dengan pemerintah, dunia usaha dan dunia industri (DUDI), perguruan tinggi nasional, perguruan tinggi internasional, komunitas, maupun lembaga lainnya dalam pelaksanaan kegiatan Pengabdian kepada Masyarakat.</w:t>
      </w:r>
    </w:p>
    <w:p w14:paraId="000000B6">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Kode Etik PkM adalah seperangkat norma, prinsip, dan aturan yang mengatur perilaku pelaksana PkM untuk menjamin kegiatan dilaksanakan secara jujur, bertanggung jawab, transparan, menghormati hak masyarakat, serta sesuai dengan kaidah akademik dan peraturan perundang-undangan.</w:t>
      </w:r>
    </w:p>
    <w:p w14:paraId="000000B7">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Luaran PkM adalah hasil yang diperoleh dari pelaksanaan kegiatan Pengabdian kepada Masyarakat yang dapat berupa artikel ilmiah, prosiding, HKI, teknologi tepat guna, model pemberdayaan masyarakat, modul pelatihan, produk inovasi, atau bentuk luaran lain yang memberikan manfaat bagi masyarakat.</w:t>
      </w:r>
    </w:p>
    <w:p w14:paraId="000000B8">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Konversi SKS PkM adalah pengakuan kegiatan Pengabdian kepada Masyarakat yang diikuti mahasiswa ke dalam satuan kredit semester sesuai ketentuan akademik Universitas Stikubank (UNISBANK) Semarang.</w:t>
      </w:r>
    </w:p>
    <w:p w14:paraId="000000B9">
      <w:pPr>
        <w:numPr>
          <w:ilvl w:val="0"/>
          <w:numId w:val="22"/>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Laporan PkM adalah dokumen yang memuat seluruh proses dan hasil pelaksanaan kegiatan Pengabdian kepada Masyarakat secara komprehensif, rinci, relevan, mutakhir, dan disampaikan tepat waktu sesuai ketentuan yang berlaku.</w:t>
      </w:r>
    </w:p>
    <w:p w14:paraId="000000BA">
      <w:pPr>
        <w:spacing w:after="0" w:line="240" w:lineRule="auto"/>
        <w:ind w:left="360" w:firstLine="0"/>
        <w:jc w:val="both"/>
        <w:rPr>
          <w:rFonts w:ascii="Times New Roman" w:hAnsi="Times New Roman" w:eastAsia="Times New Roman" w:cs="Times New Roman"/>
          <w:sz w:val="24"/>
          <w:szCs w:val="24"/>
        </w:rPr>
      </w:pPr>
    </w:p>
    <w:tbl>
      <w:tblPr>
        <w:tblStyle w:val="18"/>
        <w:tblW w:w="9804" w:type="dxa"/>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804"/>
      </w:tblGrid>
      <w:tr w14:paraId="27CC6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00000BB">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340" w:hanging="36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Pernyataan Standar</w:t>
            </w:r>
          </w:p>
          <w:p w14:paraId="000000BC">
            <w:pPr>
              <w:pBdr>
                <w:top w:val="none" w:color="auto" w:sz="0" w:space="0"/>
                <w:left w:val="none" w:color="auto" w:sz="0" w:space="0"/>
                <w:bottom w:val="none" w:color="auto" w:sz="0" w:space="0"/>
                <w:right w:val="none" w:color="auto" w:sz="0" w:space="0"/>
                <w:between w:val="none" w:color="auto" w:sz="0" w:space="0"/>
              </w:pBdr>
              <w:spacing w:after="0" w:line="240" w:lineRule="auto"/>
              <w:ind w:left="720" w:firstLine="0"/>
              <w:rPr>
                <w:rFonts w:ascii="Times New Roman" w:hAnsi="Times New Roman" w:eastAsia="Times New Roman" w:cs="Times New Roman"/>
                <w:b/>
                <w:bCs/>
                <w:color w:val="000000"/>
                <w:sz w:val="24"/>
                <w:szCs w:val="24"/>
              </w:rPr>
            </w:pPr>
          </w:p>
        </w:tc>
      </w:tr>
    </w:tbl>
    <w:p w14:paraId="000000BD">
      <w:pPr>
        <w:widowControl w:val="0"/>
        <w:spacing w:after="0" w:line="240" w:lineRule="auto"/>
        <w:ind w:left="540" w:right="101" w:firstLine="0"/>
        <w:jc w:val="both"/>
        <w:rPr>
          <w:rFonts w:ascii="Times New Roman" w:hAnsi="Times New Roman" w:eastAsia="Times New Roman" w:cs="Times New Roman"/>
          <w:color w:val="000000"/>
          <w:sz w:val="24"/>
          <w:szCs w:val="24"/>
        </w:rPr>
      </w:pPr>
    </w:p>
    <w:p w14:paraId="000000BE">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FTII Universitas Stikubank (UNISBANK) Semarang menyelenggarakan proses Pengabdian kepada Masyarakat (PkM) yang berintegritas, sistematis, terencana, terdokumentasi, dan sesuai dengan roadmap PkM, kaidah akademik, serta kebutuhan masyarakat.</w:t>
      </w:r>
    </w:p>
    <w:p w14:paraId="000000BF">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FTII Universitas Stikubank (UNISBANK) Semarang memiliki SOP, pedoman, instrumen, dan mekanisme pelaksanaan PkM yang mencakup perencanaan, pengajuan proposal, review, pelaksanaan, monitoring dan evaluasi, pelaporan, diseminasi hasil, serta tindak lanjut kegiatan PkM.</w:t>
      </w:r>
    </w:p>
    <w:p w14:paraId="000000C0">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DPPMP menjamin tersedianya bukti pelaksanaan proses PkM yang sekurang-kurangnya mencakup:</w:t>
      </w:r>
      <w:r>
        <w:rPr>
          <w:rFonts w:ascii="Times New Roman" w:hAnsi="Times New Roman" w:eastAsia="Times New Roman" w:cs="Times New Roman"/>
          <w:color w:val="000000"/>
          <w:sz w:val="24"/>
          <w:szCs w:val="24"/>
          <w:rtl w:val="0"/>
        </w:rPr>
        <w:br w:type="textWrapping"/>
      </w:r>
      <w:r>
        <w:rPr>
          <w:rFonts w:ascii="Times New Roman" w:hAnsi="Times New Roman" w:eastAsia="Times New Roman" w:cs="Times New Roman"/>
          <w:color w:val="000000"/>
          <w:sz w:val="24"/>
          <w:szCs w:val="24"/>
          <w:rtl w:val="0"/>
        </w:rPr>
        <w:t>a. tata cara penilaian dan review proposal PkM;</w:t>
      </w:r>
    </w:p>
    <w:p w14:paraId="000000C1">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b. instrumen penilaian proposal PkM;</w:t>
      </w:r>
    </w:p>
    <w:p w14:paraId="000000C2">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c. legalitas pengangkatan reviewer PkM;</w:t>
      </w:r>
    </w:p>
    <w:p w14:paraId="000000C3">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d. hasil review proposal dan laporan PkM;</w:t>
      </w:r>
    </w:p>
    <w:p w14:paraId="000000C4">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e. legalitas penugasan pelaksana dan/atau kerja sama PkM;</w:t>
      </w:r>
    </w:p>
    <w:p w14:paraId="000000C5">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 kontrak pelaksanaan PkM;</w:t>
      </w:r>
    </w:p>
    <w:p w14:paraId="000000C6">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g. berita acara monitoring dan evaluasi;</w:t>
      </w:r>
    </w:p>
    <w:p w14:paraId="000000C7">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h. laporan audit mutu internal;</w:t>
      </w:r>
    </w:p>
    <w:p w14:paraId="000000C8">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i. dokumentasi pelaksanaan dan luaran PkM.</w:t>
      </w:r>
    </w:p>
    <w:p w14:paraId="000000C9">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Setiap kegiatan PkM wajib dilaksanakan sesuai roadmap PkM FTII dan Universitas serta dibuktikan dengan dokumen kesesuaian kegiatan terhadap peta jalan PkM yang telah ditetapkan.</w:t>
      </w:r>
    </w:p>
    <w:p w14:paraId="000000CA">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FTII Universitas Stikubank (UNISBANK) Semarang menjamin tersedianya laporan pelaksanaan PkM yang memenuhi aspek komprehensif, rinci, relevan, mutakhir, akuntabel, dan disampaikan tepat waktu kepada pimpinan universitas maupun pihak pemberi dana atau mitra kerja sama.</w:t>
      </w:r>
    </w:p>
    <w:p w14:paraId="000000CB">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Seluruh kegiatan PkM wajib dilaksanakan sesuai dengan rencana kegiatan, jadwal pelaksanaan, target luaran, dan penggunaan dana yang telah ditetapkan dalam proposal maupun kontrak kegiatan.</w:t>
      </w:r>
    </w:p>
    <w:p w14:paraId="000000CC">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FTII Universitas Stikubank (UNISBANK) Semarang menjamin bahwa pelaksanaan PkM tidak menimbulkan pelanggaran terhadap kaidah ilmiah, etika akademik, hukum, maupun norma sosial yang berlaku, dengan target nihil (0) kasus pelanggaran setiap tahun.</w:t>
      </w:r>
    </w:p>
    <w:p w14:paraId="000000CD">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Setiap kegiatan PkM wajib memiliki legalitas penugasan yang sah berupa Surat Tugas, Surat Keputusan, kontrak pelaksanaan, atau dokumen kerja sama yang relevan sesuai ketentuan yang berlaku.</w:t>
      </w:r>
    </w:p>
    <w:p w14:paraId="000000CE">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FTII Universitas Stikubank (UNISBANK) Semarang melaksanakan monitoring dan evaluasi kegiatan PkM secara berkala sekurang-kurangnya dua kali dalam satu tahun akademik untuk menjamin ketercapaian standar proses PkM.</w:t>
      </w:r>
    </w:p>
    <w:p w14:paraId="000000CF">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FTII Universitas Stikubank (UNISBANK) Semarang melaksanakan Audit Mutu Internal (AMI) terhadap ketercapaian Standar Proses PkM sebagai bagian dari penerapan siklus PPEPP secara berkelanjutan.</w:t>
      </w:r>
    </w:p>
    <w:p w14:paraId="000000D0">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Seluruh kegiatan PkM wajib melibatkan mahasiswa sebagai bagian dari implementasi pembelajaran berbasis pengalaman (experiential learning), dengan target keterlibatan mahasiswa sesuai indikator kinerja yang ditetapkan oleh FTII.</w:t>
      </w:r>
    </w:p>
    <w:p w14:paraId="000000D1">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Persentase kegiatan PkM yang melibatkan mahasiswa ditetapkan sebesar 100% dari total kegiatan PkM yang dilaksanakan setiap tahun akademik.</w:t>
      </w:r>
    </w:p>
    <w:p w14:paraId="000000D2">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Mahasiswa yang terlibat dalam kegiatan PkM bersama dosen atau dalam kegiatan PkM yang dibimbing dosen dapat memperoleh pengakuan aktivitas akademik dan/atau konversi satuan kredit semester (SKS) sesuai ketentuan yang berlaku.</w:t>
      </w:r>
    </w:p>
    <w:p w14:paraId="000000D3">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Kegiatan PkM dapat dilaksanakan oleh:</w:t>
      </w:r>
    </w:p>
    <w:p w14:paraId="000000D4">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101"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dosen secara mandiri;</w:t>
      </w:r>
    </w:p>
    <w:p w14:paraId="000000D5">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101"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dosen bersama mahasiswa;</w:t>
      </w:r>
    </w:p>
    <w:p w14:paraId="000000D6">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101"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mahasiswa dengan bimbingan dosen;</w:t>
      </w:r>
    </w:p>
    <w:p w14:paraId="000000D7">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sesuai dengan ketentuan akademik dan pedoman PkM yang berlaku.</w:t>
      </w:r>
    </w:p>
    <w:p w14:paraId="000000D8">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FTII Universitas Stikubank (UNISBANK) Semarang menjamin terselenggaranya diseminasi hasil PkM kepada masyarakat, mitra, dunia usaha dan dunia industri (DUDI), pemerintah, maupun komunitas akademik sebagai bentuk pertanggungjawaban akademik dan keberlanjutan program.</w:t>
      </w:r>
    </w:p>
    <w:p w14:paraId="000000D9">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Dalam melaksanakan PkM, FTII Universitas Stikubank (UNISBANK) Semarang menetapkan dan menerapkan:</w:t>
      </w:r>
    </w:p>
    <w:p w14:paraId="000000DA">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a. kode etik pelaksanaan PkM;</w:t>
      </w:r>
    </w:p>
    <w:p w14:paraId="000000DB">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b. pedoman kerja sama PkM;</w:t>
      </w:r>
    </w:p>
    <w:p w14:paraId="000000DC">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c. ketentuan pelaksana PkM;</w:t>
      </w:r>
    </w:p>
    <w:p w14:paraId="000000DD">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d. ketentuan publikasi dan diseminasi hasil PkM;</w:t>
      </w:r>
    </w:p>
    <w:p w14:paraId="000000DE">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e. pengelolaan dan kepemilikan HKI;</w:t>
      </w:r>
    </w:p>
    <w:p w14:paraId="000000DF">
      <w:pPr>
        <w:widowControl w:val="0"/>
        <w:spacing w:after="0" w:line="240" w:lineRule="auto"/>
        <w:ind w:left="720" w:right="101" w:firstLine="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 mekanisme monitoring, evaluasi, dan pelaporan PkM.</w:t>
      </w:r>
    </w:p>
    <w:p w14:paraId="000000E0">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FTII Universitas Stikubank (UNISBANK) Semarang mendorong pelaksanaan PkM melalui kerja sama dengan pemerintah, dunia usaha dan dunia industri (DUDI), perguruan tinggi nasional, perguruan tinggi internasional, dan berbagai mitra strategis lainnya guna meningkatkan relevansi dan dampak kegiatan PkM.</w:t>
      </w:r>
    </w:p>
    <w:p w14:paraId="000000E1">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DPPMP melakukan evaluasi berkala terhadap pelaksanaan dan pengembangan kompetensi dosen pelaksana PkM melalui pelatihan, workshop, pendampingan penyusunan proposal hibah eksternal, serta program peningkatan kapasitas lainnya.</w:t>
      </w:r>
    </w:p>
    <w:p w14:paraId="000000E2">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FTII Universitas Stikubank (UNISBANK) Semarang menjamin tersedianya seluruh dokumen pelaporan kegiatan dan hasil PkM sesuai jadwal yang telah ditetapkan sebagai dasar pengambilan keputusan, evaluasi mutu, dan peningkatan berkelanjutan.</w:t>
      </w:r>
    </w:p>
    <w:p w14:paraId="000000E3">
      <w:pPr>
        <w:widowControl w:val="0"/>
        <w:numPr>
          <w:ilvl w:val="0"/>
          <w:numId w:val="23"/>
        </w:numPr>
        <w:spacing w:after="0" w:line="240" w:lineRule="auto"/>
        <w:ind w:left="720" w:right="101" w:hanging="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Seluruh proses PkM wajib mendukung pencapaian Indikator Kinerja Utama (IKU), Indikator Kinerja Tambahan (IKT), sasaran Renstra FTII, Renstra Universitas, serta pemenuhan kriteria akreditasi LAM INFOKOM dan Sistem Penjaminan Mutu Internal (SPMI).</w:t>
      </w:r>
    </w:p>
    <w:p w14:paraId="000000E4">
      <w:pPr>
        <w:widowControl w:val="0"/>
        <w:spacing w:after="0" w:line="240" w:lineRule="auto"/>
        <w:ind w:right="101"/>
        <w:jc w:val="both"/>
        <w:rPr>
          <w:rFonts w:ascii="Times New Roman" w:hAnsi="Times New Roman" w:eastAsia="Times New Roman" w:cs="Times New Roman"/>
          <w:sz w:val="24"/>
          <w:szCs w:val="24"/>
        </w:rPr>
      </w:pPr>
    </w:p>
    <w:tbl>
      <w:tblPr>
        <w:tblStyle w:val="19"/>
        <w:tblW w:w="9804" w:type="dxa"/>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804"/>
      </w:tblGrid>
      <w:tr w14:paraId="3E45A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00000E6">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340" w:hanging="36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Strategi Pencapaian</w:t>
            </w:r>
          </w:p>
          <w:p w14:paraId="000000E7">
            <w:pPr>
              <w:pBdr>
                <w:top w:val="none" w:color="auto" w:sz="0" w:space="0"/>
                <w:left w:val="none" w:color="auto" w:sz="0" w:space="0"/>
                <w:bottom w:val="none" w:color="auto" w:sz="0" w:space="0"/>
                <w:right w:val="none" w:color="auto" w:sz="0" w:space="0"/>
                <w:between w:val="none" w:color="auto" w:sz="0" w:space="0"/>
              </w:pBdr>
              <w:spacing w:after="0" w:line="240" w:lineRule="auto"/>
              <w:ind w:left="720" w:firstLine="0"/>
              <w:rPr>
                <w:b/>
                <w:bCs/>
                <w:color w:val="000000"/>
                <w:sz w:val="24"/>
                <w:szCs w:val="24"/>
              </w:rPr>
            </w:pPr>
          </w:p>
        </w:tc>
      </w:tr>
    </w:tbl>
    <w:p w14:paraId="000000E8">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Rektor menetapkan kebijakan, struktur organisasi, dan Surat Keputusan tentang pembentukan unit pengelola Pengabdian kepada Masyarakat yang bertanggung jawab terhadap perencanaan, pelaksanaan, monitoring, evaluasi, dan pengembangan kegiatan PkM.</w:t>
      </w:r>
    </w:p>
    <w:p w14:paraId="000000E9">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menyusun dan menetapkan pedoman pelaksanaan PkM yang mencakup tata cara pengusulan, review, pelaksanaan, monitoring dan evaluasi, pelaporan, diseminasi, publikasi, serta tindak lanjut hasil PkM.</w:t>
      </w:r>
    </w:p>
    <w:p w14:paraId="000000EA">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menyusun panduan dan instrumen penilaian proposal PkM yang digunakan secara konsisten dalam proses seleksi dan evaluasi kegiatan PkM.</w:t>
      </w:r>
    </w:p>
    <w:p w14:paraId="000000EB">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Rektor menetapkan Surat Keputusan pengangkatan reviewer internal dan/atau eksternal untuk melakukan review proposal dan evaluasi hasil PkM.</w:t>
      </w:r>
    </w:p>
    <w:p w14:paraId="000000EC">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melaksanakan proses review proposal PkM dan mendokumentasikan seluruh hasil penilaian, rekomendasi reviewer, serta berita acara review secara terdokumentasi dan terdigitalisasi.</w:t>
      </w:r>
    </w:p>
    <w:p w14:paraId="000000ED">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memastikan setiap kegiatan PkM yang didanai memiliki Surat Tugas, Surat Keputusan, dan kontrak pelaksanaan yang sah sesuai ketentuan yang berlaku.</w:t>
      </w:r>
    </w:p>
    <w:p w14:paraId="000000EE">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melakukan verifikasi kesesuaian usulan dan pelaksanaan kegiatan PkM dengan roadmap PkM FTII dan Universitas sebelum kegiatan dilaksanakan.</w:t>
      </w:r>
    </w:p>
    <w:p w14:paraId="000000EF">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menyusun, menetapkan, dan mensosialisasikan kode etik pelaksanaan PkM kepada dosen, mahasiswa, dan seluruh pihak yang terlibat dalam kegiatan PkM.</w:t>
      </w:r>
    </w:p>
    <w:p w14:paraId="000000F0">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menyusun pedoman kerja sama PkM dengan pemerintah, dunia usaha dan dunia industri (DUDI), perguruan tinggi nasional, perguruan tinggi internasional, serta mitra strategis lainnya.</w:t>
      </w:r>
    </w:p>
    <w:p w14:paraId="000000F1">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Universitas menyediakan dan mengembangkan lembaga atau unit pengelola Hak Kekayaan Intelektual (HKI) untuk mendukung perlindungan luaran PkM.</w:t>
      </w:r>
    </w:p>
    <w:p w14:paraId="000000F2">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melaksanakan monitoring dan evaluasi pelaksanaan PkM secara berkala sekurang-kurangnya dua kali setiap tahun akademik dan mendokumentasikan hasilnya dalam bentuk laporan dan berita acara.</w:t>
      </w:r>
    </w:p>
    <w:p w14:paraId="000000F3">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Program Studi bersama DPPMP melakukan monitoring keterlibatan mahasiswa dalam kegiatan PkM guna mencapai target persentase keterlibatan mahasiswa yang telah ditetapkan.</w:t>
      </w:r>
    </w:p>
    <w:p w14:paraId="000000F4">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menetapkan kebijakan bahwa setiap kegiatan PkM dosen wajib melibatkan mahasiswa sesuai capaian target IKU dan IKT FTII.</w:t>
      </w:r>
    </w:p>
    <w:p w14:paraId="000000F5">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Kaprodi memfasilitasi pengakuan dan konversi SKS bagi mahasiswa yang terlibat dalam kegiatan PkM sesuai ketentuan akademik yang berlaku.</w:t>
      </w:r>
    </w:p>
    <w:p w14:paraId="000000F6">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melaksanakan diseminasi hasil PkM melalui seminar, publikasi, pelatihan, media digital, maupun bentuk penyebarluasan lainnya kepada masyarakat dan mitra.</w:t>
      </w:r>
    </w:p>
    <w:p w14:paraId="000000F7">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menyusun dan menyampaikan laporan pelaksanaan PkM secara periodik kepada pimpinan universitas yang memuat capaian program, penggunaan anggaran, luaran, serta tindak lanjut kegiatan.</w:t>
      </w:r>
    </w:p>
    <w:p w14:paraId="000000F8">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DJM, UJM, dan GKM melaksanakan Audit Mutu Internal (AMI) secara berkala terhadap ketercapaian Standar Proses PkM sebagai bagian dari implementasi siklus PPEPP.</w:t>
      </w:r>
    </w:p>
    <w:p w14:paraId="000000F9">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menyelenggarakan pelatihan, workshop, dan pendampingan penyusunan proposal hibah eksternal PkM bagi dosen pelaksana pengabdian sekurang-kurangnya dua kali setiap tahun.</w:t>
      </w:r>
    </w:p>
    <w:p w14:paraId="000000FA">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melakukan evaluasi dan pengembangan kompetensi dosen pelaksana PkM melalui program peningkatan kapasitas, pendampingan, dan benchmarking secara berkelanjutan.</w:t>
      </w:r>
    </w:p>
    <w:p w14:paraId="000000FB">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memastikan seluruh kegiatan PkM dilaksanakan sesuai rencana, jadwal, target luaran, serta penggunaan dana yang telah ditetapkan dalam proposal dan kontrak kegiatan.</w:t>
      </w:r>
    </w:p>
    <w:p w14:paraId="000000FC">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memastikan tersedianya dokumentasi lengkap seluruh proses dan luaran PkM yang meliputi proposal, hasil review, kontrak, laporan kemajuan, laporan akhir, dokumentasi kegiatan, publikasi, dan luaran lainnya.</w:t>
      </w:r>
    </w:p>
    <w:p w14:paraId="000000FD">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FTII dan DPPMP mendorong pelaksanaan PkM kolaboratif dengan pemerintah, DUDI, perguruan tinggi nasional, dan perguruan tinggi internasional untuk meningkatkan relevansi, keberlanjutan, dan dampak kegiatan PkM.</w:t>
      </w:r>
    </w:p>
    <w:p w14:paraId="000000FE">
      <w:pPr>
        <w:keepNext w:val="0"/>
        <w:keepLines w:val="0"/>
        <w:pageBreakBefore w:val="0"/>
        <w:widowControl w:val="0"/>
        <w:numPr>
          <w:ilvl w:val="0"/>
          <w:numId w:val="24"/>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0" w:after="200" w:line="276" w:lineRule="auto"/>
        <w:ind w:left="720" w:right="72"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DPPMP memastikan seluruh dokumen pelaporan kegiatan dan hasil PkM tersedia secara lengkap, akurat, mutakhir, dan dapat digunakan sebagai dasar evaluasi, pengendalian, serta peningkatan mutu berkelanjutan.</w:t>
      </w:r>
    </w:p>
    <w:p w14:paraId="00000101">
      <w:pPr>
        <w:widowControl w:val="0"/>
        <w:tabs>
          <w:tab w:val="left" w:pos="720"/>
        </w:tabs>
        <w:ind w:right="72"/>
        <w:jc w:val="both"/>
        <w:rPr>
          <w:rFonts w:ascii="Times New Roman" w:hAnsi="Times New Roman" w:eastAsia="Times New Roman" w:cs="Times New Roman"/>
          <w:sz w:val="24"/>
          <w:szCs w:val="24"/>
        </w:rPr>
      </w:pPr>
    </w:p>
    <w:p w14:paraId="7157EBC5">
      <w:pPr>
        <w:widowControl w:val="0"/>
        <w:tabs>
          <w:tab w:val="left" w:pos="720"/>
        </w:tabs>
        <w:ind w:right="72"/>
        <w:jc w:val="both"/>
        <w:rPr>
          <w:rFonts w:ascii="Times New Roman" w:hAnsi="Times New Roman" w:eastAsia="Times New Roman" w:cs="Times New Roman"/>
          <w:sz w:val="24"/>
          <w:szCs w:val="24"/>
        </w:rPr>
      </w:pPr>
    </w:p>
    <w:tbl>
      <w:tblPr>
        <w:tblStyle w:val="20"/>
        <w:tblW w:w="10074" w:type="dxa"/>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74"/>
      </w:tblGrid>
      <w:tr w14:paraId="24E29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0000102">
            <w:pPr>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 Indikator Kinerja Utama</w:t>
            </w:r>
          </w:p>
        </w:tc>
      </w:tr>
    </w:tbl>
    <w:p w14:paraId="00000103">
      <w:pPr>
        <w:spacing w:after="0" w:line="240" w:lineRule="auto"/>
        <w:ind w:hanging="2"/>
        <w:jc w:val="both"/>
        <w:rPr>
          <w:rFonts w:ascii="Cambria" w:hAnsi="Cambria" w:eastAsia="Cambria" w:cs="Cambria"/>
          <w:sz w:val="24"/>
          <w:szCs w:val="24"/>
        </w:rPr>
      </w:pPr>
      <w:r>
        <w:rPr>
          <w:rFonts w:ascii="Cambria" w:hAnsi="Cambria" w:eastAsia="Cambria" w:cs="Cambria"/>
          <w:sz w:val="24"/>
          <w:szCs w:val="24"/>
          <w:rtl w:val="0"/>
        </w:rPr>
        <w:t>Pelaksanaan PKM</w:t>
      </w:r>
    </w:p>
    <w:tbl>
      <w:tblPr>
        <w:tblStyle w:val="21"/>
        <w:tblW w:w="100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3"/>
        <w:gridCol w:w="3542"/>
        <w:gridCol w:w="1233"/>
        <w:gridCol w:w="1186"/>
        <w:gridCol w:w="1190"/>
        <w:gridCol w:w="1235"/>
        <w:gridCol w:w="1186"/>
      </w:tblGrid>
      <w:tr w14:paraId="7F31A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04">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NO</w:t>
            </w:r>
          </w:p>
        </w:tc>
        <w:tc>
          <w:tcPr>
            <w:vAlign w:val="center"/>
          </w:tcPr>
          <w:p w14:paraId="00000105">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Indikator Ketercapaian</w:t>
            </w:r>
          </w:p>
        </w:tc>
        <w:tc>
          <w:tcPr>
            <w:vAlign w:val="center"/>
          </w:tcPr>
          <w:p w14:paraId="00000106">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Dokumen</w:t>
            </w:r>
          </w:p>
        </w:tc>
        <w:tc>
          <w:tcPr>
            <w:vAlign w:val="center"/>
          </w:tcPr>
          <w:p w14:paraId="00000107">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2023/2024</w:t>
            </w:r>
          </w:p>
        </w:tc>
        <w:tc>
          <w:tcPr>
            <w:vAlign w:val="center"/>
          </w:tcPr>
          <w:p w14:paraId="00000108">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2024/2025</w:t>
            </w:r>
          </w:p>
        </w:tc>
        <w:tc>
          <w:tcPr>
            <w:vAlign w:val="center"/>
          </w:tcPr>
          <w:p w14:paraId="00000109">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2025/2026</w:t>
            </w:r>
          </w:p>
        </w:tc>
        <w:tc>
          <w:tcPr>
            <w:vAlign w:val="center"/>
          </w:tcPr>
          <w:p w14:paraId="0000010A">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2026/2027</w:t>
            </w:r>
          </w:p>
        </w:tc>
      </w:tr>
      <w:tr w14:paraId="59514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0B">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1</w:t>
            </w:r>
          </w:p>
        </w:tc>
        <w:tc>
          <w:tcPr>
            <w:vAlign w:val="center"/>
          </w:tcPr>
          <w:p w14:paraId="0000010C">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Tersedianya Dokumen laporan kegiatan PKM memenuhi aspek komprehensif, rinci, relevan, mutakhir, dan tepat waktu</w:t>
            </w:r>
          </w:p>
        </w:tc>
        <w:tc>
          <w:tcPr>
            <w:vAlign w:val="center"/>
          </w:tcPr>
          <w:p w14:paraId="0000010D">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Laporan PKM Dosen</w:t>
            </w:r>
          </w:p>
        </w:tc>
        <w:tc>
          <w:tcPr>
            <w:vAlign w:val="center"/>
          </w:tcPr>
          <w:p w14:paraId="0000010E">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0F">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10">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11">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r>
      <w:tr w14:paraId="75DF4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12">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2</w:t>
            </w:r>
          </w:p>
        </w:tc>
        <w:tc>
          <w:tcPr>
            <w:vAlign w:val="center"/>
          </w:tcPr>
          <w:p w14:paraId="00000113">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Tersedianya bukti pelaksanaan review proposal dan hasil PKM</w:t>
            </w:r>
          </w:p>
        </w:tc>
        <w:tc>
          <w:tcPr>
            <w:vAlign w:val="center"/>
          </w:tcPr>
          <w:p w14:paraId="00000114">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SK Reviewer, Berita Acara Review</w:t>
            </w:r>
          </w:p>
        </w:tc>
        <w:tc>
          <w:tcPr>
            <w:vAlign w:val="center"/>
          </w:tcPr>
          <w:p w14:paraId="00000115">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16">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17">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18">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r>
      <w:tr w14:paraId="4132B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19">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3</w:t>
            </w:r>
          </w:p>
        </w:tc>
        <w:tc>
          <w:tcPr>
            <w:vAlign w:val="center"/>
          </w:tcPr>
          <w:p w14:paraId="0000011A">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Tersedianya kontrak pelaksanaan PKM yang sah dan terdokumentasi</w:t>
            </w:r>
          </w:p>
        </w:tc>
        <w:tc>
          <w:tcPr>
            <w:vAlign w:val="center"/>
          </w:tcPr>
          <w:p w14:paraId="0000011B">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Kontrak PKM</w:t>
            </w:r>
          </w:p>
        </w:tc>
        <w:tc>
          <w:tcPr>
            <w:vAlign w:val="center"/>
          </w:tcPr>
          <w:p w14:paraId="0000011C">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1D">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1E">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1F">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r>
      <w:tr w14:paraId="3A104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20">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4</w:t>
            </w:r>
          </w:p>
        </w:tc>
        <w:tc>
          <w:tcPr>
            <w:vAlign w:val="center"/>
          </w:tcPr>
          <w:p w14:paraId="00000121">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Tersedianya dokumen monitoring dan evaluasi pelaksanaan PKM</w:t>
            </w:r>
          </w:p>
        </w:tc>
        <w:tc>
          <w:tcPr>
            <w:vAlign w:val="center"/>
          </w:tcPr>
          <w:p w14:paraId="00000122">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Laporan AMI, Laporan Monitoring dan Evaluasi PKM</w:t>
            </w:r>
          </w:p>
        </w:tc>
        <w:tc>
          <w:tcPr>
            <w:vAlign w:val="center"/>
          </w:tcPr>
          <w:p w14:paraId="00000123">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24">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25">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26">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r>
    </w:tbl>
    <w:p w14:paraId="00000127">
      <w:pPr>
        <w:spacing w:after="0" w:line="240" w:lineRule="auto"/>
        <w:ind w:hanging="2"/>
        <w:jc w:val="both"/>
        <w:rPr>
          <w:rFonts w:ascii="Cambria" w:hAnsi="Cambria" w:eastAsia="Cambria" w:cs="Cambria"/>
          <w:sz w:val="24"/>
          <w:szCs w:val="24"/>
        </w:rPr>
      </w:pPr>
    </w:p>
    <w:tbl>
      <w:tblPr>
        <w:tblStyle w:val="22"/>
        <w:tblW w:w="100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3"/>
        <w:gridCol w:w="3430"/>
        <w:gridCol w:w="1341"/>
        <w:gridCol w:w="1186"/>
        <w:gridCol w:w="1191"/>
        <w:gridCol w:w="1238"/>
        <w:gridCol w:w="1186"/>
      </w:tblGrid>
      <w:tr w14:paraId="1ABD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28">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NO</w:t>
            </w:r>
          </w:p>
        </w:tc>
        <w:tc>
          <w:tcPr>
            <w:vAlign w:val="center"/>
          </w:tcPr>
          <w:p w14:paraId="00000129">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Indikator Ketercapaian</w:t>
            </w:r>
          </w:p>
        </w:tc>
        <w:tc>
          <w:tcPr>
            <w:vAlign w:val="center"/>
          </w:tcPr>
          <w:p w14:paraId="0000012A">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Dokumen</w:t>
            </w:r>
          </w:p>
        </w:tc>
        <w:tc>
          <w:tcPr>
            <w:vAlign w:val="center"/>
          </w:tcPr>
          <w:p w14:paraId="0000012B">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2023/2024</w:t>
            </w:r>
          </w:p>
        </w:tc>
        <w:tc>
          <w:tcPr>
            <w:vAlign w:val="center"/>
          </w:tcPr>
          <w:p w14:paraId="0000012C">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2024/2025</w:t>
            </w:r>
          </w:p>
        </w:tc>
        <w:tc>
          <w:tcPr>
            <w:vAlign w:val="center"/>
          </w:tcPr>
          <w:p w14:paraId="0000012D">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2025/2026</w:t>
            </w:r>
          </w:p>
        </w:tc>
        <w:tc>
          <w:tcPr>
            <w:vAlign w:val="center"/>
          </w:tcPr>
          <w:p w14:paraId="0000012E">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2026/2027</w:t>
            </w:r>
          </w:p>
        </w:tc>
      </w:tr>
      <w:tr w14:paraId="579B0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2F">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1</w:t>
            </w:r>
          </w:p>
        </w:tc>
        <w:tc>
          <w:tcPr>
            <w:vAlign w:val="center"/>
          </w:tcPr>
          <w:p w14:paraId="00000130">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Tersedianya SOP proses pelaksanaan PKM</w:t>
            </w:r>
          </w:p>
        </w:tc>
        <w:tc>
          <w:tcPr>
            <w:vAlign w:val="center"/>
          </w:tcPr>
          <w:p w14:paraId="00000131">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SOP PKM</w:t>
            </w:r>
          </w:p>
        </w:tc>
        <w:tc>
          <w:tcPr>
            <w:vAlign w:val="center"/>
          </w:tcPr>
          <w:p w14:paraId="00000132">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33">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34">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35">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r>
      <w:tr w14:paraId="73050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36">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2</w:t>
            </w:r>
          </w:p>
        </w:tc>
        <w:tc>
          <w:tcPr>
            <w:vAlign w:val="center"/>
          </w:tcPr>
          <w:p w14:paraId="00000137">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Tersedianya laporan pelaksanaan proses PKM secara periodik</w:t>
            </w:r>
          </w:p>
        </w:tc>
        <w:tc>
          <w:tcPr>
            <w:vAlign w:val="center"/>
          </w:tcPr>
          <w:p w14:paraId="00000138">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Laporan Pelaksanaan PKM</w:t>
            </w:r>
          </w:p>
        </w:tc>
        <w:tc>
          <w:tcPr>
            <w:vAlign w:val="center"/>
          </w:tcPr>
          <w:p w14:paraId="00000139">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3A">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3B">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3C">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r>
      <w:tr w14:paraId="0CF12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3D">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3</w:t>
            </w:r>
          </w:p>
        </w:tc>
        <w:tc>
          <w:tcPr>
            <w:vAlign w:val="center"/>
          </w:tcPr>
          <w:p w14:paraId="0000013E">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Tidak terjadi pelanggaran terhadap kaidah dan metode ilmiah</w:t>
            </w:r>
          </w:p>
        </w:tc>
        <w:tc>
          <w:tcPr>
            <w:vAlign w:val="center"/>
          </w:tcPr>
          <w:p w14:paraId="0000013F">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Berita Acara, Pernyataan Etika PKM</w:t>
            </w:r>
          </w:p>
        </w:tc>
        <w:tc>
          <w:tcPr>
            <w:vAlign w:val="center"/>
          </w:tcPr>
          <w:p w14:paraId="00000140">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0 Kasus</w:t>
            </w:r>
          </w:p>
        </w:tc>
        <w:tc>
          <w:tcPr>
            <w:vAlign w:val="center"/>
          </w:tcPr>
          <w:p w14:paraId="00000141">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0 Kasus</w:t>
            </w:r>
          </w:p>
        </w:tc>
        <w:tc>
          <w:tcPr>
            <w:vAlign w:val="center"/>
          </w:tcPr>
          <w:p w14:paraId="00000142">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0 Kasus</w:t>
            </w:r>
          </w:p>
        </w:tc>
        <w:tc>
          <w:tcPr>
            <w:vAlign w:val="center"/>
          </w:tcPr>
          <w:p w14:paraId="00000143">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0 Kasus</w:t>
            </w:r>
          </w:p>
        </w:tc>
      </w:tr>
      <w:tr w14:paraId="55E1D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44">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4</w:t>
            </w:r>
          </w:p>
        </w:tc>
        <w:tc>
          <w:tcPr>
            <w:vAlign w:val="center"/>
          </w:tcPr>
          <w:p w14:paraId="00000145">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Tersedianya legalitas penugasan pelaksana PKM dan/atau kerja sama PKM</w:t>
            </w:r>
          </w:p>
        </w:tc>
        <w:tc>
          <w:tcPr>
            <w:vAlign w:val="center"/>
          </w:tcPr>
          <w:p w14:paraId="00000146">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SK Penugasan, MoU/MoA/IA</w:t>
            </w:r>
          </w:p>
        </w:tc>
        <w:tc>
          <w:tcPr>
            <w:vAlign w:val="center"/>
          </w:tcPr>
          <w:p w14:paraId="00000147">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48">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49">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4A">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r>
      <w:tr w14:paraId="01F52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4B">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5</w:t>
            </w:r>
          </w:p>
        </w:tc>
        <w:tc>
          <w:tcPr>
            <w:vAlign w:val="center"/>
          </w:tcPr>
          <w:p w14:paraId="0000014C">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 bukti kegiatan review terhadap pelaksanaan proses PKM</w:t>
            </w:r>
          </w:p>
        </w:tc>
        <w:tc>
          <w:tcPr>
            <w:vAlign w:val="center"/>
          </w:tcPr>
          <w:p w14:paraId="0000014D">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Hasil Review</w:t>
            </w:r>
          </w:p>
        </w:tc>
        <w:tc>
          <w:tcPr>
            <w:vAlign w:val="center"/>
          </w:tcPr>
          <w:p w14:paraId="0000014E">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4F">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50">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51">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r>
      <w:tr w14:paraId="31F08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52">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6</w:t>
            </w:r>
          </w:p>
        </w:tc>
        <w:tc>
          <w:tcPr>
            <w:vAlign w:val="center"/>
          </w:tcPr>
          <w:p w14:paraId="00000153">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Tersedianya dokumen audit mutu internal ketercapaian standar proses PKM</w:t>
            </w:r>
          </w:p>
        </w:tc>
        <w:tc>
          <w:tcPr>
            <w:vAlign w:val="center"/>
          </w:tcPr>
          <w:p w14:paraId="00000154">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Laporan Audit Mutu Internal Proses PKM</w:t>
            </w:r>
          </w:p>
        </w:tc>
        <w:tc>
          <w:tcPr>
            <w:vAlign w:val="center"/>
          </w:tcPr>
          <w:p w14:paraId="00000155">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56">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57">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c>
          <w:tcPr>
            <w:vAlign w:val="center"/>
          </w:tcPr>
          <w:p w14:paraId="00000158">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Tersedia</w:t>
            </w:r>
          </w:p>
        </w:tc>
      </w:tr>
      <w:tr w14:paraId="725B0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59">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7</w:t>
            </w:r>
          </w:p>
        </w:tc>
        <w:tc>
          <w:tcPr>
            <w:vAlign w:val="center"/>
          </w:tcPr>
          <w:p w14:paraId="0000015A">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Persentase mahasiswa terlibat dalam PKM dosen</w:t>
            </w:r>
          </w:p>
        </w:tc>
        <w:tc>
          <w:tcPr>
            <w:vAlign w:val="center"/>
          </w:tcPr>
          <w:p w14:paraId="0000015B">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Mahasiswa menjadi anggota dalam kegiatan PKM berbasis roadmap PKM</w:t>
            </w:r>
          </w:p>
        </w:tc>
        <w:tc>
          <w:tcPr>
            <w:vAlign w:val="center"/>
          </w:tcPr>
          <w:p w14:paraId="0000015C">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20%</w:t>
            </w:r>
          </w:p>
        </w:tc>
        <w:tc>
          <w:tcPr>
            <w:vAlign w:val="center"/>
          </w:tcPr>
          <w:p w14:paraId="0000015D">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25%</w:t>
            </w:r>
          </w:p>
        </w:tc>
        <w:tc>
          <w:tcPr>
            <w:vAlign w:val="center"/>
          </w:tcPr>
          <w:p w14:paraId="0000015E">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25%</w:t>
            </w:r>
          </w:p>
        </w:tc>
        <w:tc>
          <w:tcPr>
            <w:vAlign w:val="center"/>
          </w:tcPr>
          <w:p w14:paraId="0000015F">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30%</w:t>
            </w:r>
          </w:p>
        </w:tc>
      </w:tr>
      <w:tr w14:paraId="27AC1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60">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8</w:t>
            </w:r>
          </w:p>
        </w:tc>
        <w:tc>
          <w:tcPr>
            <w:vAlign w:val="center"/>
          </w:tcPr>
          <w:p w14:paraId="00000161">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Persentase PKM melibatkan mahasiswa</w:t>
            </w:r>
          </w:p>
        </w:tc>
        <w:tc>
          <w:tcPr>
            <w:vAlign w:val="center"/>
          </w:tcPr>
          <w:p w14:paraId="00000162">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 PKM dengan melibatkan mahasiswa</w:t>
            </w:r>
          </w:p>
        </w:tc>
        <w:tc>
          <w:tcPr>
            <w:vAlign w:val="center"/>
          </w:tcPr>
          <w:p w14:paraId="00000163">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100%</w:t>
            </w:r>
          </w:p>
        </w:tc>
        <w:tc>
          <w:tcPr>
            <w:vAlign w:val="center"/>
          </w:tcPr>
          <w:p w14:paraId="00000164">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100%</w:t>
            </w:r>
          </w:p>
        </w:tc>
        <w:tc>
          <w:tcPr>
            <w:vAlign w:val="center"/>
          </w:tcPr>
          <w:p w14:paraId="00000165">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100%</w:t>
            </w:r>
          </w:p>
        </w:tc>
        <w:tc>
          <w:tcPr>
            <w:vAlign w:val="center"/>
          </w:tcPr>
          <w:p w14:paraId="00000166">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100%</w:t>
            </w:r>
          </w:p>
        </w:tc>
      </w:tr>
    </w:tbl>
    <w:p w14:paraId="00000167">
      <w:pPr>
        <w:spacing w:after="0" w:line="240" w:lineRule="auto"/>
        <w:ind w:hanging="2"/>
        <w:jc w:val="both"/>
        <w:rPr>
          <w:rFonts w:ascii="Cambria" w:hAnsi="Cambria" w:eastAsia="Cambria" w:cs="Cambria"/>
          <w:sz w:val="24"/>
          <w:szCs w:val="24"/>
        </w:rPr>
      </w:pPr>
    </w:p>
    <w:p w14:paraId="00000168">
      <w:pPr>
        <w:spacing w:after="0" w:line="240" w:lineRule="auto"/>
        <w:ind w:hanging="2"/>
        <w:jc w:val="both"/>
        <w:rPr>
          <w:rFonts w:ascii="Cambria" w:hAnsi="Cambria" w:eastAsia="Cambria" w:cs="Cambria"/>
          <w:sz w:val="24"/>
          <w:szCs w:val="24"/>
        </w:rPr>
      </w:pPr>
      <w:r>
        <w:rPr>
          <w:rFonts w:ascii="Cambria" w:hAnsi="Cambria" w:eastAsia="Cambria" w:cs="Cambria"/>
          <w:sz w:val="24"/>
          <w:szCs w:val="24"/>
          <w:rtl w:val="0"/>
        </w:rPr>
        <w:t>Pelibatan Mahasiswa dalam PKM</w:t>
      </w:r>
    </w:p>
    <w:p w14:paraId="00000169">
      <w:pPr>
        <w:spacing w:after="0" w:line="240" w:lineRule="auto"/>
        <w:ind w:hanging="2"/>
        <w:jc w:val="both"/>
        <w:rPr>
          <w:rFonts w:ascii="Cambria" w:hAnsi="Cambria" w:eastAsia="Cambria" w:cs="Cambria"/>
          <w:sz w:val="24"/>
          <w:szCs w:val="24"/>
        </w:rPr>
      </w:pPr>
    </w:p>
    <w:tbl>
      <w:tblPr>
        <w:tblStyle w:val="23"/>
        <w:tblW w:w="100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3"/>
        <w:gridCol w:w="3452"/>
        <w:gridCol w:w="1260"/>
        <w:gridCol w:w="1244"/>
        <w:gridCol w:w="1186"/>
        <w:gridCol w:w="1239"/>
        <w:gridCol w:w="1191"/>
      </w:tblGrid>
      <w:tr w14:paraId="536AA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6A">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NO</w:t>
            </w:r>
          </w:p>
        </w:tc>
        <w:tc>
          <w:tcPr>
            <w:vAlign w:val="center"/>
          </w:tcPr>
          <w:p w14:paraId="0000016B">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Indikator Ketercapaian</w:t>
            </w:r>
          </w:p>
        </w:tc>
        <w:tc>
          <w:tcPr>
            <w:vAlign w:val="center"/>
          </w:tcPr>
          <w:p w14:paraId="0000016C">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Dokumen</w:t>
            </w:r>
          </w:p>
        </w:tc>
        <w:tc>
          <w:tcPr>
            <w:vAlign w:val="center"/>
          </w:tcPr>
          <w:p w14:paraId="0000016D">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2023/2024</w:t>
            </w:r>
          </w:p>
        </w:tc>
        <w:tc>
          <w:tcPr>
            <w:vAlign w:val="center"/>
          </w:tcPr>
          <w:p w14:paraId="0000016E">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2024/2025</w:t>
            </w:r>
          </w:p>
        </w:tc>
        <w:tc>
          <w:tcPr>
            <w:vAlign w:val="center"/>
          </w:tcPr>
          <w:p w14:paraId="0000016F">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2025/2026</w:t>
            </w:r>
          </w:p>
        </w:tc>
        <w:tc>
          <w:tcPr>
            <w:vAlign w:val="center"/>
          </w:tcPr>
          <w:p w14:paraId="00000170">
            <w:pPr>
              <w:spacing w:after="0" w:line="240" w:lineRule="auto"/>
              <w:jc w:val="center"/>
              <w:rPr>
                <w:rFonts w:ascii="Aptos Narrow" w:hAnsi="Aptos Narrow" w:eastAsia="Aptos Narrow" w:cs="Aptos Narrow"/>
                <w:b/>
                <w:bCs/>
                <w:color w:val="000000"/>
              </w:rPr>
            </w:pPr>
            <w:r>
              <w:rPr>
                <w:rFonts w:ascii="Aptos Narrow" w:hAnsi="Aptos Narrow" w:eastAsia="Aptos Narrow" w:cs="Aptos Narrow"/>
                <w:b/>
                <w:bCs/>
                <w:color w:val="000000"/>
                <w:rtl w:val="0"/>
              </w:rPr>
              <w:t>Target 2026/2027</w:t>
            </w:r>
          </w:p>
        </w:tc>
      </w:tr>
      <w:tr w14:paraId="2072E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71">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1</w:t>
            </w:r>
          </w:p>
        </w:tc>
        <w:tc>
          <w:tcPr>
            <w:vAlign w:val="center"/>
          </w:tcPr>
          <w:p w14:paraId="00000172">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Persentase mahasiswa terlibat pada PKM</w:t>
            </w:r>
          </w:p>
        </w:tc>
        <w:tc>
          <w:tcPr>
            <w:vAlign w:val="center"/>
          </w:tcPr>
          <w:p w14:paraId="00000173">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ST, Laporan PKM</w:t>
            </w:r>
          </w:p>
        </w:tc>
        <w:tc>
          <w:tcPr>
            <w:vAlign w:val="center"/>
          </w:tcPr>
          <w:p w14:paraId="00000174">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5%</w:t>
            </w:r>
          </w:p>
        </w:tc>
        <w:tc>
          <w:tcPr>
            <w:vAlign w:val="center"/>
          </w:tcPr>
          <w:p w14:paraId="00000175">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6%</w:t>
            </w:r>
          </w:p>
        </w:tc>
        <w:tc>
          <w:tcPr>
            <w:vAlign w:val="center"/>
          </w:tcPr>
          <w:p w14:paraId="00000176">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7%</w:t>
            </w:r>
          </w:p>
        </w:tc>
        <w:tc>
          <w:tcPr>
            <w:vAlign w:val="center"/>
          </w:tcPr>
          <w:p w14:paraId="00000177">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8%</w:t>
            </w:r>
          </w:p>
        </w:tc>
      </w:tr>
      <w:tr w14:paraId="7F039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vAlign w:val="center"/>
          </w:tcPr>
          <w:p w14:paraId="00000178">
            <w:pPr>
              <w:spacing w:after="0" w:line="240" w:lineRule="auto"/>
              <w:jc w:val="center"/>
              <w:rPr>
                <w:rFonts w:ascii="Aptos Narrow" w:hAnsi="Aptos Narrow" w:eastAsia="Aptos Narrow" w:cs="Aptos Narrow"/>
                <w:color w:val="000000"/>
              </w:rPr>
            </w:pPr>
            <w:r>
              <w:rPr>
                <w:rFonts w:ascii="Aptos Narrow" w:hAnsi="Aptos Narrow" w:eastAsia="Aptos Narrow" w:cs="Aptos Narrow"/>
                <w:color w:val="000000"/>
                <w:rtl w:val="0"/>
              </w:rPr>
              <w:t>2</w:t>
            </w:r>
          </w:p>
        </w:tc>
        <w:tc>
          <w:tcPr>
            <w:vAlign w:val="center"/>
          </w:tcPr>
          <w:p w14:paraId="00000179">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Persentase PKM melibatkan mahasiswa</w:t>
            </w:r>
          </w:p>
        </w:tc>
        <w:tc>
          <w:tcPr>
            <w:vAlign w:val="center"/>
          </w:tcPr>
          <w:p w14:paraId="0000017A">
            <w:pPr>
              <w:spacing w:after="0" w:line="240" w:lineRule="auto"/>
              <w:rPr>
                <w:rFonts w:ascii="Aptos Narrow" w:hAnsi="Aptos Narrow" w:eastAsia="Aptos Narrow" w:cs="Aptos Narrow"/>
                <w:color w:val="000000"/>
              </w:rPr>
            </w:pPr>
            <w:r>
              <w:rPr>
                <w:rFonts w:ascii="Aptos Narrow" w:hAnsi="Aptos Narrow" w:eastAsia="Aptos Narrow" w:cs="Aptos Narrow"/>
                <w:color w:val="000000"/>
                <w:rtl w:val="0"/>
              </w:rPr>
              <w:t>% PKM dengan melibatkan mahasiswa</w:t>
            </w:r>
          </w:p>
        </w:tc>
        <w:tc>
          <w:tcPr>
            <w:vAlign w:val="center"/>
          </w:tcPr>
          <w:p w14:paraId="0000017B">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100%</w:t>
            </w:r>
          </w:p>
        </w:tc>
        <w:tc>
          <w:tcPr>
            <w:vAlign w:val="center"/>
          </w:tcPr>
          <w:p w14:paraId="0000017C">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100%</w:t>
            </w:r>
          </w:p>
        </w:tc>
        <w:tc>
          <w:tcPr>
            <w:vAlign w:val="center"/>
          </w:tcPr>
          <w:p w14:paraId="0000017D">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100%</w:t>
            </w:r>
          </w:p>
        </w:tc>
        <w:tc>
          <w:tcPr>
            <w:vAlign w:val="center"/>
          </w:tcPr>
          <w:p w14:paraId="0000017E">
            <w:pPr>
              <w:spacing w:after="0" w:line="240" w:lineRule="auto"/>
              <w:jc w:val="right"/>
              <w:rPr>
                <w:rFonts w:ascii="Aptos Narrow" w:hAnsi="Aptos Narrow" w:eastAsia="Aptos Narrow" w:cs="Aptos Narrow"/>
                <w:color w:val="000000"/>
              </w:rPr>
            </w:pPr>
            <w:r>
              <w:rPr>
                <w:rFonts w:ascii="Aptos Narrow" w:hAnsi="Aptos Narrow" w:eastAsia="Aptos Narrow" w:cs="Aptos Narrow"/>
                <w:color w:val="000000"/>
                <w:rtl w:val="0"/>
              </w:rPr>
              <w:t>100%</w:t>
            </w:r>
          </w:p>
        </w:tc>
      </w:tr>
    </w:tbl>
    <w:p w14:paraId="00000186">
      <w:pPr>
        <w:spacing w:after="0" w:line="240" w:lineRule="auto"/>
        <w:ind w:hanging="2"/>
        <w:jc w:val="both"/>
        <w:rPr>
          <w:rFonts w:ascii="Cambria" w:hAnsi="Cambria" w:eastAsia="Cambria" w:cs="Cambria"/>
          <w:sz w:val="24"/>
          <w:szCs w:val="24"/>
        </w:rPr>
      </w:pPr>
    </w:p>
    <w:p w14:paraId="00000187">
      <w:pPr>
        <w:spacing w:after="0" w:line="240" w:lineRule="auto"/>
        <w:ind w:hanging="2"/>
        <w:jc w:val="both"/>
        <w:rPr>
          <w:rFonts w:hint="default" w:ascii="Cambria" w:hAnsi="Cambria" w:eastAsia="Cambria" w:cs="Cambria"/>
          <w:sz w:val="24"/>
          <w:szCs w:val="24"/>
          <w:lang w:val="en-US"/>
        </w:rPr>
      </w:pPr>
      <w:r>
        <w:rPr>
          <w:rFonts w:hint="default" w:ascii="Cambria" w:hAnsi="Cambria" w:eastAsia="Cambria" w:cs="Cambria"/>
          <w:sz w:val="24"/>
          <w:szCs w:val="24"/>
          <w:lang w:val="en-US"/>
        </w:rPr>
        <w:t>Universitas</w:t>
      </w:r>
    </w:p>
    <w:tbl>
      <w:tblPr>
        <w:tblStyle w:val="24"/>
        <w:tblW w:w="96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750"/>
        <w:gridCol w:w="3025"/>
        <w:gridCol w:w="1530"/>
        <w:gridCol w:w="1620"/>
        <w:gridCol w:w="1350"/>
        <w:gridCol w:w="1350"/>
      </w:tblGrid>
      <w:tr w14:paraId="02DDE2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vMerge w:val="restart"/>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188">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No</w:t>
            </w:r>
          </w:p>
        </w:tc>
        <w:tc>
          <w:tcPr>
            <w:vMerge w:val="restart"/>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189">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Indikator</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8A">
            <w:pPr>
              <w:spacing w:after="0" w:line="240" w:lineRule="auto"/>
              <w:ind w:hanging="2"/>
              <w:jc w:val="center"/>
              <w:rPr>
                <w:rFonts w:ascii="Times New Roman" w:hAnsi="Times New Roman" w:eastAsia="Times New Roman" w:cs="Times New Roman"/>
                <w:b/>
                <w:bCs/>
                <w:sz w:val="24"/>
                <w:szCs w:val="24"/>
              </w:rPr>
            </w:pPr>
          </w:p>
        </w:tc>
        <w:tc>
          <w:tcPr>
            <w:gridSpan w:val="3"/>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18B">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Periode Pencapaian</w:t>
            </w:r>
          </w:p>
        </w:tc>
      </w:tr>
      <w:tr w14:paraId="0E5E99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1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bCs/>
                <w:sz w:val="24"/>
                <w:szCs w:val="24"/>
              </w:rPr>
            </w:pPr>
          </w:p>
        </w:tc>
        <w:tc>
          <w:tcPr>
            <w:vMerge w:val="continue"/>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1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bCs/>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90">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2024-2025</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191">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2025-2026</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192">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2022-2027</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193">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2027-2028</w:t>
            </w:r>
          </w:p>
        </w:tc>
      </w:tr>
      <w:tr w14:paraId="089540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194">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Cambria" w:hAnsi="Cambria" w:eastAsia="Cambria" w:cs="Cambria"/>
                <w:sz w:val="24"/>
                <w:szCs w:val="24"/>
              </w:rPr>
            </w:pPr>
            <w:r>
              <w:rPr>
                <w:rFonts w:ascii="Cambria" w:hAnsi="Cambria" w:eastAsia="Cambria" w:cs="Cambria"/>
                <w:sz w:val="24"/>
                <w:szCs w:val="24"/>
                <w:rtl w:val="0"/>
              </w:rPr>
              <w:t>1</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195">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Cambria" w:hAnsi="Cambria" w:eastAsia="Cambria" w:cs="Cambria"/>
                <w:sz w:val="24"/>
                <w:szCs w:val="24"/>
              </w:rPr>
            </w:pPr>
            <w:r>
              <w:rPr>
                <w:rFonts w:ascii="Times New Roman" w:hAnsi="Times New Roman" w:eastAsia="Times New Roman" w:cs="Times New Roman"/>
                <w:sz w:val="24"/>
                <w:szCs w:val="24"/>
                <w:rtl w:val="0"/>
              </w:rPr>
              <w:t>Tersedianya lembaga yang bertugas untuk mengelola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96">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97">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98">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99">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rtl w:val="0"/>
              </w:rPr>
              <w:t>Tersedia</w:t>
            </w:r>
          </w:p>
        </w:tc>
      </w:tr>
      <w:tr w14:paraId="593776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9A">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9B">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sz w:val="24"/>
                <w:szCs w:val="24"/>
                <w:rtl w:val="0"/>
              </w:rPr>
              <w:t>Tersedia panduan penilaian dan review proposal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9C">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9D">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9E">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9F">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60654A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0">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1">
            <w:pPr>
              <w:spacing w:after="0" w:line="240" w:lineRule="auto"/>
              <w:ind w:hanging="2"/>
              <w:rPr>
                <w:rFonts w:ascii="Times New Roman" w:hAnsi="Times New Roman" w:eastAsia="Times New Roman" w:cs="Times New Roman"/>
                <w:sz w:val="24"/>
                <w:szCs w:val="24"/>
              </w:rPr>
            </w:pPr>
            <w:r>
              <w:rPr>
                <w:rFonts w:ascii="Times New Roman" w:hAnsi="Times New Roman" w:eastAsia="Times New Roman" w:cs="Times New Roman"/>
                <w:color w:val="221F1F"/>
                <w:sz w:val="24"/>
                <w:szCs w:val="24"/>
                <w:rtl w:val="0"/>
              </w:rPr>
              <w:t>Tersedia instrumen penilaian proposal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2">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3">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4">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5">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598813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6">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7">
            <w:pPr>
              <w:spacing w:after="0" w:line="24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Tersedia SK pengangkatan reviewer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8">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9">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A">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B">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21B57B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C">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D">
            <w:pPr>
              <w:spacing w:after="0" w:line="24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Tersedia hasil review proposal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E">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AF">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0">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1">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3CF6E2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2">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3">
            <w:pPr>
              <w:spacing w:after="0" w:line="24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Tersedia dokumen atau berita acara  keseuaian PkM dengan peta jalan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4">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5">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6">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7">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0B1016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8">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9">
            <w:pPr>
              <w:spacing w:after="0" w:line="240" w:lineRule="auto"/>
              <w:ind w:hanging="2"/>
              <w:rPr>
                <w:rFonts w:ascii="Times New Roman" w:hAnsi="Times New Roman" w:eastAsia="Times New Roman" w:cs="Times New Roman"/>
                <w:sz w:val="24"/>
                <w:szCs w:val="24"/>
              </w:rPr>
            </w:pPr>
            <w:r>
              <w:rPr>
                <w:rFonts w:ascii="Times New Roman" w:hAnsi="Times New Roman" w:eastAsia="Times New Roman" w:cs="Times New Roman"/>
                <w:color w:val="221F1F"/>
                <w:sz w:val="24"/>
                <w:szCs w:val="24"/>
                <w:rtl w:val="0"/>
              </w:rPr>
              <w:t>Tersedia ST dan Kontrak  pelaksanaan kegiatan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A">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B">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C">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D">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22A10E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629"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E">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BF">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Terlaksana monev hasil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0">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Terlaksana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1">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Terlaksana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2">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Terlaksana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3">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Terlaksana</w:t>
            </w:r>
          </w:p>
        </w:tc>
      </w:tr>
      <w:tr w14:paraId="58B770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629"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4">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9</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5">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Tersedia berita acara monev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6">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7">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8">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9">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7A15CA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629"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A">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B">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Tersedia dokumentasi luaran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C">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D">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E">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CF">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777515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0">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11</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1">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Tersedianya dokumen laporan pelaksanaan PkM dari DPPMP ke Universitas</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2">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3">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4">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5">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4EBF7E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6">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12</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7">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Terlaksananya PkM  yang dilakukan oleh :</w:t>
            </w:r>
          </w:p>
          <w:p w14:paraId="000001D8">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 xml:space="preserve">a.dosen </w:t>
            </w:r>
          </w:p>
          <w:p w14:paraId="000001D9">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b. dosen bersama mahasiswa</w:t>
            </w:r>
          </w:p>
          <w:p w14:paraId="000001DA">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c. mahasiswa dengan bimbingan dosen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B">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Terlaksana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C">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Terlaksana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D">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Terlaksana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E">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Terlaksana</w:t>
            </w:r>
          </w:p>
        </w:tc>
      </w:tr>
      <w:tr w14:paraId="37FB10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DF">
            <w:pPr>
              <w:spacing w:after="0" w:line="240" w:lineRule="auto"/>
              <w:ind w:hanging="2"/>
              <w:jc w:val="center"/>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tl w:val="0"/>
              </w:rPr>
              <w:t>13</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0">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Tersedia kode etik pelaksanaan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1">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2">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3">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4">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33234D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5">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14</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6">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Tersedia lembaga pengelolaan HKI</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7">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8">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9">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A">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2B1716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B">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15</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C">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Tersedia pedoman kerja sama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D">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E">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EF">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0">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02C042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1">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16</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2">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Tersedianya syarat dan ketentuan publikasi hasil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3">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4">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5">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6">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0BE035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7">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17</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8">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Tersedianya syarat dan ketentuan pelaksana PkM</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9">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A">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B">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C">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133FB2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D">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18</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E">
            <w:pPr>
              <w:spacing w:after="0" w:line="240" w:lineRule="auto"/>
              <w:ind w:hanging="2"/>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Tersedianya konversi SKS untuk mahasiswa yang terlibat dalam PkM dengan dosen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1FF">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0">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1">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2">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r w14:paraId="44DC18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3">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19</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4">
            <w:pPr>
              <w:spacing w:after="0" w:line="24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Jumlah kegiatan pelatihan/workshop pembuatan proposan hibah eksternal PkM bagi dosen pelaksana pengabdian.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5">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2</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6">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2</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7">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2</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8">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2</w:t>
            </w:r>
          </w:p>
        </w:tc>
      </w:tr>
      <w:tr w14:paraId="2DD514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9">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A">
            <w:pPr>
              <w:spacing w:after="0" w:line="240" w:lineRule="auto"/>
              <w:ind w:hanging="2"/>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Terlaksana evaluasi pelaksanaan serta pengembangan dosen pelaksana pengabdian.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B">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terlaksana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C">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terlaksana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D">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terlaksana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E">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terlaksana</w:t>
            </w:r>
          </w:p>
        </w:tc>
      </w:tr>
      <w:tr w14:paraId="6D139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0F">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21</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0">
            <w:pPr>
              <w:widowControl w:val="0"/>
              <w:spacing w:before="21" w:after="0" w:line="240" w:lineRule="auto"/>
              <w:ind w:right="176"/>
              <w:jc w:val="both"/>
              <w:rPr>
                <w:rFonts w:ascii="Times New Roman" w:hAnsi="Times New Roman" w:eastAsia="Times New Roman" w:cs="Times New Roman"/>
                <w:sz w:val="24"/>
                <w:szCs w:val="24"/>
              </w:rPr>
            </w:pPr>
            <w:r>
              <w:rPr>
                <w:rFonts w:ascii="Times New Roman" w:hAnsi="Times New Roman" w:eastAsia="Times New Roman" w:cs="Times New Roman"/>
                <w:color w:val="221F1F"/>
                <w:sz w:val="24"/>
                <w:szCs w:val="24"/>
                <w:rtl w:val="0"/>
              </w:rPr>
              <w:t>Pelaksanaan PkM sesuai dengan rencana, jadwal, dan dana yang ditetapkan.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1">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sesuai</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2">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sesuai</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3">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sesuai</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4">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Sesuai</w:t>
            </w:r>
          </w:p>
        </w:tc>
      </w:tr>
      <w:tr w14:paraId="568DE3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5">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22</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6">
            <w:pPr>
              <w:widowControl w:val="0"/>
              <w:spacing w:before="21" w:after="0" w:line="240" w:lineRule="auto"/>
              <w:ind w:right="176"/>
              <w:jc w:val="both"/>
              <w:rPr>
                <w:rFonts w:ascii="Times New Roman" w:hAnsi="Times New Roman" w:eastAsia="Times New Roman" w:cs="Times New Roman"/>
                <w:color w:val="221F1F"/>
                <w:sz w:val="24"/>
                <w:szCs w:val="24"/>
              </w:rPr>
            </w:pPr>
            <w:r>
              <w:rPr>
                <w:rFonts w:ascii="Times New Roman" w:hAnsi="Times New Roman" w:eastAsia="Times New Roman" w:cs="Times New Roman"/>
                <w:sz w:val="24"/>
                <w:szCs w:val="24"/>
                <w:rtl w:val="0"/>
              </w:rPr>
              <w:t>Jumlah monev terhadap pelaksanaan PkM tiap Prodi per semester</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7">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2</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8">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2</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9">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2</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A">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2</w:t>
            </w:r>
          </w:p>
        </w:tc>
      </w:tr>
      <w:tr w14:paraId="5BC1AC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4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B">
            <w:pPr>
              <w:spacing w:after="0" w:line="240" w:lineRule="auto"/>
              <w:ind w:hanging="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23</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C">
            <w:pPr>
              <w:widowControl w:val="0"/>
              <w:spacing w:before="21" w:after="0" w:line="240" w:lineRule="auto"/>
              <w:ind w:right="176"/>
              <w:jc w:val="both"/>
              <w:rPr>
                <w:rFonts w:ascii="Times New Roman" w:hAnsi="Times New Roman" w:eastAsia="Times New Roman" w:cs="Times New Roman"/>
                <w:color w:val="221F1F"/>
                <w:sz w:val="24"/>
                <w:szCs w:val="24"/>
              </w:rPr>
            </w:pPr>
            <w:r>
              <w:rPr>
                <w:rFonts w:ascii="Times New Roman" w:hAnsi="Times New Roman" w:eastAsia="Times New Roman" w:cs="Times New Roman"/>
                <w:color w:val="221F1F"/>
                <w:sz w:val="24"/>
                <w:szCs w:val="24"/>
                <w:rtl w:val="0"/>
              </w:rPr>
              <w:t>Tersedia dokumen pelaporan seluruh kegiatan dan hasil-hasil PkM sesuai dengan jadwal yang telah ditetapkan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D">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E">
            <w:pPr>
              <w:spacing w:after="0" w:line="240" w:lineRule="auto"/>
              <w:ind w:left="-15" w:firstLine="0"/>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1F">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20">
            <w:pPr>
              <w:spacing w:after="0" w:line="240" w:lineRule="auto"/>
              <w:ind w:hanging="2"/>
              <w:jc w:val="center"/>
              <w:rPr>
                <w:rFonts w:ascii="Times New Roman" w:hAnsi="Times New Roman" w:eastAsia="Times New Roman" w:cs="Times New Roman"/>
              </w:rPr>
            </w:pPr>
            <w:r>
              <w:rPr>
                <w:rFonts w:ascii="Times New Roman" w:hAnsi="Times New Roman" w:eastAsia="Times New Roman" w:cs="Times New Roman"/>
                <w:rtl w:val="0"/>
              </w:rPr>
              <w:t>tersedia</w:t>
            </w:r>
          </w:p>
        </w:tc>
      </w:tr>
    </w:tbl>
    <w:p w14:paraId="00000221">
      <w:pPr>
        <w:spacing w:after="0" w:line="240" w:lineRule="auto"/>
        <w:ind w:hanging="2"/>
        <w:jc w:val="both"/>
        <w:rPr>
          <w:rFonts w:ascii="Cambria" w:hAnsi="Cambria" w:eastAsia="Cambria" w:cs="Cambria"/>
          <w:sz w:val="24"/>
          <w:szCs w:val="24"/>
        </w:rPr>
      </w:pPr>
    </w:p>
    <w:tbl>
      <w:tblPr>
        <w:tblStyle w:val="25"/>
        <w:tblW w:w="9804" w:type="dxa"/>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804"/>
      </w:tblGrid>
      <w:tr w14:paraId="5A45D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0000222">
            <w:pPr>
              <w:ind w:hanging="2"/>
              <w:rPr>
                <w:rFonts w:ascii="Cambria" w:hAnsi="Cambria" w:eastAsia="Cambria" w:cs="Cambria"/>
                <w:b/>
                <w:bCs/>
                <w:sz w:val="24"/>
                <w:szCs w:val="24"/>
              </w:rPr>
            </w:pPr>
            <w:r>
              <w:rPr>
                <w:rFonts w:ascii="Cambria" w:hAnsi="Cambria" w:eastAsia="Cambria" w:cs="Cambria"/>
                <w:b/>
                <w:bCs/>
                <w:sz w:val="24"/>
                <w:szCs w:val="24"/>
                <w:rtl w:val="0"/>
              </w:rPr>
              <w:t>I. Indikator Kinerja Tambahan</w:t>
            </w:r>
          </w:p>
        </w:tc>
      </w:tr>
    </w:tbl>
    <w:p w14:paraId="00000223">
      <w:pPr>
        <w:spacing w:after="0" w:line="240" w:lineRule="auto"/>
        <w:ind w:left="1080" w:firstLine="0"/>
        <w:jc w:val="both"/>
        <w:rPr>
          <w:rFonts w:ascii="Times New Roman" w:hAnsi="Times New Roman" w:eastAsia="Times New Roman" w:cs="Times New Roman"/>
          <w:color w:val="000000"/>
          <w:sz w:val="24"/>
          <w:szCs w:val="24"/>
        </w:rPr>
      </w:pPr>
      <w:bookmarkStart w:id="1" w:name="_heading=h.4d34og8" w:colFirst="0" w:colLast="0"/>
      <w:bookmarkEnd w:id="1"/>
    </w:p>
    <w:tbl>
      <w:tblPr>
        <w:tblStyle w:val="26"/>
        <w:tblW w:w="930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532"/>
        <w:gridCol w:w="3849"/>
        <w:gridCol w:w="1198"/>
        <w:gridCol w:w="1218"/>
        <w:gridCol w:w="1253"/>
        <w:gridCol w:w="1253"/>
      </w:tblGrid>
      <w:tr w14:paraId="06F5D5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24" w:hRule="atLeast"/>
        </w:trPr>
        <w:tc>
          <w:tcPr>
            <w:vMerge w:val="restart"/>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224">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No</w:t>
            </w:r>
          </w:p>
        </w:tc>
        <w:tc>
          <w:tcPr>
            <w:vMerge w:val="restart"/>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225">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Indikator</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26">
            <w:pPr>
              <w:spacing w:after="0" w:line="240" w:lineRule="auto"/>
              <w:ind w:hanging="2"/>
              <w:jc w:val="center"/>
              <w:rPr>
                <w:rFonts w:ascii="Times New Roman" w:hAnsi="Times New Roman" w:eastAsia="Times New Roman" w:cs="Times New Roman"/>
                <w:b/>
                <w:bCs/>
                <w:sz w:val="24"/>
                <w:szCs w:val="24"/>
              </w:rPr>
            </w:pPr>
          </w:p>
        </w:tc>
        <w:tc>
          <w:tcPr>
            <w:gridSpan w:val="3"/>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227">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Tahun Pencapaian</w:t>
            </w:r>
          </w:p>
        </w:tc>
      </w:tr>
      <w:tr w14:paraId="109A14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24"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2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bCs/>
                <w:sz w:val="24"/>
                <w:szCs w:val="24"/>
              </w:rPr>
            </w:pPr>
          </w:p>
        </w:tc>
        <w:tc>
          <w:tcPr>
            <w:vMerge w:val="continue"/>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2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bCs/>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2C">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2024-2025</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22D">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2025-2026</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22E">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2026-2027</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00022F">
            <w:pPr>
              <w:spacing w:after="0" w:line="240" w:lineRule="auto"/>
              <w:ind w:hanging="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2027-2028</w:t>
            </w:r>
          </w:p>
        </w:tc>
      </w:tr>
      <w:tr w14:paraId="11FBC0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24"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0">
            <w:pPr>
              <w:widowControl w:v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31">
            <w:pPr>
              <w:spacing w:after="0" w:line="240" w:lineRule="auto"/>
              <w:ind w:hanging="2"/>
              <w:jc w:val="both"/>
              <w:rPr>
                <w:rFonts w:ascii="Times New Roman" w:hAnsi="Times New Roman" w:eastAsia="Times New Roman" w:cs="Times New Roman"/>
                <w:sz w:val="24"/>
                <w:szCs w:val="24"/>
                <w:highlight w:val="red"/>
              </w:rPr>
            </w:pPr>
            <w:r>
              <w:rPr>
                <w:rFonts w:ascii="Times New Roman" w:hAnsi="Times New Roman" w:eastAsia="Times New Roman" w:cs="Times New Roman"/>
                <w:sz w:val="24"/>
                <w:szCs w:val="24"/>
                <w:rtl w:val="0"/>
              </w:rPr>
              <w:t>Terlaksananya PKM dengan DUDI</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2">
            <w:pPr>
              <w:widowControl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3">
            <w:pPr>
              <w:widowControl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4">
            <w:pPr>
              <w:widowControl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5">
            <w:pPr>
              <w:widowControl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terlaksana</w:t>
            </w:r>
          </w:p>
        </w:tc>
      </w:tr>
      <w:tr w14:paraId="5AF0A7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24"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6">
            <w:pPr>
              <w:widowControl w:v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37">
            <w:pPr>
              <w:spacing w:after="0" w:line="240" w:lineRule="auto"/>
              <w:ind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Terlaksananya PKM dengan pemerintah</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8">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9">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A">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B">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r>
      <w:tr w14:paraId="753C26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24"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C">
            <w:pPr>
              <w:widowControl w:v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3D">
            <w:pPr>
              <w:spacing w:after="0" w:line="240" w:lineRule="auto"/>
              <w:ind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Terlaksananya PKM dengan Perguruan Tinggi Nasional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E">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3F">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40">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41">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r>
      <w:tr w14:paraId="3DD4F6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424"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42">
            <w:pPr>
              <w:widowControl w:v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243">
            <w:pPr>
              <w:spacing w:after="0" w:line="240" w:lineRule="auto"/>
              <w:ind w:hanging="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Terlaksananya PKM dengan Perguruan Tinggi Internasional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44">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45">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46">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0000247">
            <w:pPr>
              <w:widowControl w:val="0"/>
              <w:spacing w:after="0" w:line="240" w:lineRule="auto"/>
              <w:rPr>
                <w:rFonts w:ascii="Cambria" w:hAnsi="Cambria" w:eastAsia="Cambria" w:cs="Cambria"/>
                <w:b/>
                <w:bCs/>
                <w:sz w:val="24"/>
                <w:szCs w:val="24"/>
              </w:rPr>
            </w:pPr>
            <w:r>
              <w:rPr>
                <w:rFonts w:ascii="Times New Roman" w:hAnsi="Times New Roman" w:eastAsia="Times New Roman" w:cs="Times New Roman"/>
                <w:sz w:val="24"/>
                <w:szCs w:val="24"/>
                <w:rtl w:val="0"/>
              </w:rPr>
              <w:t>terlaksana</w:t>
            </w:r>
          </w:p>
        </w:tc>
      </w:tr>
    </w:tbl>
    <w:p w14:paraId="00000248"/>
    <w:tbl>
      <w:tblPr>
        <w:tblStyle w:val="27"/>
        <w:tblW w:w="10034" w:type="dxa"/>
        <w:tblInd w:w="-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34"/>
      </w:tblGrid>
      <w:tr w14:paraId="71D4D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0000249">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J. </w:t>
            </w:r>
            <w:r>
              <w:rPr>
                <w:rFonts w:ascii="Cambria" w:hAnsi="Cambria" w:eastAsia="Cambria" w:cs="Cambria"/>
                <w:b/>
                <w:bCs/>
                <w:sz w:val="24"/>
                <w:szCs w:val="24"/>
                <w:rtl w:val="0"/>
              </w:rPr>
              <w:t>Dokumen Terkait Pelaksanaan Standar</w:t>
            </w:r>
          </w:p>
          <w:p w14:paraId="0000024A">
            <w:pPr>
              <w:spacing w:after="0" w:line="240" w:lineRule="auto"/>
              <w:rPr>
                <w:rFonts w:ascii="Times New Roman" w:hAnsi="Times New Roman" w:eastAsia="Times New Roman" w:cs="Times New Roman"/>
                <w:b/>
                <w:bCs/>
                <w:sz w:val="24"/>
                <w:szCs w:val="24"/>
              </w:rPr>
            </w:pPr>
          </w:p>
        </w:tc>
      </w:tr>
    </w:tbl>
    <w:p w14:paraId="0000024B">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Pedoman Sistem Penjaminan Mutu Internal (SPMI) Universitas Stikubank (UNISBANK) Semarang.</w:t>
      </w:r>
    </w:p>
    <w:p w14:paraId="0000024C">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Pedoman Penerapan Siklus Penetapan, Pelaksanaan, Evaluasi, Pengendalian, dan Peningkatan (PPEPP) Standar Pengabdian kepada Masyarakat Universitas Stikubank (UNISBANK) Semarang.</w:t>
      </w:r>
    </w:p>
    <w:p w14:paraId="0000024D">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Standar Pengabdian kepada Masyarakat Universitas Stikubank (UNISBANK) Semarang.</w:t>
      </w:r>
    </w:p>
    <w:p w14:paraId="0000024E">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Standar Proses Pengabdian kepada Masyarakat FTII Universitas Stikubank (UNISBANK) Semarang.</w:t>
      </w:r>
    </w:p>
    <w:p w14:paraId="0000024F">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Rencana Strategis (Renstra) Pengabdian kepada Masyarakat Universitas Stikubank (UNISBANK) Semarang Tahun 2021–2025.</w:t>
      </w:r>
    </w:p>
    <w:p w14:paraId="00000250">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Rencana Strategis (Renstra) FTII Universitas Stikubank (UNISBANK) Semarang Tahun 2024–2027.</w:t>
      </w:r>
    </w:p>
    <w:p w14:paraId="00000251">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Roadmap Pengabdian kepada Masyarakat Universitas Stikubank (UNISBANK) Semarang.</w:t>
      </w:r>
    </w:p>
    <w:p w14:paraId="00000252">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Roadmap Pengabdian kepada Masyarakat FTII Universitas Stikubank (UNISBANK) Semarang.</w:t>
      </w:r>
    </w:p>
    <w:p w14:paraId="00000253">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Pedoman Penyusunan Proposal Pengabdian kepada Masyarakat.</w:t>
      </w:r>
    </w:p>
    <w:p w14:paraId="00000254">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Pedoman Review dan Penilaian Proposal Pengabdian kepada Masyarakat.</w:t>
      </w:r>
    </w:p>
    <w:p w14:paraId="00000255">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Instrumen Review Proposal dan Laporan Pengabdian kepada Masyarakat.</w:t>
      </w:r>
    </w:p>
    <w:p w14:paraId="00000256">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Surat Keputusan Pengangkatan Reviewer Pengabdian kepada Masyarakat.</w:t>
      </w:r>
    </w:p>
    <w:p w14:paraId="00000257">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Surat Tugas dan Kontrak Pelaksanaan Pengabdian kepada Masyarakat.</w:t>
      </w:r>
    </w:p>
    <w:p w14:paraId="00000258">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Pedoman Monitoring dan Evaluasi (Monev) Pengabdian kepada Masyarakat.</w:t>
      </w:r>
    </w:p>
    <w:p w14:paraId="00000259">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Berita Acara Monitoring dan Evaluasi Pengabdian kepada Masyarakat.</w:t>
      </w:r>
    </w:p>
    <w:p w14:paraId="0000025A">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Pedoman Audit Mutu Internal (AMI) Bidang Pengabdian kepada Masyarakat.</w:t>
      </w:r>
    </w:p>
    <w:p w14:paraId="0000025B">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Laporan Audit Mutu Internal Standar Proses Pengabdian kepada Masyarakat.</w:t>
      </w:r>
    </w:p>
    <w:p w14:paraId="0000025C">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Pedoman Pelibatan Mahasiswa dalam Pengabdian kepada Masyarakat dan Konversi SKS.</w:t>
      </w:r>
    </w:p>
    <w:p w14:paraId="0000025D">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Kode Etik Pengabdian kepada Masyarakat Universitas Stikubank (UNISBANK) Semarang.</w:t>
      </w:r>
    </w:p>
    <w:p w14:paraId="0000025E">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Pedoman Kerja Sama Pengabdian kepada Masyarakat dengan Pemerintah, Dunia Usaha dan Dunia Industri (DUDI), Perguruan Tinggi Nasional, Perguruan Tinggi Internasional, dan Mitra lainnya.</w:t>
      </w:r>
    </w:p>
    <w:p w14:paraId="0000025F">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Pedoman Pengelolaan dan Perlindungan Hak Kekayaan Intelektual (HKI).</w:t>
      </w:r>
    </w:p>
    <w:p w14:paraId="00000260">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Pedoman Publikasi dan Diseminasi Hasil Pengabdian kepada Masyarakat.</w:t>
      </w:r>
    </w:p>
    <w:p w14:paraId="00000261">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Laporan Pelaksanaan Pengabdian kepada Masyarakat dan Dokumentasi Luaran Pengabdian kepada Masyarakat.</w:t>
      </w:r>
    </w:p>
    <w:p w14:paraId="00000262">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Matriks Keterkaitan Standar Proses Pengabdian kepada Masyarakat dengan Instrumen Akreditasi Program Studi LAM INFOKOM 2022 (Instrumen LAM INFOKOM 1.0).</w:t>
      </w:r>
    </w:p>
    <w:p w14:paraId="00000263">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Instrumen Akreditasi Program Studi LAM INFOKOM 2022 (Instrumen LAM INFOKOM 1.0), yang pada saat penyusunan dan penetapan standar mutu tanggal 24 Desember 2024 masih menjadi instrumen akreditasi yang berlaku sesuai Surat Edaran LAM INFOKOM Nomor 02/SE/DE/LAM-INFOKOM/VII/2024 tentang Penyesuaian terhadap Permendikbudristek Nomor 53 Tahun 2023.</w:t>
      </w:r>
    </w:p>
    <w:p w14:paraId="00000264">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right="0" w:hanging="360"/>
        <w:jc w:val="both"/>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Dokumen Evaluasi Ketercapaian Indikator Kinerja Utama (IKU) dan Indikator Kinerja Tambahan (IKT) Standar Proses Pengabdian kepada Masyarakat FTII Universitas Stikubank (UNISBANK) Semarang.</w:t>
      </w:r>
    </w:p>
    <w:p w14:paraId="00000265">
      <w:pPr>
        <w:spacing w:after="0" w:line="240" w:lineRule="auto"/>
        <w:ind w:left="1080" w:firstLine="0"/>
        <w:jc w:val="both"/>
        <w:rPr>
          <w:rFonts w:ascii="Times New Roman" w:hAnsi="Times New Roman" w:eastAsia="Times New Roman" w:cs="Times New Roman"/>
          <w:color w:val="000000"/>
          <w:sz w:val="24"/>
          <w:szCs w:val="24"/>
        </w:rPr>
      </w:pPr>
    </w:p>
    <w:tbl>
      <w:tblPr>
        <w:tblStyle w:val="28"/>
        <w:tblW w:w="9804" w:type="dxa"/>
        <w:tblInd w:w="-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804"/>
      </w:tblGrid>
      <w:tr w14:paraId="23856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9D9D9"/>
          </w:tcPr>
          <w:p w14:paraId="00000266">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K. Referensi</w:t>
            </w:r>
          </w:p>
          <w:p w14:paraId="00000267">
            <w:pPr>
              <w:spacing w:after="0" w:line="240" w:lineRule="auto"/>
              <w:rPr>
                <w:rFonts w:ascii="Times New Roman" w:hAnsi="Times New Roman" w:eastAsia="Times New Roman" w:cs="Times New Roman"/>
                <w:b/>
                <w:bCs/>
                <w:sz w:val="24"/>
                <w:szCs w:val="24"/>
              </w:rPr>
            </w:pPr>
          </w:p>
        </w:tc>
      </w:tr>
    </w:tbl>
    <w:p w14:paraId="00000268">
      <w:pPr>
        <w:spacing w:after="0" w:line="240" w:lineRule="auto"/>
        <w:jc w:val="both"/>
        <w:rPr>
          <w:rFonts w:ascii="Times New Roman" w:hAnsi="Times New Roman" w:eastAsia="Times New Roman" w:cs="Times New Roman"/>
          <w:sz w:val="24"/>
          <w:szCs w:val="24"/>
        </w:rPr>
      </w:pPr>
    </w:p>
    <w:p w14:paraId="00000269">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Undang-Undang Republik Indonesia Nomor 12 Tahun 2012 tentang Pendidikan Tinggi.</w:t>
      </w:r>
    </w:p>
    <w:p w14:paraId="0000026A">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Peraturan Menteri Pendidikan, Kebudayaan, Riset, dan Teknologi Republik Indonesia Nomor 53 Tahun 2023 tentang Penjaminan Mutu Pendidikan Tinggi.</w:t>
      </w:r>
    </w:p>
    <w:p w14:paraId="0000026B">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Peraturan Badan Akreditasi Nasional Perguruan Tinggi Nomor 13 Tahun 2023 tentang Sistem Akreditasi Nasional Pendidikan Tinggi.</w:t>
      </w:r>
    </w:p>
    <w:p w14:paraId="0000026C">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Peraturan Badan Akreditasi Nasional Perguruan Tinggi Nomor 5 Tahun 2024 tentang Pemantauan dan Evaluasi Mutu Perguruan Tinggi.</w:t>
      </w:r>
    </w:p>
    <w:p w14:paraId="0000026D">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Statuta Universitas Stikubank (UNISBANK) Semarang Tahun 2020.</w:t>
      </w:r>
    </w:p>
    <w:p w14:paraId="0000026E">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Rencana Strategis (Renstra) Universitas Stikubank (UNISBANK) Semarang Tahun 2024–2027.</w:t>
      </w:r>
    </w:p>
    <w:p w14:paraId="0000026F">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Rencana Strategis (Renstra) Pengabdian kepada Masyarakat Universitas Stikubank (UNISBANK) Semarang Tahun 2021–2025.</w:t>
      </w:r>
    </w:p>
    <w:p w14:paraId="00000270">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Rencana Strategis (Renstra) Fakultas Teknologi Informasi dan Industri (FTII) Universitas Stikubank (UNISBANK) Semarang Tahun 2024–2027.</w:t>
      </w:r>
    </w:p>
    <w:p w14:paraId="00000271">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Rencana Strategis (Renstra) Pengabdian kepada Masyarakat FTII Universitas Stikubank (UNISBANK) Semarang Tahun 2024–2027.</w:t>
      </w:r>
    </w:p>
    <w:p w14:paraId="00000272">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Pedoman Sistem Penjaminan Mutu Internal (SPMI) Universitas Stikubank (UNISBANK) Semarang.</w:t>
      </w:r>
    </w:p>
    <w:p w14:paraId="00000273">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Instrumen Akreditasi Program Studi LAM INFOKOM 2022 (Instrumen LAM INFOKOM 1.0).</w:t>
      </w:r>
    </w:p>
    <w:p w14:paraId="00000274">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Surat Edaran LAM INFOKOM Nomor 02/SE/DE/LAM-INFOKOM/VII/2024 tentang Penyesuaian terhadap Permendikbudristek Nomor 53 Tahun 2023.</w:t>
      </w:r>
    </w:p>
    <w:p w14:paraId="00000275">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Roadmap Pengabdian kepada Masyarakat Universitas Stikubank (UNISBANK) Semarang.</w:t>
      </w:r>
    </w:p>
    <w:p w14:paraId="00000276">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Roadmap Pengabdian kepada Masyarakat FTII Universitas Stikubank (UNISBANK) Semarang.</w:t>
      </w:r>
    </w:p>
    <w:p w14:paraId="00000277">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Pedoman Pengabdian kepada Masyarakat Universitas Stikubank (UNISBANK) Semarang yang berlaku pada saat standar ditetapkan.</w:t>
      </w:r>
    </w:p>
    <w:p w14:paraId="00000278">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Dokumen Standar Pengabdian kepada Masyarakat Universitas Stikubank (UNISBANK) Semarang.</w:t>
      </w:r>
    </w:p>
    <w:p w14:paraId="0000027A">
      <w:pPr>
        <w:widowControl w:val="0"/>
        <w:numPr>
          <w:ilvl w:val="0"/>
          <w:numId w:val="26"/>
        </w:numPr>
        <w:spacing w:after="0" w:line="240" w:lineRule="auto"/>
        <w:ind w:left="45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Dokumen Standar Proses Pengabdian kepada Masyarakat FTII Universitas Stikubank (UNISBANK) Semarang.</w:t>
      </w:r>
      <w:bookmarkStart w:id="2" w:name="_GoBack"/>
      <w:bookmarkEnd w:id="2"/>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1B7EAB80-3DD0-420E-AB69-5B1523CC955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22CC755-EC4D-431C-8A30-6395ED305230}"/>
  </w:font>
  <w:font w:name="Wingdings">
    <w:panose1 w:val="05000000000000000000"/>
    <w:charset w:val="02"/>
    <w:family w:val="auto"/>
    <w:pitch w:val="default"/>
    <w:sig w:usb0="00000000" w:usb1="00000000" w:usb2="00000000" w:usb3="00000000" w:csb0="80000000" w:csb1="00000000"/>
    <w:embedRegular r:id="rId3" w:fontKey="{B2017A3D-D191-483A-935D-507A3DF8FCE5}"/>
  </w:font>
  <w:font w:name="Calibri">
    <w:panose1 w:val="020F0502020204030204"/>
    <w:charset w:val="86"/>
    <w:family w:val="swiss"/>
    <w:pitch w:val="default"/>
    <w:sig w:usb0="E4002EFF" w:usb1="C200247B" w:usb2="00000009" w:usb3="00000000" w:csb0="200001FF" w:csb1="00000000"/>
    <w:embedRegular r:id="rId4" w:fontKey="{1494BBFE-880F-4A2D-8A5F-46405B327BD7}"/>
  </w:font>
  <w:font w:name="Georgia">
    <w:panose1 w:val="02040502050405020303"/>
    <w:charset w:val="00"/>
    <w:family w:val="auto"/>
    <w:pitch w:val="default"/>
    <w:sig w:usb0="00000287" w:usb1="00000000" w:usb2="00000000" w:usb3="00000000" w:csb0="2000009F" w:csb1="00000000"/>
    <w:embedRegular r:id="rId5" w:fontKey="{D190020E-8AB0-428B-B02B-BB9EE9DA65BF}"/>
  </w:font>
  <w:font w:name="Noto Sans Symbols">
    <w:altName w:val="Noto Sans"/>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B89835B5-C68F-4DD5-A1BE-921F26247126}"/>
  </w:font>
  <w:font w:name="Aptos Narrow">
    <w:altName w:val="Segoe UI Variable Display"/>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82FF" w:usb1="400078FF" w:usb2="00000021" w:usb3="00000000" w:csb0="2000019F" w:csb1="DFD70000"/>
    <w:embedRegular r:id="rId7" w:fontKey="{A36C74C4-E2F1-4C65-A579-FBBA33CB84EB}"/>
  </w:font>
  <w:font w:name="Segoe UI Variable Display">
    <w:panose1 w:val="00000000000000000000"/>
    <w:charset w:val="00"/>
    <w:family w:val="auto"/>
    <w:pitch w:val="default"/>
    <w:sig w:usb0="A00002FF" w:usb1="0000000B" w:usb2="00000000" w:usb3="00000000" w:csb0="2000019F" w:csb1="00000000"/>
    <w:embedRegular r:id="rId8" w:fontKey="{16A9B12A-2F8A-4F48-8FDE-3FEF57A176BB}"/>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7B">
    <w:pPr>
      <w:tabs>
        <w:tab w:val="center" w:pos="4680"/>
        <w:tab w:val="right" w:pos="9360"/>
      </w:tabs>
      <w:spacing w:after="0" w:line="240" w:lineRule="auto"/>
      <w:rPr>
        <w:color w:val="000000"/>
      </w:rPr>
    </w:pPr>
  </w:p>
  <w:tbl>
    <w:tblPr>
      <w:tblStyle w:val="29"/>
      <w:tblW w:w="10390" w:type="dxa"/>
      <w:tblInd w:w="-7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480"/>
      <w:gridCol w:w="4860"/>
      <w:gridCol w:w="1530"/>
      <w:gridCol w:w="2520"/>
    </w:tblGrid>
    <w:tr w14:paraId="0B55D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4" w:hRule="atLeast"/>
      </w:trPr>
      <w:tc>
        <w:tcPr>
          <w:vMerge w:val="restart"/>
          <w:vAlign w:val="center"/>
        </w:tcPr>
        <w:p w14:paraId="0000027C">
          <w:pPr>
            <w:tabs>
              <w:tab w:val="center" w:pos="4680"/>
              <w:tab w:val="right" w:pos="9360"/>
            </w:tabs>
            <w:spacing w:after="0" w:line="240" w:lineRule="auto"/>
            <w:rPr>
              <w:rFonts w:ascii="Arial" w:hAnsi="Arial" w:eastAsia="Arial" w:cs="Arial"/>
              <w:color w:val="000000"/>
            </w:rPr>
          </w:pPr>
          <w:r>
            <w:rPr>
              <w:rFonts w:ascii="Arial" w:hAnsi="Arial" w:eastAsia="Arial" w:cs="Arial"/>
            </w:rPr>
            <w:drawing>
              <wp:inline distT="114300" distB="114300" distL="114300" distR="114300">
                <wp:extent cx="790575" cy="787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srcRect/>
                        <a:stretch>
                          <a:fillRect/>
                        </a:stretch>
                      </pic:blipFill>
                      <pic:spPr>
                        <a:xfrm>
                          <a:off x="0" y="0"/>
                          <a:ext cx="790575" cy="787400"/>
                        </a:xfrm>
                        <a:prstGeom prst="rect">
                          <a:avLst/>
                        </a:prstGeom>
                      </pic:spPr>
                    </pic:pic>
                  </a:graphicData>
                </a:graphic>
              </wp:inline>
            </w:drawing>
          </w:r>
        </w:p>
        <w:p w14:paraId="0000027D">
          <w:pPr>
            <w:spacing w:after="0" w:line="240" w:lineRule="auto"/>
            <w:rPr>
              <w:rFonts w:ascii="Arial" w:hAnsi="Arial" w:eastAsia="Arial" w:cs="Arial"/>
            </w:rPr>
          </w:pPr>
        </w:p>
        <w:p w14:paraId="0000027E">
          <w:pPr>
            <w:spacing w:after="0" w:line="240" w:lineRule="auto"/>
            <w:ind w:right="-108"/>
            <w:jc w:val="center"/>
            <w:rPr>
              <w:rFonts w:ascii="Arial" w:hAnsi="Arial" w:eastAsia="Arial" w:cs="Arial"/>
            </w:rPr>
          </w:pPr>
        </w:p>
      </w:tc>
      <w:tc>
        <w:tcPr>
          <w:tcBorders>
            <w:bottom w:val="single" w:color="000000" w:sz="4" w:space="0"/>
          </w:tcBorders>
          <w:vAlign w:val="center"/>
        </w:tcPr>
        <w:p w14:paraId="0000027F">
          <w:pPr>
            <w:tabs>
              <w:tab w:val="center" w:pos="4680"/>
              <w:tab w:val="right" w:pos="9360"/>
            </w:tabs>
            <w:spacing w:after="0" w:line="240" w:lineRule="auto"/>
            <w:jc w:val="center"/>
            <w:rPr>
              <w:rFonts w:ascii="Times New Roman" w:hAnsi="Times New Roman" w:eastAsia="Times New Roman" w:cs="Times New Roman"/>
              <w:b/>
              <w:bCs/>
              <w:sz w:val="18"/>
              <w:szCs w:val="18"/>
            </w:rPr>
          </w:pPr>
        </w:p>
        <w:p w14:paraId="00000280">
          <w:pPr>
            <w:tabs>
              <w:tab w:val="center" w:pos="4680"/>
              <w:tab w:val="right" w:pos="9360"/>
            </w:tabs>
            <w:spacing w:after="0" w:line="240" w:lineRule="auto"/>
            <w:jc w:val="center"/>
            <w:rPr>
              <w:rFonts w:ascii="Arial" w:hAnsi="Arial" w:eastAsia="Arial" w:cs="Arial"/>
              <w:b/>
              <w:bCs/>
              <w:color w:val="000000"/>
              <w:sz w:val="32"/>
              <w:szCs w:val="32"/>
            </w:rPr>
          </w:pPr>
          <w:r>
            <w:rPr>
              <w:rFonts w:ascii="Times New Roman" w:hAnsi="Times New Roman" w:eastAsia="Times New Roman" w:cs="Times New Roman"/>
              <w:b/>
              <w:bCs/>
              <w:sz w:val="18"/>
              <w:szCs w:val="18"/>
              <w:rtl w:val="0"/>
            </w:rPr>
            <w:t>FAKULTAS TEKNOLOGI INFORMASI DAN INDUSTRI</w:t>
          </w:r>
        </w:p>
        <w:p w14:paraId="00000281">
          <w:pPr>
            <w:tabs>
              <w:tab w:val="center" w:pos="4680"/>
              <w:tab w:val="right" w:pos="9360"/>
            </w:tabs>
            <w:spacing w:after="0" w:line="240" w:lineRule="auto"/>
            <w:jc w:val="center"/>
            <w:rPr>
              <w:rFonts w:ascii="Arial" w:hAnsi="Arial" w:eastAsia="Arial" w:cs="Arial"/>
              <w:b/>
              <w:bCs/>
              <w:color w:val="000000"/>
              <w:sz w:val="32"/>
              <w:szCs w:val="32"/>
            </w:rPr>
          </w:pPr>
          <w:r>
            <w:rPr>
              <w:rFonts w:ascii="Arial" w:hAnsi="Arial" w:eastAsia="Arial" w:cs="Arial"/>
              <w:b/>
              <w:bCs/>
              <w:color w:val="000000"/>
              <w:sz w:val="32"/>
              <w:szCs w:val="32"/>
              <w:rtl w:val="0"/>
            </w:rPr>
            <w:t>UNIVERSITAS STIKUBANK</w:t>
          </w:r>
        </w:p>
      </w:tc>
      <w:tc>
        <w:tcPr>
          <w:vAlign w:val="center"/>
        </w:tcPr>
        <w:p w14:paraId="00000282">
          <w:pPr>
            <w:tabs>
              <w:tab w:val="center" w:pos="4680"/>
              <w:tab w:val="right" w:pos="9360"/>
            </w:tabs>
            <w:spacing w:after="0" w:line="240" w:lineRule="auto"/>
            <w:rPr>
              <w:color w:val="000000"/>
            </w:rPr>
          </w:pPr>
          <w:r>
            <w:rPr>
              <w:color w:val="000000"/>
              <w:rtl w:val="0"/>
            </w:rPr>
            <w:t>No. Dokumen</w:t>
          </w:r>
        </w:p>
      </w:tc>
      <w:tc>
        <w:tcPr>
          <w:vAlign w:val="center"/>
        </w:tcPr>
        <w:p w14:paraId="00000283">
          <w:pPr>
            <w:tabs>
              <w:tab w:val="center" w:pos="4680"/>
              <w:tab w:val="right" w:pos="9360"/>
            </w:tabs>
            <w:spacing w:after="0" w:line="240" w:lineRule="auto"/>
            <w:rPr>
              <w:color w:val="000000"/>
            </w:rPr>
          </w:pPr>
          <w:r>
            <w:rPr>
              <w:color w:val="000000"/>
              <w:rtl w:val="0"/>
            </w:rPr>
            <w:t>STANDAR /SPMI/2024</w:t>
          </w:r>
        </w:p>
      </w:tc>
    </w:tr>
    <w:tr w14:paraId="1E09D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6" w:hRule="atLeast"/>
      </w:trPr>
      <w:tc>
        <w:tcPr>
          <w:vMerge w:val="continue"/>
          <w:vAlign w:val="center"/>
        </w:tcPr>
        <w:p w14:paraId="000002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rPr>
          </w:pPr>
        </w:p>
      </w:tc>
      <w:tc>
        <w:tcPr>
          <w:vMerge w:val="restart"/>
          <w:tcBorders>
            <w:top w:val="single" w:color="000000" w:sz="4" w:space="0"/>
          </w:tcBorders>
          <w:vAlign w:val="center"/>
        </w:tcPr>
        <w:p w14:paraId="00000285">
          <w:pPr>
            <w:tabs>
              <w:tab w:val="center" w:pos="4680"/>
              <w:tab w:val="right" w:pos="9360"/>
            </w:tabs>
            <w:spacing w:after="0" w:line="240" w:lineRule="auto"/>
            <w:jc w:val="center"/>
            <w:rPr>
              <w:b/>
              <w:bCs/>
              <w:color w:val="000000"/>
              <w:sz w:val="32"/>
              <w:szCs w:val="32"/>
            </w:rPr>
          </w:pPr>
          <w:r>
            <w:rPr>
              <w:b/>
              <w:bCs/>
              <w:color w:val="000000"/>
              <w:sz w:val="32"/>
              <w:szCs w:val="32"/>
              <w:rtl w:val="0"/>
            </w:rPr>
            <w:t>STANDAR PROSES PENGABDIAN KEPADA MASYARAKAT</w:t>
          </w:r>
        </w:p>
      </w:tc>
      <w:tc>
        <w:tcPr>
          <w:vAlign w:val="center"/>
        </w:tcPr>
        <w:p w14:paraId="00000286">
          <w:pPr>
            <w:tabs>
              <w:tab w:val="center" w:pos="4680"/>
              <w:tab w:val="right" w:pos="9360"/>
            </w:tabs>
            <w:spacing w:after="0" w:line="240" w:lineRule="auto"/>
            <w:rPr>
              <w:color w:val="000000"/>
            </w:rPr>
          </w:pPr>
          <w:r>
            <w:rPr>
              <w:color w:val="000000"/>
              <w:rtl w:val="0"/>
            </w:rPr>
            <w:t>No. Revisi:</w:t>
          </w:r>
        </w:p>
      </w:tc>
      <w:tc>
        <w:tcPr>
          <w:vAlign w:val="center"/>
        </w:tcPr>
        <w:p w14:paraId="00000287">
          <w:pPr>
            <w:tabs>
              <w:tab w:val="center" w:pos="4680"/>
              <w:tab w:val="right" w:pos="9360"/>
            </w:tabs>
            <w:spacing w:after="0" w:line="240" w:lineRule="auto"/>
            <w:rPr>
              <w:color w:val="000000"/>
            </w:rPr>
          </w:pPr>
        </w:p>
      </w:tc>
    </w:tr>
    <w:tr w14:paraId="099F6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vMerge w:val="continue"/>
          <w:vAlign w:val="center"/>
        </w:tcPr>
        <w:p w14:paraId="000002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rPr>
          </w:pPr>
        </w:p>
      </w:tc>
      <w:tc>
        <w:tcPr>
          <w:vMerge w:val="continue"/>
          <w:tcBorders>
            <w:top w:val="single" w:color="000000" w:sz="4" w:space="0"/>
          </w:tcBorders>
          <w:vAlign w:val="center"/>
        </w:tcPr>
        <w:p w14:paraId="000002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rPr>
          </w:pPr>
        </w:p>
      </w:tc>
      <w:tc>
        <w:tcPr>
          <w:vAlign w:val="center"/>
        </w:tcPr>
        <w:p w14:paraId="0000028A">
          <w:pPr>
            <w:tabs>
              <w:tab w:val="center" w:pos="4680"/>
              <w:tab w:val="right" w:pos="9360"/>
            </w:tabs>
            <w:spacing w:after="0" w:line="240" w:lineRule="auto"/>
            <w:rPr>
              <w:color w:val="000000"/>
            </w:rPr>
          </w:pPr>
          <w:r>
            <w:rPr>
              <w:color w:val="000000"/>
              <w:rtl w:val="0"/>
            </w:rPr>
            <w:t xml:space="preserve">Tgl. Berlaku: </w:t>
          </w:r>
        </w:p>
      </w:tc>
      <w:tc>
        <w:tcPr>
          <w:vAlign w:val="center"/>
        </w:tcPr>
        <w:p w14:paraId="0000028B">
          <w:pPr>
            <w:tabs>
              <w:tab w:val="center" w:pos="4680"/>
              <w:tab w:val="right" w:pos="9360"/>
            </w:tabs>
            <w:spacing w:after="0" w:line="240" w:lineRule="auto"/>
            <w:rPr>
              <w:color w:val="000000"/>
            </w:rPr>
          </w:pPr>
          <w:r>
            <w:rPr>
              <w:color w:val="000000"/>
              <w:rtl w:val="0"/>
            </w:rPr>
            <w:t xml:space="preserve"> 5 </w:t>
          </w:r>
          <w:r>
            <w:rPr>
              <w:rtl w:val="0"/>
            </w:rPr>
            <w:t>Des</w:t>
          </w:r>
          <w:r>
            <w:rPr>
              <w:color w:val="000000"/>
              <w:rtl w:val="0"/>
            </w:rPr>
            <w:t>ember 2024</w:t>
          </w:r>
        </w:p>
      </w:tc>
    </w:tr>
    <w:tr w14:paraId="560DB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5" w:hRule="atLeast"/>
      </w:trPr>
      <w:tc>
        <w:tcPr>
          <w:vMerge w:val="continue"/>
          <w:vAlign w:val="center"/>
        </w:tcPr>
        <w:p w14:paraId="000002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rPr>
          </w:pPr>
        </w:p>
      </w:tc>
      <w:tc>
        <w:tcPr>
          <w:vMerge w:val="continue"/>
          <w:tcBorders>
            <w:top w:val="single" w:color="000000" w:sz="4" w:space="0"/>
          </w:tcBorders>
          <w:vAlign w:val="center"/>
        </w:tcPr>
        <w:p w14:paraId="000002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rPr>
          </w:pPr>
        </w:p>
      </w:tc>
      <w:tc>
        <w:tcPr>
          <w:vAlign w:val="center"/>
        </w:tcPr>
        <w:p w14:paraId="0000028E">
          <w:pPr>
            <w:tabs>
              <w:tab w:val="center" w:pos="4680"/>
              <w:tab w:val="right" w:pos="9360"/>
            </w:tabs>
            <w:spacing w:after="0" w:line="240" w:lineRule="auto"/>
            <w:rPr>
              <w:color w:val="000000"/>
            </w:rPr>
          </w:pPr>
          <w:r>
            <w:rPr>
              <w:color w:val="000000"/>
              <w:rtl w:val="0"/>
            </w:rPr>
            <w:t xml:space="preserve">Halaman: </w:t>
          </w:r>
        </w:p>
      </w:tc>
      <w:tc>
        <w:tcPr>
          <w:vAlign w:val="center"/>
        </w:tcPr>
        <w:p w14:paraId="0000028F">
          <w:pPr>
            <w:tabs>
              <w:tab w:val="center" w:pos="4680"/>
              <w:tab w:val="right" w:pos="9360"/>
            </w:tabs>
            <w:spacing w:after="0" w:line="240" w:lineRule="auto"/>
            <w:rPr>
              <w:color w:val="000000"/>
            </w:rPr>
          </w:pPr>
          <w:r>
            <w:rPr>
              <w:color w:val="000000"/>
            </w:rPr>
            <w:fldChar w:fldCharType="begin"/>
          </w:r>
          <w:r>
            <w:rPr>
              <w:color w:val="000000"/>
            </w:rPr>
            <w:instrText xml:space="preserve">PAGE</w:instrText>
          </w:r>
          <w:r>
            <w:rPr>
              <w:color w:val="000000"/>
            </w:rPr>
            <w:fldChar w:fldCharType="separate"/>
          </w:r>
          <w:r>
            <w:rPr>
              <w:color w:val="000000"/>
            </w:rPr>
            <w:fldChar w:fldCharType="end"/>
          </w:r>
          <w:r>
            <w:rPr>
              <w:color w:val="000000"/>
              <w:rtl w:val="0"/>
            </w:rPr>
            <w:t xml:space="preserve"> dari 9</w:t>
          </w:r>
        </w:p>
      </w:tc>
    </w:tr>
  </w:tbl>
  <w:p w14:paraId="00000290">
    <w:pPr>
      <w:tabs>
        <w:tab w:val="center" w:pos="4680"/>
        <w:tab w:val="right" w:pos="9360"/>
      </w:tabs>
      <w:spacing w:after="0" w:line="240" w:lineRule="auto"/>
      <w:rPr>
        <w:color w:val="000000"/>
      </w:rPr>
    </w:pPr>
  </w:p>
  <w:p w14:paraId="00000291">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9C8AC8EF"/>
    <w:multiLevelType w:val="multilevel"/>
    <w:tmpl w:val="9C8AC8E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B0F1ACD9"/>
    <w:multiLevelType w:val="multilevel"/>
    <w:tmpl w:val="B0F1ACD9"/>
    <w:lvl w:ilvl="0" w:tentative="0">
      <w:start w:val="1"/>
      <w:numFmt w:val="decimal"/>
      <w:lvlText w:val="%1."/>
      <w:lvlJc w:val="left"/>
      <w:pPr>
        <w:ind w:left="1109" w:hanging="360"/>
      </w:pPr>
    </w:lvl>
    <w:lvl w:ilvl="1" w:tentative="0">
      <w:start w:val="1"/>
      <w:numFmt w:val="lowerLetter"/>
      <w:lvlText w:val="%2."/>
      <w:lvlJc w:val="left"/>
      <w:pPr>
        <w:ind w:left="1829" w:hanging="360"/>
      </w:pPr>
    </w:lvl>
    <w:lvl w:ilvl="2" w:tentative="0">
      <w:start w:val="1"/>
      <w:numFmt w:val="lowerRoman"/>
      <w:lvlText w:val="%3."/>
      <w:lvlJc w:val="right"/>
      <w:pPr>
        <w:ind w:left="2549" w:hanging="180"/>
      </w:pPr>
    </w:lvl>
    <w:lvl w:ilvl="3" w:tentative="0">
      <w:start w:val="1"/>
      <w:numFmt w:val="decimal"/>
      <w:lvlText w:val="%4."/>
      <w:lvlJc w:val="left"/>
      <w:pPr>
        <w:ind w:left="3269" w:hanging="360"/>
      </w:pPr>
    </w:lvl>
    <w:lvl w:ilvl="4" w:tentative="0">
      <w:start w:val="1"/>
      <w:numFmt w:val="lowerLetter"/>
      <w:lvlText w:val="%5."/>
      <w:lvlJc w:val="left"/>
      <w:pPr>
        <w:ind w:left="3989" w:hanging="360"/>
      </w:pPr>
    </w:lvl>
    <w:lvl w:ilvl="5" w:tentative="0">
      <w:start w:val="1"/>
      <w:numFmt w:val="lowerRoman"/>
      <w:lvlText w:val="%6."/>
      <w:lvlJc w:val="right"/>
      <w:pPr>
        <w:ind w:left="4709" w:hanging="180"/>
      </w:pPr>
    </w:lvl>
    <w:lvl w:ilvl="6" w:tentative="0">
      <w:start w:val="1"/>
      <w:numFmt w:val="decimal"/>
      <w:lvlText w:val="%7."/>
      <w:lvlJc w:val="left"/>
      <w:pPr>
        <w:ind w:left="5429" w:hanging="360"/>
      </w:pPr>
    </w:lvl>
    <w:lvl w:ilvl="7" w:tentative="0">
      <w:start w:val="1"/>
      <w:numFmt w:val="lowerLetter"/>
      <w:lvlText w:val="%8."/>
      <w:lvlJc w:val="left"/>
      <w:pPr>
        <w:ind w:left="6149" w:hanging="360"/>
      </w:pPr>
    </w:lvl>
    <w:lvl w:ilvl="8" w:tentative="0">
      <w:start w:val="1"/>
      <w:numFmt w:val="lowerRoman"/>
      <w:lvlText w:val="%9."/>
      <w:lvlJc w:val="right"/>
      <w:pPr>
        <w:ind w:left="6869" w:hanging="180"/>
      </w:pPr>
    </w:lvl>
  </w:abstractNum>
  <w:abstractNum w:abstractNumId="3">
    <w:nsid w:val="B5C1A985"/>
    <w:multiLevelType w:val="multilevel"/>
    <w:tmpl w:val="B5C1A985"/>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decimal"/>
      <w:lvlText w:val="%3."/>
      <w:lvlJc w:val="left"/>
      <w:pPr>
        <w:ind w:left="1800" w:hanging="360"/>
      </w:pPr>
    </w:lvl>
    <w:lvl w:ilvl="3" w:tentative="0">
      <w:start w:val="1"/>
      <w:numFmt w:val="decimal"/>
      <w:lvlText w:val="%4."/>
      <w:lvlJc w:val="left"/>
      <w:pPr>
        <w:ind w:left="2520" w:hanging="360"/>
      </w:pPr>
    </w:lvl>
    <w:lvl w:ilvl="4" w:tentative="0">
      <w:start w:val="1"/>
      <w:numFmt w:val="decimal"/>
      <w:lvlText w:val="%5."/>
      <w:lvlJc w:val="left"/>
      <w:pPr>
        <w:ind w:left="3240" w:hanging="360"/>
      </w:pPr>
    </w:lvl>
    <w:lvl w:ilvl="5" w:tentative="0">
      <w:start w:val="1"/>
      <w:numFmt w:val="decimal"/>
      <w:lvlText w:val="%6."/>
      <w:lvlJc w:val="left"/>
      <w:pPr>
        <w:ind w:left="3960" w:hanging="360"/>
      </w:pPr>
    </w:lvl>
    <w:lvl w:ilvl="6" w:tentative="0">
      <w:start w:val="1"/>
      <w:numFmt w:val="decimal"/>
      <w:lvlText w:val="%7."/>
      <w:lvlJc w:val="left"/>
      <w:pPr>
        <w:ind w:left="4680" w:hanging="360"/>
      </w:pPr>
    </w:lvl>
    <w:lvl w:ilvl="7" w:tentative="0">
      <w:start w:val="1"/>
      <w:numFmt w:val="decimal"/>
      <w:lvlText w:val="%8."/>
      <w:lvlJc w:val="left"/>
      <w:pPr>
        <w:ind w:left="5400" w:hanging="360"/>
      </w:pPr>
    </w:lvl>
    <w:lvl w:ilvl="8" w:tentative="0">
      <w:start w:val="1"/>
      <w:numFmt w:val="decimal"/>
      <w:lvlText w:val="%9."/>
      <w:lvlJc w:val="left"/>
      <w:pPr>
        <w:ind w:left="6120" w:hanging="360"/>
      </w:pPr>
    </w:lvl>
  </w:abstractNum>
  <w:abstractNum w:abstractNumId="4">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BF205925"/>
    <w:multiLevelType w:val="multilevel"/>
    <w:tmpl w:val="BF205925"/>
    <w:lvl w:ilvl="0" w:tentative="0">
      <w:start w:val="1"/>
      <w:numFmt w:val="lowerLetter"/>
      <w:lvlText w:val="%1."/>
      <w:lvlJc w:val="left"/>
      <w:pPr>
        <w:ind w:left="720" w:hanging="360"/>
      </w:p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C8879AEF"/>
    <w:multiLevelType w:val="multilevel"/>
    <w:tmpl w:val="C8879AE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CF092B84"/>
    <w:multiLevelType w:val="multilevel"/>
    <w:tmpl w:val="CF092B84"/>
    <w:lvl w:ilvl="0" w:tentative="0">
      <w:start w:val="1"/>
      <w:numFmt w:val="decimal"/>
      <w:lvlText w:val="%1."/>
      <w:lvlJc w:val="left"/>
      <w:pPr>
        <w:ind w:left="720" w:hanging="360"/>
      </w:pPr>
      <w:rPr>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D7F9FE59"/>
    <w:multiLevelType w:val="multilevel"/>
    <w:tmpl w:val="D7F9FE5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DCBA6B53"/>
    <w:multiLevelType w:val="multilevel"/>
    <w:tmpl w:val="DCBA6B5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0053208E"/>
    <w:multiLevelType w:val="multilevel"/>
    <w:tmpl w:val="0053208E"/>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
    <w:nsid w:val="0248C179"/>
    <w:multiLevelType w:val="multilevel"/>
    <w:tmpl w:val="0248C179"/>
    <w:lvl w:ilvl="0" w:tentative="0">
      <w:start w:val="4"/>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06024A4D"/>
    <w:multiLevelType w:val="multilevel"/>
    <w:tmpl w:val="06024A4D"/>
    <w:lvl w:ilvl="0" w:tentative="0">
      <w:start w:val="1"/>
      <w:numFmt w:val="decimal"/>
      <w:lvlText w:val="%1."/>
      <w:lvlJc w:val="left"/>
      <w:pPr>
        <w:ind w:left="630" w:hanging="360"/>
      </w:pPr>
    </w:lvl>
    <w:lvl w:ilvl="1" w:tentative="0">
      <w:start w:val="1"/>
      <w:numFmt w:val="lowerLetter"/>
      <w:lvlText w:val="%2."/>
      <w:lvlJc w:val="left"/>
      <w:pPr>
        <w:ind w:left="1350" w:hanging="360"/>
      </w:pPr>
    </w:lvl>
    <w:lvl w:ilvl="2" w:tentative="0">
      <w:start w:val="1"/>
      <w:numFmt w:val="lowerRoman"/>
      <w:lvlText w:val="%3."/>
      <w:lvlJc w:val="right"/>
      <w:pPr>
        <w:ind w:left="2070" w:hanging="180"/>
      </w:pPr>
    </w:lvl>
    <w:lvl w:ilvl="3" w:tentative="0">
      <w:start w:val="1"/>
      <w:numFmt w:val="decimal"/>
      <w:lvlText w:val="%4."/>
      <w:lvlJc w:val="left"/>
      <w:pPr>
        <w:ind w:left="2790" w:hanging="360"/>
      </w:pPr>
    </w:lvl>
    <w:lvl w:ilvl="4" w:tentative="0">
      <w:start w:val="1"/>
      <w:numFmt w:val="lowerLetter"/>
      <w:lvlText w:val="%5."/>
      <w:lvlJc w:val="left"/>
      <w:pPr>
        <w:ind w:left="3510" w:hanging="360"/>
      </w:pPr>
    </w:lvl>
    <w:lvl w:ilvl="5" w:tentative="0">
      <w:start w:val="1"/>
      <w:numFmt w:val="lowerRoman"/>
      <w:lvlText w:val="%6."/>
      <w:lvlJc w:val="right"/>
      <w:pPr>
        <w:ind w:left="4230" w:hanging="180"/>
      </w:pPr>
    </w:lvl>
    <w:lvl w:ilvl="6" w:tentative="0">
      <w:start w:val="1"/>
      <w:numFmt w:val="decimal"/>
      <w:lvlText w:val="%7."/>
      <w:lvlJc w:val="left"/>
      <w:pPr>
        <w:ind w:left="4950" w:hanging="360"/>
      </w:pPr>
    </w:lvl>
    <w:lvl w:ilvl="7" w:tentative="0">
      <w:start w:val="1"/>
      <w:numFmt w:val="lowerLetter"/>
      <w:lvlText w:val="%8."/>
      <w:lvlJc w:val="left"/>
      <w:pPr>
        <w:ind w:left="5670" w:hanging="360"/>
      </w:pPr>
    </w:lvl>
    <w:lvl w:ilvl="8" w:tentative="0">
      <w:start w:val="1"/>
      <w:numFmt w:val="lowerRoman"/>
      <w:lvlText w:val="%9."/>
      <w:lvlJc w:val="right"/>
      <w:pPr>
        <w:ind w:left="6390" w:hanging="180"/>
      </w:pPr>
    </w:lvl>
  </w:abstractNum>
  <w:abstractNum w:abstractNumId="15">
    <w:nsid w:val="0E640482"/>
    <w:multiLevelType w:val="multilevel"/>
    <w:tmpl w:val="0E640482"/>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decimal"/>
      <w:lvlText w:val="%3."/>
      <w:lvlJc w:val="left"/>
      <w:pPr>
        <w:ind w:left="1800" w:hanging="360"/>
      </w:pPr>
    </w:lvl>
    <w:lvl w:ilvl="3" w:tentative="0">
      <w:start w:val="1"/>
      <w:numFmt w:val="decimal"/>
      <w:lvlText w:val="%4."/>
      <w:lvlJc w:val="left"/>
      <w:pPr>
        <w:ind w:left="2520" w:hanging="360"/>
      </w:pPr>
    </w:lvl>
    <w:lvl w:ilvl="4" w:tentative="0">
      <w:start w:val="1"/>
      <w:numFmt w:val="decimal"/>
      <w:lvlText w:val="%5."/>
      <w:lvlJc w:val="left"/>
      <w:pPr>
        <w:ind w:left="3240" w:hanging="360"/>
      </w:pPr>
    </w:lvl>
    <w:lvl w:ilvl="5" w:tentative="0">
      <w:start w:val="1"/>
      <w:numFmt w:val="decimal"/>
      <w:lvlText w:val="%6."/>
      <w:lvlJc w:val="left"/>
      <w:pPr>
        <w:ind w:left="3960" w:hanging="360"/>
      </w:pPr>
    </w:lvl>
    <w:lvl w:ilvl="6" w:tentative="0">
      <w:start w:val="1"/>
      <w:numFmt w:val="decimal"/>
      <w:lvlText w:val="%7."/>
      <w:lvlJc w:val="left"/>
      <w:pPr>
        <w:ind w:left="4680" w:hanging="360"/>
      </w:pPr>
    </w:lvl>
    <w:lvl w:ilvl="7" w:tentative="0">
      <w:start w:val="1"/>
      <w:numFmt w:val="decimal"/>
      <w:lvlText w:val="%8."/>
      <w:lvlJc w:val="left"/>
      <w:pPr>
        <w:ind w:left="5400" w:hanging="360"/>
      </w:pPr>
    </w:lvl>
    <w:lvl w:ilvl="8" w:tentative="0">
      <w:start w:val="1"/>
      <w:numFmt w:val="decimal"/>
      <w:lvlText w:val="%9."/>
      <w:lvlJc w:val="left"/>
      <w:pPr>
        <w:ind w:left="6120" w:hanging="360"/>
      </w:pPr>
    </w:lvl>
  </w:abstractNum>
  <w:abstractNum w:abstractNumId="16">
    <w:nsid w:val="2470EC97"/>
    <w:multiLevelType w:val="multilevel"/>
    <w:tmpl w:val="2470EC9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46A08BB8"/>
    <w:multiLevelType w:val="multilevel"/>
    <w:tmpl w:val="46A08BB8"/>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0">
    <w:nsid w:val="4C1BAE26"/>
    <w:multiLevelType w:val="multilevel"/>
    <w:tmpl w:val="4C1BAE2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4D4DC07F"/>
    <w:multiLevelType w:val="multilevel"/>
    <w:tmpl w:val="4D4DC07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9ADCABA"/>
    <w:multiLevelType w:val="multilevel"/>
    <w:tmpl w:val="59ADCABA"/>
    <w:lvl w:ilvl="0" w:tentative="0">
      <w:start w:val="1"/>
      <w:numFmt w:val="decimal"/>
      <w:lvlText w:val="%1."/>
      <w:lvlJc w:val="left"/>
      <w:pPr>
        <w:ind w:left="720" w:hanging="360"/>
      </w:pPr>
      <w:rPr>
        <w:sz w:val="22"/>
        <w:szCs w:val="22"/>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60382F6E"/>
    <w:multiLevelType w:val="multilevel"/>
    <w:tmpl w:val="60382F6E"/>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decimal"/>
      <w:lvlText w:val="%3."/>
      <w:lvlJc w:val="left"/>
      <w:pPr>
        <w:ind w:left="1800" w:hanging="360"/>
      </w:pPr>
    </w:lvl>
    <w:lvl w:ilvl="3" w:tentative="0">
      <w:start w:val="1"/>
      <w:numFmt w:val="decimal"/>
      <w:lvlText w:val="%4."/>
      <w:lvlJc w:val="left"/>
      <w:pPr>
        <w:ind w:left="2520" w:hanging="360"/>
      </w:pPr>
    </w:lvl>
    <w:lvl w:ilvl="4" w:tentative="0">
      <w:start w:val="1"/>
      <w:numFmt w:val="decimal"/>
      <w:lvlText w:val="%5."/>
      <w:lvlJc w:val="left"/>
      <w:pPr>
        <w:ind w:left="3240" w:hanging="360"/>
      </w:pPr>
    </w:lvl>
    <w:lvl w:ilvl="5" w:tentative="0">
      <w:start w:val="1"/>
      <w:numFmt w:val="decimal"/>
      <w:lvlText w:val="%6."/>
      <w:lvlJc w:val="left"/>
      <w:pPr>
        <w:ind w:left="3960" w:hanging="360"/>
      </w:pPr>
    </w:lvl>
    <w:lvl w:ilvl="6" w:tentative="0">
      <w:start w:val="1"/>
      <w:numFmt w:val="decimal"/>
      <w:lvlText w:val="%7."/>
      <w:lvlJc w:val="left"/>
      <w:pPr>
        <w:ind w:left="4680" w:hanging="360"/>
      </w:pPr>
    </w:lvl>
    <w:lvl w:ilvl="7" w:tentative="0">
      <w:start w:val="1"/>
      <w:numFmt w:val="decimal"/>
      <w:lvlText w:val="%8."/>
      <w:lvlJc w:val="left"/>
      <w:pPr>
        <w:ind w:left="5400" w:hanging="360"/>
      </w:pPr>
    </w:lvl>
    <w:lvl w:ilvl="8" w:tentative="0">
      <w:start w:val="1"/>
      <w:numFmt w:val="decimal"/>
      <w:lvlText w:val="%9."/>
      <w:lvlJc w:val="left"/>
      <w:pPr>
        <w:ind w:left="6120" w:hanging="360"/>
      </w:pPr>
    </w:lvl>
  </w:abstractNum>
  <w:abstractNum w:abstractNumId="25">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1"/>
  </w:num>
  <w:num w:numId="2">
    <w:abstractNumId w:val="7"/>
  </w:num>
  <w:num w:numId="3">
    <w:abstractNumId w:val="22"/>
  </w:num>
  <w:num w:numId="4">
    <w:abstractNumId w:val="5"/>
  </w:num>
  <w:num w:numId="5">
    <w:abstractNumId w:val="4"/>
  </w:num>
  <w:num w:numId="6">
    <w:abstractNumId w:val="13"/>
  </w:num>
  <w:num w:numId="7">
    <w:abstractNumId w:val="17"/>
  </w:num>
  <w:num w:numId="8">
    <w:abstractNumId w:val="25"/>
  </w:num>
  <w:num w:numId="9">
    <w:abstractNumId w:val="12"/>
  </w:num>
  <w:num w:numId="10">
    <w:abstractNumId w:val="0"/>
  </w:num>
  <w:num w:numId="11">
    <w:abstractNumId w:val="18"/>
  </w:num>
  <w:num w:numId="12">
    <w:abstractNumId w:val="23"/>
  </w:num>
  <w:num w:numId="13">
    <w:abstractNumId w:val="6"/>
  </w:num>
  <w:num w:numId="14">
    <w:abstractNumId w:val="21"/>
  </w:num>
  <w:num w:numId="15">
    <w:abstractNumId w:val="10"/>
  </w:num>
  <w:num w:numId="16">
    <w:abstractNumId w:val="16"/>
  </w:num>
  <w:num w:numId="17">
    <w:abstractNumId w:val="9"/>
  </w:num>
  <w:num w:numId="18">
    <w:abstractNumId w:val="8"/>
  </w:num>
  <w:num w:numId="19">
    <w:abstractNumId w:val="1"/>
  </w:num>
  <w:num w:numId="20">
    <w:abstractNumId w:val="20"/>
  </w:num>
  <w:num w:numId="21">
    <w:abstractNumId w:val="24"/>
  </w:num>
  <w:num w:numId="22">
    <w:abstractNumId w:val="15"/>
  </w:num>
  <w:num w:numId="23">
    <w:abstractNumId w:val="19"/>
  </w:num>
  <w:num w:numId="24">
    <w:abstractNumId w:val="2"/>
  </w:num>
  <w:num w:numId="25">
    <w:abstractNumId w:val="3"/>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8CD31BE"/>
    <w:rsid w:val="58E638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zh-CN"/>
    </w:rPr>
  </w:style>
  <w:style w:type="paragraph" w:styleId="2">
    <w:name w:val="heading 1"/>
    <w:basedOn w:val="1"/>
    <w:next w:val="1"/>
    <w:qFormat/>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15" w:type="dxa"/>
        <w:bottom w:w="0" w:type="dxa"/>
        <w:right w:w="115" w:type="dxa"/>
      </w:tblCellMar>
    </w:tblPr>
  </w:style>
  <w:style w:type="table" w:customStyle="1" w:styleId="14">
    <w:name w:val="_Style 11"/>
    <w:basedOn w:val="12"/>
    <w:qFormat/>
    <w:uiPriority w:val="0"/>
    <w:tblPr>
      <w:tblCellMar>
        <w:top w:w="0" w:type="dxa"/>
        <w:left w:w="115" w:type="dxa"/>
        <w:bottom w:w="0" w:type="dxa"/>
        <w:right w:w="115" w:type="dxa"/>
      </w:tblCellMar>
    </w:tblPr>
  </w:style>
  <w:style w:type="table" w:customStyle="1" w:styleId="15">
    <w:name w:val="_Style 12"/>
    <w:basedOn w:val="12"/>
    <w:qFormat/>
    <w:uiPriority w:val="0"/>
    <w:tblPr>
      <w:tblCellMar>
        <w:top w:w="0" w:type="dxa"/>
        <w:left w:w="115" w:type="dxa"/>
        <w:bottom w:w="0" w:type="dxa"/>
        <w:right w:w="115" w:type="dxa"/>
      </w:tblCellMar>
    </w:tblPr>
  </w:style>
  <w:style w:type="table" w:customStyle="1" w:styleId="16">
    <w:name w:val="_Style 13"/>
    <w:basedOn w:val="12"/>
    <w:qFormat/>
    <w:uiPriority w:val="0"/>
    <w:tblPr>
      <w:tblCellMar>
        <w:top w:w="0" w:type="dxa"/>
        <w:left w:w="115" w:type="dxa"/>
        <w:bottom w:w="0" w:type="dxa"/>
        <w:right w:w="115" w:type="dxa"/>
      </w:tblCellMar>
    </w:tblPr>
  </w:style>
  <w:style w:type="table" w:customStyle="1" w:styleId="17">
    <w:name w:val="_Style 14"/>
    <w:basedOn w:val="12"/>
    <w:qFormat/>
    <w:uiPriority w:val="0"/>
    <w:tblPr>
      <w:tblCellMar>
        <w:top w:w="0" w:type="dxa"/>
        <w:left w:w="115" w:type="dxa"/>
        <w:bottom w:w="0" w:type="dxa"/>
        <w:right w:w="115" w:type="dxa"/>
      </w:tblCellMar>
    </w:tblPr>
  </w:style>
  <w:style w:type="table" w:customStyle="1" w:styleId="18">
    <w:name w:val="_Style 15"/>
    <w:basedOn w:val="12"/>
    <w:qFormat/>
    <w:uiPriority w:val="0"/>
    <w:tblPr>
      <w:tblCellMar>
        <w:top w:w="0" w:type="dxa"/>
        <w:left w:w="115" w:type="dxa"/>
        <w:bottom w:w="0" w:type="dxa"/>
        <w:right w:w="115" w:type="dxa"/>
      </w:tblCellMar>
    </w:tblPr>
  </w:style>
  <w:style w:type="table" w:customStyle="1" w:styleId="19">
    <w:name w:val="_Style 16"/>
    <w:basedOn w:val="12"/>
    <w:qFormat/>
    <w:uiPriority w:val="0"/>
    <w:tblPr>
      <w:tblCellMar>
        <w:top w:w="0" w:type="dxa"/>
        <w:left w:w="115" w:type="dxa"/>
        <w:bottom w:w="0" w:type="dxa"/>
        <w:right w:w="115" w:type="dxa"/>
      </w:tblCellMar>
    </w:tblPr>
  </w:style>
  <w:style w:type="table" w:customStyle="1" w:styleId="20">
    <w:name w:val="_Style 17"/>
    <w:basedOn w:val="12"/>
    <w:qFormat/>
    <w:uiPriority w:val="0"/>
    <w:tblPr>
      <w:tblCellMar>
        <w:top w:w="0" w:type="dxa"/>
        <w:left w:w="115" w:type="dxa"/>
        <w:bottom w:w="0" w:type="dxa"/>
        <w:right w:w="115" w:type="dxa"/>
      </w:tblCellMar>
    </w:tblPr>
  </w:style>
  <w:style w:type="table" w:customStyle="1" w:styleId="21">
    <w:name w:val="_Style 18"/>
    <w:basedOn w:val="12"/>
    <w:qFormat/>
    <w:uiPriority w:val="0"/>
    <w:tblPr>
      <w:tblCellMar>
        <w:top w:w="0" w:type="dxa"/>
        <w:left w:w="115" w:type="dxa"/>
        <w:bottom w:w="0" w:type="dxa"/>
        <w:right w:w="115" w:type="dxa"/>
      </w:tblCellMar>
    </w:tblPr>
  </w:style>
  <w:style w:type="table" w:customStyle="1" w:styleId="22">
    <w:name w:val="_Style 19"/>
    <w:basedOn w:val="12"/>
    <w:qFormat/>
    <w:uiPriority w:val="0"/>
    <w:tblPr>
      <w:tblCellMar>
        <w:top w:w="0" w:type="dxa"/>
        <w:left w:w="115" w:type="dxa"/>
        <w:bottom w:w="0" w:type="dxa"/>
        <w:right w:w="115" w:type="dxa"/>
      </w:tblCellMar>
    </w:tblPr>
  </w:style>
  <w:style w:type="table" w:customStyle="1" w:styleId="23">
    <w:name w:val="_Style 20"/>
    <w:basedOn w:val="12"/>
    <w:qFormat/>
    <w:uiPriority w:val="0"/>
    <w:tblPr>
      <w:tblCellMar>
        <w:top w:w="0" w:type="dxa"/>
        <w:left w:w="115" w:type="dxa"/>
        <w:bottom w:w="0" w:type="dxa"/>
        <w:right w:w="115" w:type="dxa"/>
      </w:tblCellMar>
    </w:tblPr>
  </w:style>
  <w:style w:type="table" w:customStyle="1" w:styleId="24">
    <w:name w:val="_Style 21"/>
    <w:basedOn w:val="12"/>
    <w:qFormat/>
    <w:uiPriority w:val="0"/>
    <w:tblPr>
      <w:tblCellMar>
        <w:top w:w="0" w:type="dxa"/>
        <w:left w:w="115" w:type="dxa"/>
        <w:bottom w:w="0" w:type="dxa"/>
        <w:right w:w="115" w:type="dxa"/>
      </w:tblCellMar>
    </w:tblPr>
  </w:style>
  <w:style w:type="table" w:customStyle="1" w:styleId="25">
    <w:name w:val="_Style 22"/>
    <w:basedOn w:val="12"/>
    <w:qFormat/>
    <w:uiPriority w:val="0"/>
    <w:tblPr>
      <w:tblCellMar>
        <w:top w:w="0" w:type="dxa"/>
        <w:left w:w="115" w:type="dxa"/>
        <w:bottom w:w="0" w:type="dxa"/>
        <w:right w:w="115" w:type="dxa"/>
      </w:tblCellMar>
    </w:tblPr>
  </w:style>
  <w:style w:type="table" w:customStyle="1" w:styleId="26">
    <w:name w:val="_Style 23"/>
    <w:basedOn w:val="12"/>
    <w:qFormat/>
    <w:uiPriority w:val="0"/>
    <w:tblPr>
      <w:tblCellMar>
        <w:top w:w="0" w:type="dxa"/>
        <w:left w:w="115" w:type="dxa"/>
        <w:bottom w:w="0" w:type="dxa"/>
        <w:right w:w="115" w:type="dxa"/>
      </w:tblCellMar>
    </w:tblPr>
  </w:style>
  <w:style w:type="table" w:customStyle="1" w:styleId="27">
    <w:name w:val="_Style 24"/>
    <w:basedOn w:val="12"/>
    <w:qFormat/>
    <w:uiPriority w:val="0"/>
    <w:tblPr>
      <w:tblCellMar>
        <w:top w:w="0" w:type="dxa"/>
        <w:left w:w="115" w:type="dxa"/>
        <w:bottom w:w="0" w:type="dxa"/>
        <w:right w:w="115" w:type="dxa"/>
      </w:tblCellMar>
    </w:tblPr>
  </w:style>
  <w:style w:type="table" w:customStyle="1" w:styleId="28">
    <w:name w:val="_Style 25"/>
    <w:basedOn w:val="12"/>
    <w:qFormat/>
    <w:uiPriority w:val="0"/>
    <w:tblPr>
      <w:tblCellMar>
        <w:top w:w="0" w:type="dxa"/>
        <w:left w:w="115" w:type="dxa"/>
        <w:bottom w:w="0" w:type="dxa"/>
        <w:right w:w="115" w:type="dxa"/>
      </w:tblCellMar>
    </w:tblPr>
  </w:style>
  <w:style w:type="table" w:customStyle="1" w:styleId="29">
    <w:name w:val="_Style 26"/>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S2tVKn1afQY53kMU1JvRe5KPCw==">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21</Pages>
  <Words>501</Words>
  <Characters>3663</Characters>
  <TotalTime>13</TotalTime>
  <ScaleCrop>false</ScaleCrop>
  <LinksUpToDate>false</LinksUpToDate>
  <CharactersWithSpaces>4132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2026-06-26T02:25:16Z</dcterms:created>
  <dc:creator>DELL</dc:creator>
  <cp:lastModifiedBy>PT GENCPRO</cp:lastModifiedBy>
  <dcterms:modified xsi:type="dcterms:W3CDTF">2026-06-26T02:39:21Z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E39D8D251D1248CEA705E3A109C76BF7</vt:lpwstr>
  </property>
  <property fmtid="{D5CDD505-2E9C-101B-9397-08002B2CF9AE}" pid="4" name="KSOTemplateDocerSaveRecord">
    <vt:lpwstr>eyJoZGlkIjoiOTdlZWZmYTk4ZWY2ZTA2ZjI1NzYxNDU5YjFmNjE0NzMiLCJ1c2VySWQiOiI4ODEzOTk2MjgwODI2In0=</vt:lpwstr>
  </property>
</Properties>
</file>