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RINGKASAN EKSEKUTIF</w:t>
      </w:r>
    </w:p>
    <w:p>
      <w:pPr>
        <w:jc w:val="center"/>
      </w:pPr>
      <w:r>
        <w:rPr>
          <w:b/>
          <w:sz w:val="28"/>
        </w:rPr>
        <w:t>Pemetaan Kepatuhan Standar SPMI FTII UNISBANK</w:t>
      </w:r>
    </w:p>
    <w:p>
      <w:pPr>
        <w:jc w:val="center"/>
      </w:pPr>
      <w:r>
        <w:rPr>
          <w:b w:val="0"/>
          <w:sz w:val="24"/>
        </w:rPr>
        <w:t>terhadap 7 Kriteria Akreditasi — Pedoman Penyusunan LEDPS LAM Teknik 2025</w:t>
      </w:r>
    </w:p>
    <w:p/>
    <w:p>
      <w:pPr>
        <w:spacing w:after="120"/>
      </w:pPr>
      <w:r>
        <w:rPr>
          <w:b w:val="0"/>
          <w:i w:val="0"/>
        </w:rPr>
        <w:t>Dokumen ini merangkum hasil pemetaan kepatuhan yang dilakukan secara terpisah untuk ketujuh Kriteria Akreditasi pada Pedoman Penyusunan Laporan Evaluasi Diri Program Studi (LEDPS) — Lampiran 2 Peraturan LAM Teknik Nomor 5 Tahun 2025 — terhadap seluruh standar SPMI Fakultas Teknologi Informasi dan Industri (FTII) UNISBANK yang tersedia, baik versi existing (efektif 2024-2025) maupun draf versi Unggul hasil elevasi ambang ke skor tertinggi (skor 4) LAM Teknik dan deskriptor tertinggi kriteria Unggul LAM INFOKOM. Ketujuh dokumen pemetaan detail (Kepatuhan_Standar_..._vs_Kriteria_C1 s.d. C7_LEDPS_LAM_Teknik.docx) tersimpan di folder yang sama dan menjadi rujukan utama; dokumen ini adalah sintesis lintas-kriteria dari temuannya.</w:t>
      </w:r>
    </w:p>
    <w:p>
      <w:pPr>
        <w:spacing w:before="280" w:after="120"/>
      </w:pPr>
      <w:r>
        <w:rPr>
          <w:b/>
          <w:sz w:val="26"/>
        </w:rPr>
        <w:t>A. RINGKASAN STATUS PER KRITERIA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Kriteria</w:t>
            </w:r>
          </w:p>
        </w:tc>
        <w:tc>
          <w:tcPr>
            <w:tcW w:type="dxa" w:w="2160"/>
            <w:shd w:val="clear" w:color="auto" w:fill="D9D9D9"/>
          </w:tcPr>
          <w:p>
            <w:r/>
            <w:r>
              <w:rPr>
                <w:b/>
                <w:sz w:val="19"/>
              </w:rPr>
              <w:t>Standar FTII yang Dipetakan</w:t>
            </w:r>
          </w:p>
        </w:tc>
        <w:tc>
          <w:tcPr>
            <w:tcW w:type="dxa" w:w="2160"/>
            <w:shd w:val="clear" w:color="auto" w:fill="D9D9D9"/>
          </w:tcPr>
          <w:p>
            <w:r/>
            <w:r>
              <w:rPr>
                <w:b/>
                <w:sz w:val="19"/>
              </w:rPr>
              <w:t>Status Umum</w:t>
            </w:r>
          </w:p>
        </w:tc>
        <w:tc>
          <w:tcPr>
            <w:tcW w:type="dxa" w:w="2160"/>
            <w:shd w:val="clear" w:color="auto" w:fill="D9D9D9"/>
          </w:tcPr>
          <w:p>
            <w:r/>
            <w:r>
              <w:rPr>
                <w:b/>
                <w:sz w:val="19"/>
              </w:rPr>
              <w:t>Gap Paling Signifikan</w:t>
            </w:r>
          </w:p>
        </w:tc>
      </w:tr>
      <w:tr>
        <w:tc>
          <w:tcPr>
            <w:tcW w:type="dxa" w:w="2160"/>
          </w:tcPr>
          <w:p>
            <w:r/>
            <w:r>
              <w:rPr>
                <w:b w:val="0"/>
                <w:sz w:val="19"/>
              </w:rPr>
              <w:t>C.1 Diferensiasi Misi (VMTS)</w:t>
            </w:r>
          </w:p>
        </w:tc>
        <w:tc>
          <w:tcPr>
            <w:tcW w:type="dxa" w:w="2160"/>
          </w:tcPr>
          <w:p>
            <w:r/>
            <w:r>
              <w:rPr>
                <w:b w:val="0"/>
                <w:sz w:val="19"/>
              </w:rPr>
              <w:t>Standar Visi Misi (existing &amp; Unggul)</w:t>
            </w:r>
          </w:p>
        </w:tc>
        <w:tc>
          <w:tcPr>
            <w:tcW w:type="dxa" w:w="2160"/>
            <w:shd w:val="clear" w:color="auto" w:fill="C6E0B4"/>
          </w:tcPr>
          <w:p>
            <w:r/>
            <w:r>
              <w:rPr>
                <w:b w:val="0"/>
                <w:sz w:val="19"/>
              </w:rPr>
              <w:t>Sebagian besar terpenuhi; Mekanisme Penyusunan VMTS MELAMPAUI LED</w:t>
            </w:r>
          </w:p>
        </w:tc>
        <w:tc>
          <w:tcPr>
            <w:tcW w:type="dxa" w:w="2160"/>
          </w:tcPr>
          <w:p>
            <w:r/>
            <w:r>
              <w:rPr>
                <w:b w:val="0"/>
                <w:sz w:val="19"/>
              </w:rPr>
              <w:t>Visi keilmuan program studi &amp; keterkaitan kurikulum belum eksplisit</w:t>
            </w:r>
          </w:p>
        </w:tc>
      </w:tr>
      <w:tr>
        <w:tc>
          <w:tcPr>
            <w:tcW w:type="dxa" w:w="2160"/>
          </w:tcPr>
          <w:p>
            <w:r/>
            <w:r>
              <w:rPr>
                <w:b w:val="0"/>
                <w:sz w:val="19"/>
              </w:rPr>
              <w:t>C.2 Akuntabilitas</w:t>
            </w:r>
          </w:p>
        </w:tc>
        <w:tc>
          <w:tcPr>
            <w:tcW w:type="dxa" w:w="2160"/>
          </w:tcPr>
          <w:p>
            <w:r/>
            <w:r>
              <w:rPr>
                <w:b w:val="0"/>
                <w:sz w:val="19"/>
              </w:rPr>
              <w:t>Standar Tata Kelola &amp; Kerjasama (existing &amp; Unggul)</w:t>
            </w:r>
          </w:p>
        </w:tc>
        <w:tc>
          <w:tcPr>
            <w:tcW w:type="dxa" w:w="2160"/>
          </w:tcPr>
          <w:p>
            <w:r/>
            <w:r>
              <w:rPr>
                <w:b w:val="0"/>
                <w:sz w:val="19"/>
              </w:rPr>
              <w:t>Tata Pamong &amp; Kerja Sama kuat di draf Unggul; Keuangan di luar scope</w:t>
            </w:r>
          </w:p>
        </w:tc>
        <w:tc>
          <w:tcPr>
            <w:tcW w:type="dxa" w:w="2160"/>
          </w:tcPr>
          <w:p>
            <w:r/>
            <w:r>
              <w:rPr>
                <w:b w:val="0"/>
                <w:sz w:val="19"/>
              </w:rPr>
              <w:t>SWOT sama sekali tidak disebut (lebih lemah dari C.1); data keuangan kuantitatif tidak ada standar FTII</w:t>
            </w:r>
          </w:p>
        </w:tc>
      </w:tr>
      <w:tr>
        <w:tc>
          <w:tcPr>
            <w:tcW w:type="dxa" w:w="2160"/>
          </w:tcPr>
          <w:p>
            <w:r/>
            <w:r>
              <w:rPr>
                <w:b w:val="0"/>
                <w:sz w:val="19"/>
              </w:rPr>
              <w:t>C.3 Relevansi Pendidikan, Penelitian, PkM</w:t>
            </w:r>
          </w:p>
        </w:tc>
        <w:tc>
          <w:tcPr>
            <w:tcW w:type="dxa" w:w="2160"/>
          </w:tcPr>
          <w:p>
            <w:r/>
            <w:r>
              <w:rPr>
                <w:b w:val="0"/>
                <w:sz w:val="19"/>
              </w:rPr>
              <w:t>6 dokumen Ricek Masukan/Proses Pendidikan-Penelitian-PkM</w:t>
            </w:r>
          </w:p>
        </w:tc>
        <w:tc>
          <w:tcPr>
            <w:tcW w:type="dxa" w:w="2160"/>
          </w:tcPr>
          <w:p>
            <w:r/>
            <w:r>
              <w:rPr>
                <w:b w:val="0"/>
                <w:sz w:val="19"/>
              </w:rPr>
              <w:t>Proses pembelajaran &amp; pelibatan mahasiswa riset/PkM kuat, bahkan melampaui LED</w:t>
            </w:r>
          </w:p>
        </w:tc>
        <w:tc>
          <w:tcPr>
            <w:tcW w:type="dxa" w:w="2160"/>
          </w:tcPr>
          <w:p>
            <w:r/>
            <w:r>
              <w:rPr>
                <w:b w:val="0"/>
                <w:sz w:val="19"/>
              </w:rPr>
              <w:t>Profil lulusan/CPL tidak dibahas di sini (ada di standar lain); “dampak positif masyarakat” belum terukur</w:t>
            </w:r>
          </w:p>
        </w:tc>
      </w:tr>
      <w:tr>
        <w:tc>
          <w:tcPr>
            <w:tcW w:type="dxa" w:w="2160"/>
          </w:tcPr>
          <w:p>
            <w:r/>
            <w:r>
              <w:rPr>
                <w:b w:val="0"/>
                <w:sz w:val="19"/>
              </w:rPr>
              <w:t>C.4 Sumber Daya Manusia</w:t>
            </w:r>
          </w:p>
        </w:tc>
        <w:tc>
          <w:tcPr>
            <w:tcW w:type="dxa" w:w="2160"/>
          </w:tcPr>
          <w:p>
            <w:r/>
            <w:r>
              <w:rPr>
                <w:b w:val="0"/>
                <w:sz w:val="19"/>
              </w:rPr>
              <w:t>Standar Masukan Pendidikan (Unggul) + Luaran Penelitian/PkM (Unggul)</w:t>
            </w:r>
          </w:p>
        </w:tc>
        <w:tc>
          <w:tcPr>
            <w:tcW w:type="dxa" w:w="2160"/>
          </w:tcPr>
          <w:p>
            <w:r/>
            <w:r>
              <w:rPr>
                <w:b w:val="0"/>
                <w:sz w:val="19"/>
              </w:rPr>
              <w:t>Profil dosen inti (kecukupan, Doktor, sertifikasi pendidik) terpenuhi penuh</w:t>
            </w:r>
          </w:p>
        </w:tc>
        <w:tc>
          <w:tcPr>
            <w:tcW w:type="dxa" w:w="2160"/>
          </w:tcPr>
          <w:p>
            <w:r/>
            <w:r>
              <w:rPr>
                <w:b w:val="0"/>
                <w:sz w:val="19"/>
              </w:rPr>
              <w:t>Produk/jasa dosen diadopsi industri &amp; sitasi internasional tidak ditemukan</w:t>
            </w:r>
          </w:p>
        </w:tc>
      </w:tr>
      <w:tr>
        <w:tc>
          <w:tcPr>
            <w:tcW w:type="dxa" w:w="2160"/>
          </w:tcPr>
          <w:p>
            <w:r/>
            <w:r>
              <w:rPr>
                <w:b w:val="0"/>
                <w:sz w:val="19"/>
              </w:rPr>
              <w:t>C.5 Sarana, Prasarana, K3L</w:t>
            </w:r>
          </w:p>
        </w:tc>
        <w:tc>
          <w:tcPr>
            <w:tcW w:type="dxa" w:w="2160"/>
          </w:tcPr>
          <w:p>
            <w:r/>
            <w:r>
              <w:rPr>
                <w:b w:val="0"/>
                <w:sz w:val="19"/>
              </w:rPr>
              <w:t>Standar Masukan Pendidikan (Unggul) + Standar Kemahasiswaan</w:t>
            </w:r>
          </w:p>
        </w:tc>
        <w:tc>
          <w:tcPr>
            <w:tcW w:type="dxa" w:w="2160"/>
          </w:tcPr>
          <w:p>
            <w:r/>
            <w:r>
              <w:rPr>
                <w:b w:val="0"/>
                <w:sz w:val="19"/>
              </w:rPr>
              <w:t>Baru mengatur luas ruang, belum isi/kelengkapan sarana</w:t>
            </w:r>
          </w:p>
        </w:tc>
        <w:tc>
          <w:tcPr>
            <w:tcW w:type="dxa" w:w="2160"/>
          </w:tcPr>
          <w:p>
            <w:r/>
            <w:r>
              <w:rPr>
                <w:b w:val="0"/>
                <w:sz w:val="19"/>
              </w:rPr>
              <w:t>Fasilitas ibadah tidak diatur sama sekali; K3L baru skala laboratorium</w:t>
            </w:r>
          </w:p>
        </w:tc>
      </w:tr>
      <w:tr>
        <w:tc>
          <w:tcPr>
            <w:tcW w:type="dxa" w:w="2160"/>
          </w:tcPr>
          <w:p>
            <w:r/>
            <w:r>
              <w:rPr>
                <w:b w:val="0"/>
                <w:sz w:val="19"/>
              </w:rPr>
              <w:t>C.6 Mahasiswa dan Luaran Mahasiswa</w:t>
            </w:r>
          </w:p>
        </w:tc>
        <w:tc>
          <w:tcPr>
            <w:tcW w:type="dxa" w:w="2160"/>
          </w:tcPr>
          <w:p>
            <w:r/>
            <w:r>
              <w:rPr>
                <w:b w:val="0"/>
                <w:sz w:val="19"/>
              </w:rPr>
              <w:t>Standar Kemahasiswaan + Luaran Pendidikan/Penelitian/PkM (existing &amp; Unggul)</w:t>
            </w:r>
          </w:p>
        </w:tc>
        <w:tc>
          <w:tcPr>
            <w:tcW w:type="dxa" w:w="2160"/>
          </w:tcPr>
          <w:p>
            <w:r/>
            <w:r>
              <w:rPr>
                <w:b w:val="0"/>
                <w:sz w:val="19"/>
              </w:rPr>
              <w:t>Capaian kelulusan, tracer study, kepuasan pengguna terpenuhi penuh</w:t>
            </w:r>
          </w:p>
        </w:tc>
        <w:tc>
          <w:tcPr>
            <w:tcW w:type="dxa" w:w="2160"/>
          </w:tcPr>
          <w:p>
            <w:r/>
            <w:r>
              <w:rPr>
                <w:b w:val="0"/>
                <w:sz w:val="19"/>
              </w:rPr>
              <w:t>Produk/jasa karya mahasiswa diadopsi industri tidak ditemukan (paralel dgn gap C.4)</w:t>
            </w:r>
          </w:p>
        </w:tc>
      </w:tr>
      <w:tr>
        <w:tc>
          <w:tcPr>
            <w:tcW w:type="dxa" w:w="2160"/>
          </w:tcPr>
          <w:p>
            <w:r/>
            <w:r>
              <w:rPr>
                <w:b w:val="0"/>
                <w:sz w:val="19"/>
              </w:rPr>
              <w:t>C.7 Sistem Penjaminan Mutu</w:t>
            </w:r>
          </w:p>
        </w:tc>
        <w:tc>
          <w:tcPr>
            <w:tcW w:type="dxa" w:w="2160"/>
          </w:tcPr>
          <w:p>
            <w:r/>
            <w:r>
              <w:rPr>
                <w:b w:val="0"/>
                <w:sz w:val="19"/>
              </w:rPr>
              <w:t>Standar Penjaminan Mutu Internal (existing)</w:t>
            </w:r>
          </w:p>
        </w:tc>
        <w:tc>
          <w:tcPr>
            <w:tcW w:type="dxa" w:w="2160"/>
          </w:tcPr>
          <w:p>
            <w:r/>
            <w:r>
              <w:rPr>
                <w:b w:val="0"/>
                <w:sz w:val="19"/>
              </w:rPr>
              <w:t>Perangkat SPMI &amp; siklus PPEPP terpenuhi/melampaui</w:t>
            </w:r>
          </w:p>
        </w:tc>
        <w:tc>
          <w:tcPr>
            <w:tcW w:type="dxa" w:w="2160"/>
          </w:tcPr>
          <w:p>
            <w:r/>
            <w:r>
              <w:rPr>
                <w:b w:val="0"/>
                <w:sz w:val="19"/>
              </w:rPr>
              <w:t>IKT &amp; kepuasan pemangku kepentingan tidak ada; root-cause analysis tidak diwajibkan — AKAR MASALAH gap lintas-kriteria</w:t>
            </w:r>
          </w:p>
        </w:tc>
      </w:tr>
    </w:tbl>
    <w:p/>
    <w:p>
      <w:pPr>
        <w:spacing w:before="280" w:after="120"/>
      </w:pPr>
      <w:r>
        <w:rPr>
          <w:b/>
          <w:sz w:val="26"/>
        </w:rPr>
        <w:t>B. TEMUAN LINTAS-KRITERIA (CROSS-CUTTING)</w:t>
      </w:r>
    </w:p>
    <w:p>
      <w:pPr>
        <w:spacing w:before="160" w:after="80"/>
      </w:pPr>
      <w:r>
        <w:rPr>
          <w:b/>
          <w:sz w:val="23"/>
        </w:rPr>
        <w:t>1. Gap sistemik root-cause analysis &amp; SWOT berkala — akar masalah teridentifikasi di C.7</w:t>
      </w:r>
    </w:p>
    <w:p>
      <w:pPr>
        <w:spacing w:after="120"/>
      </w:pPr>
      <w:r>
        <w:rPr>
          <w:b w:val="0"/>
          <w:i w:val="0"/>
        </w:rPr>
        <w:t>Pola yang paling konsisten muncul di SEMUA 6 kriteria pertama (C.1-C.6): tidak satu pun standar FTII mewajibkan 'Analisis Faktor Keberhasilan dan Penghambat' sebagai output tersendiri, dan analisis SWOT hanya dipakai pada tahap penyusunan/peninjauan awal standar (per siklus Renstra 4-5 tahun), bukan sebagai bagian siklus evaluasi tahunan yang berulang. Pemetaan C.7 mengonfirmasi bahwa akar masalahnya ada pada Standar Penjaminan Mutu Internal itu sendiri — standar payung yang mengatur siklus PPEPP bagi seluruh standar turunan — yang TIDAK mewajibkan root-cause analysis maupun SWOT berkala. Kata 'SWOT' bahkan tidak muncul sama sekali di Standar SPMI, padahal Standar Visi Misi setidaknya sudah mendefinisikannya. Implikasi: SATU revisi terfokus di Standar SPMI (mewajibkan root-cause analysis dan SWOT tahunan sebagai bagian wajib RTM/PPEPP yang berlaku bagi semua standar turunan) akan menutup gap yang identik di 9+ standar sekaligus — jauh lebih efisien daripada menambal satu-satu di setiap standar.</w:t>
      </w:r>
    </w:p>
    <w:p>
      <w:pPr>
        <w:spacing w:before="160" w:after="80"/>
      </w:pPr>
      <w:r>
        <w:rPr>
          <w:b/>
          <w:sz w:val="23"/>
        </w:rPr>
        <w:t>2. Gap paralel “produk/jasa diadopsi industri/masyarakat” — dosen maupun mahasiswa</w:t>
      </w:r>
    </w:p>
    <w:p>
      <w:pPr>
        <w:spacing w:after="120"/>
      </w:pPr>
      <w:r>
        <w:rPr>
          <w:b w:val="0"/>
          <w:i w:val="0"/>
        </w:rPr>
        <w:t>C.4 (SDM) dan C.6 (Mahasiswa) sama-sama menemukan gap identik: tidak ada indikator standar FTII yang mengukur produk/jasa hasil karya dosen maupun mahasiswa yang diadopsi oleh industri atau masyarakat. Karena pola ini muncul dua kali secara independen pada subjek berbeda (dosen dan mahasiswa), kemungkinan besar ini bukan kebetulan melainkan area yang memang belum tercakup filosofi penyusunan standar FTII saat ini — perlu ditambahkan sebagai indikator baru pada Standar Luaran Penelitian dan Luaran PkM (untuk kedua subjek sekaligus, dengan pemisahan dosen/mahasiswa).</w:t>
      </w:r>
    </w:p>
    <w:p>
      <w:pPr>
        <w:spacing w:before="160" w:after="80"/>
      </w:pPr>
      <w:r>
        <w:rPr>
          <w:b/>
          <w:sz w:val="23"/>
        </w:rPr>
        <w:t>3. Inkonsistensi jendela waktu pelaporan antar-standar</w:t>
      </w:r>
    </w:p>
    <w:p>
      <w:pPr>
        <w:spacing w:after="120"/>
      </w:pPr>
      <w:r>
        <w:rPr>
          <w:b w:val="0"/>
          <w:i w:val="0"/>
        </w:rPr>
        <w:t>C.6 menemukan bahwa Standar Kemahasiswaan mengukur prestasi mahasiswa dalam jendela 3 tahun terakhir, sementara LED secara eksplisit meminta 5 tahun terakhir untuk indikator yang sama. Demikian pula beberapa indikator luaran penelitian/PkM menggunakan basis kuantitatif berbeda (jumlah absolut vs rasio co-authorship) yang belum disilang-rujuk secara konsisten. Standar-standar FTII perlu diselaraskan ke jendela waktu yang seragam dan konsisten dengan tuntutan LED per indikator.</w:t>
      </w:r>
    </w:p>
    <w:p>
      <w:pPr>
        <w:spacing w:before="160" w:after="80"/>
      </w:pPr>
      <w:r>
        <w:rPr>
          <w:b/>
          <w:sz w:val="23"/>
        </w:rPr>
        <w:t>4. Inkonsistensi angka internal antar-dokumen FTII sendiri</w:t>
      </w:r>
    </w:p>
    <w:p>
      <w:pPr>
        <w:spacing w:after="120"/>
      </w:pPr>
      <w:r>
        <w:rPr>
          <w:b w:val="0"/>
          <w:i w:val="0"/>
        </w:rPr>
        <w:t>Pemetaan C.4 menemukan dana penelitian per dosen tertulis Rp10 juta/dosen/tahun pada satu standar FTII namun Rp20 juta/dosen/tahun pada standar lain untuk indikator yang sama. Ini bukan temuan kepatuhan terhadap LED, melainkan masalah kualitas dokumen internal yang perlu diverifikasi dan diselaraskan sebelum standar-standar ini difinalisasi.</w:t>
      </w:r>
    </w:p>
    <w:p>
      <w:pPr>
        <w:spacing w:before="160" w:after="80"/>
      </w:pPr>
      <w:r>
        <w:rPr>
          <w:b/>
          <w:sz w:val="23"/>
        </w:rPr>
        <w:t>5. Fragmentasi lintas-standar yang memerlukan referensi silang eksplisit</w:t>
      </w:r>
    </w:p>
    <w:p>
      <w:pPr>
        <w:spacing w:after="120"/>
      </w:pPr>
      <w:r>
        <w:rPr>
          <w:b w:val="0"/>
          <w:i w:val="0"/>
        </w:rPr>
        <w:t>Beberapa kriteria LED (khususnya C.5 dan C.6) mensyaratkan data yang tersebar di beberapa standar FTII berbeda — misalnya sarana non-akademik (kesehatan/konseling/karier) diatur di Standar Kemahasiswaan, bukan di Standar Masukan Pendidikan; rasio mahasiswa:DTPS diatur di Standar Masukan Pendidikan, bukan di Standar Kemahasiswaan. Ini tidak selalu menjadi gap substantif, namun penyusun LED perlu peta referensi silang yang jelas agar tidak salah mengira suatu indikator ‘tidak ada’ padahal ia diatur di dokumen lain.</w:t>
      </w:r>
    </w:p>
    <w:p>
      <w:pPr>
        <w:spacing w:before="160" w:after="80"/>
      </w:pPr>
      <w:r>
        <w:rPr>
          <w:b/>
          <w:sz w:val="23"/>
        </w:rPr>
        <w:t>6. Kekuatan FTII yang melampaui tuntutan minimal LED</w:t>
      </w:r>
    </w:p>
    <w:p>
      <w:pPr>
        <w:pStyle w:val="ListBullet"/>
        <w:spacing w:after="80"/>
      </w:pPr>
      <w:r>
        <w:t>Mekanisme penyusunan VMTS (C.1): pelibatan alumni secara eksplisit, tidak diwajibkan LED.</w:t>
      </w:r>
    </w:p>
    <w:p>
      <w:pPr>
        <w:pStyle w:val="ListBullet"/>
        <w:spacing w:after="80"/>
      </w:pPr>
      <w:r>
        <w:t>Pelibatan mahasiswa dalam penelitian &amp; PkM dosen (C.3): target persentase FTII melampaui ambang LED.</w:t>
      </w:r>
    </w:p>
    <w:p>
      <w:pPr>
        <w:pStyle w:val="ListBullet"/>
        <w:spacing w:after="80"/>
      </w:pPr>
      <w:r>
        <w:t>Tracer study &amp; kepuasan pengguna lulusan (C.6): rumusan FTII nyaris identik/lebih rinci dari LED.</w:t>
      </w:r>
    </w:p>
    <w:p>
      <w:pPr>
        <w:pStyle w:val="ListBullet"/>
        <w:spacing w:after="80"/>
      </w:pPr>
      <w:r>
        <w:t>Perangkat SPMI (C.7): FTII menambahkan SOP di luar 4 komponen minimal yang diminta LED.</w:t>
      </w:r>
    </w:p>
    <w:p>
      <w:pPr>
        <w:pStyle w:val="ListBullet"/>
        <w:spacing w:after="80"/>
      </w:pPr>
      <w:r>
        <w:t>Kualifikasi tenaga kependidikan (C.4-C.5): ambang FTII lebih tinggi dari praktik baik rujukan (D3 vs SMA).</w:t>
      </w:r>
    </w:p>
    <w:p>
      <w:pPr>
        <w:spacing w:before="280" w:after="120"/>
      </w:pPr>
      <w:r>
        <w:rPr>
          <w:b/>
          <w:sz w:val="26"/>
        </w:rPr>
        <w:t>C. PRIORITAS REKOMENDASI (Urutan Dampak)</w:t>
      </w:r>
    </w:p>
    <w:p>
      <w:pPr>
        <w:pStyle w:val="ListNumber"/>
        <w:spacing w:after="120"/>
      </w:pPr>
      <w:r>
        <w:t>PRIORITAS TERTINGGI — Revisi Standar Penjaminan Mutu Internal untuk mewajibkan: (a) Analisis Faktor Keberhasilan dan Penghambat sebagai output tahunan wajib bagi SEMUA standar turunan; (b) analisis SWOT sebagai bagian siklus evaluasi tahunan/RTM, bukan hanya tahap penyusunan awal; (c) Indikator Kinerja Tambahan (IKT) dengan dimensi daya saing internasional; (d) survei kepuasan pemangku kepentingan terhadap layanan manajemen; (e) independensi auditor mutu internal dinyatakan eksplisit. Dampak: menutup gap yang sama di 9+ standar turunan sekaligus.</w:t>
      </w:r>
    </w:p>
    <w:p>
      <w:pPr>
        <w:pStyle w:val="ListNumber"/>
        <w:spacing w:after="120"/>
      </w:pPr>
      <w:r>
        <w:t>Tambahkan indikator “produk/jasa yang diadopsi industri/masyarakat” pada Standar Luaran Penelitian dan Luaran PkM, dipisah untuk kontribusi dosen dan mahasiswa, agar menutup gap paralel yang ditemukan di C.4 dan C.6 sekaligus.</w:t>
      </w:r>
    </w:p>
    <w:p>
      <w:pPr>
        <w:pStyle w:val="ListNumber"/>
        <w:spacing w:after="120"/>
      </w:pPr>
      <w:r>
        <w:t>Selaraskan jendela waktu pelaporan (mis. prestasi mahasiswa dari 3 tahun menjadi 5 tahun sesuai tuntutan LED) dan basis perhitungan (absolut vs rasio) di seluruh standar terkait luaran, agar data dapat langsung dipetakan ke tabel LKPS tanpa konversi tambahan saat penyusunan LED.</w:t>
      </w:r>
    </w:p>
    <w:p>
      <w:pPr>
        <w:pStyle w:val="ListNumber"/>
        <w:spacing w:after="120"/>
      </w:pPr>
      <w:r>
        <w:t>Verifikasi dan selaraskan angka ambang yang tidak konsisten antar-dokumen FTII sendiri (mis. dana penelitian per dosen Rp10 juta vs Rp20 juta) sebelum standar-standar ini difinalisasi dan disahkan.</w:t>
      </w:r>
    </w:p>
    <w:p>
      <w:pPr>
        <w:pStyle w:val="ListNumber"/>
        <w:spacing w:after="120"/>
      </w:pPr>
      <w:r>
        <w:t>Susun Standar Keuangan/Pembiayaan FTII tersendiri yang memuat pengelolaan keuangan, biaya operasional pendidikan per mahasiswa, dana penelitian dan PkM per dosen secara eksplisit — saat ini indikator kuantitatif keuangan C.2 tidak tercakup standar FTII manapun yang diperiksa.</w:t>
      </w:r>
    </w:p>
    <w:p>
      <w:pPr>
        <w:pStyle w:val="ListNumber"/>
        <w:spacing w:after="120"/>
      </w:pPr>
      <w:r>
        <w:t>Lengkapi Standar Masukan Pendidikan dengan ketentuan kelengkapan/isi sarana akademik (media pembelajaran, perangkat elektronik, koleksi perpustakaan) — saat ini baru mengatur rasio luas ruang, bukan isinya — serta tambahkan ketentuan fasilitas ibadah dan perluasan cakupan K3L dari skala laboratorium menjadi skala kampus/institusi.</w:t>
      </w:r>
    </w:p>
    <w:p>
      <w:pPr>
        <w:pStyle w:val="ListNumber"/>
        <w:spacing w:after="120"/>
      </w:pPr>
      <w:r>
        <w:t>Tambahkan pernyataan standar eksplisit yang menurunkan ‘visi keilmuan program studi’ dari diferensiasi misi FTII dan mengaitkannya dengan struktur kurikulum program studi, untuk menutup gap C.1 pada elemen Kekhasan VMTS.</w:t>
      </w:r>
    </w:p>
    <w:p>
      <w:pPr>
        <w:pStyle w:val="ListNumber"/>
        <w:spacing w:after="120"/>
      </w:pPr>
      <w:r>
        <w:t>Setelah revisi-revisi di atas diterapkan, lakukan SATU putaran verifikasi ulang (baik dengan meninjau ulang ketujuh dokumen pemetaan atau audit internal) untuk memastikan seluruh gap yang tercatat benar-benar tertutup sebelum dokumen-dokumen ini dijadikan basis penyusunan LEDPS resmi.</w:t>
      </w:r>
    </w:p>
    <w:p>
      <w:pPr>
        <w:spacing w:before="280" w:after="120"/>
      </w:pPr>
      <w:r>
        <w:rPr>
          <w:b/>
          <w:sz w:val="26"/>
        </w:rPr>
        <w:t>D. KESIMPULAN KESIAPAN</w:t>
      </w:r>
    </w:p>
    <w:p>
      <w:pPr>
        <w:spacing w:after="120"/>
      </w:pPr>
      <w:r>
        <w:rPr>
          <w:b w:val="0"/>
          <w:i w:val="0"/>
        </w:rPr>
        <w:t>Secara keseluruhan, standar-standar SPMI FTII UNISBANK — khususnya versi draf Unggul yang telah disusun untuk Visi Misi, Tata Kelola, Kerjasama, Kemahasiswaan, Masukan/Proses/Luaran Pendidikan, Penelitian, dan PkM — SUDAH MENUNJUKKAN KESELARASAN YANG KUAT terhadap mayoritas elemen ketujuh Kriteria Akreditasi LEDPS LAM Teknik 2025, dengan beberapa elemen bahkan melampaui ambang skor tertinggi (skor 4) yang disyaratkan. Namun demikian, kesiapan penuh untuk penyusunan LEDPS masih memerlukan tindak lanjut atas rekomendasi di atas — terutama revisi tunggal pada Standar Penjaminan Mutu Internal yang berdampak luas, serta penutupan beberapa gap struktural (Keuangan, sarana akademik substantif, produk/jasa diadopsi industri) yang saat ini belum tercakup pada standar FTII manapun yang diperiksa. Rekomendasi disusun berdasarkan dampak, sehingga dapat dikerjakan secara bertahap sesuai prioritas dan kapasitas FTII.</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