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KEMAHASISWAAN</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t>Dokumen ini merupakan revisi ke-2 dari Standar Kemahasiswaan FTII UNISBANK. Revisi pertama disusun berdasarkan hasil pemetaan terhadap 5 dokumen rujukan (Panduan SPMI Sarjana dan Sarjana Terapan 2024 SK Rektor/R1, Matriks Penilaian LED-LKPS Sarjana APS Akademik dan Vokasi Teknik 2025 LAM Teknik/R2, Kriteria Unggul 2.1 LAM INFOKOM/R3, Dokumen SPMI Fasilkom 2023 rev UPN Veteran Jatim/R4, dan 9. Standar SPMI Tahun 2022 Universitas Trunojoyo Madura/R5), didokumentasikan pada Pemetaan_Standar_Kemahasiswaan_FTII_vs_5_Dokumen_Rujukan.docx. Revisi ke-2 ini menutup 3 (tiga) gap tambahan yang ditemukan pada pemetaan kepatuhan terhadap Kriteria C.6 Mahasiswa dan Luaran Mahasiswa Pedoman Penyusunan LEDPS LAM Teknik 2025 (Kepatuhan_Standar_MahasiswaLuaran_FTII_vs_Kriteria_C6_LEDPS_LAM_Teknik.docx): (a) jendela waktu pelaporan prestasi mahasiswa diselaraskan dari 3 tahun menjadi 5 tahun terakhir sesuai tuntutan eksplisit LED; (b) ditambahkan indikator produk/jasa karya mahasiswa yang diadopsi industri/masyarakat, yang sebelumnya tidak ditemukan pada standar manapun (paralel dengan gap serupa untuk dosen pada Standar Masukan Pendidikan); dan (c) ditambahkan kewajiban root-cause analysis dan SWOT tahunan sesuai mekanisme lintas-standar Standar Penjaminan Mutu Internal FTII versi Unggul. Seluruh ambang indikator kuantitatif pada dokumen ini ditetapkan setara atau melampaui ambang skor tertinggi (skor 4) Kriteria VI (Mahasiswa dan Luaran Mahasiswa) Matriks Penilaian LAM Teknik APS-AV 2025 1.0, serta deskriptor tertinggi Kriteria 2 (Relevansi Pendidikan) sub-elemen Penerimaan Mahasiswa Baru dan Prestasi Mahasiswa Kriteria Unggul 2.1 LAM INFOKOM.</w:t>
      </w:r>
    </w:p>
    <w:p/>
    <w:p>
      <w:pPr>
        <w:spacing w:before="280" w:after="120"/>
      </w:pPr>
      <w:r>
        <w:rPr>
          <w:b/>
          <w:sz w:val="26"/>
        </w:rPr>
        <w:t>1. RASIONAL</w:t>
      </w:r>
    </w:p>
    <w:p>
      <w:pPr>
        <w:spacing w:after="120"/>
      </w:pPr>
      <w:r>
        <w:rPr>
          <w:b w:val="0"/>
          <w:i w:val="0"/>
        </w:rPr>
        <w:t>Fakultas Teknologi Informasi dan Industri (FTII) UNISBANK menetapkan Standar Kemahasiswaan sebagai jaminan bahwa pengelolaan mahasiswa — mulai dari penerimaan mahasiswa baru, layanan kemahasiswaan, pembinaan prestasi, hingga fasilitasi luaran penelitian dan pengabdian mahasiswa — terselenggara secara bermutu, terukur, dan berkelanjutan, sebagai perwujudan Visi FTII menjadi fakultas yang unggul, inovatif, adaptif, dan berdaya saing internasional.</w:t>
      </w:r>
    </w:p>
    <w:p>
      <w:pPr>
        <w:spacing w:after="120"/>
      </w:pPr>
      <w:r>
        <w:rPr>
          <w:b w:val="0"/>
          <w:i w:val="0"/>
        </w:rPr>
        <w:t>Standar ini disusun tidak hanya untuk memenuhi ketentuan minimal Permendikbudristek Nomor 53 Tahun 2023 tentang Penjaminan Mutu Pendidikan Tinggi, tetapi secara khusus dirancang agar setiap indikator kinerjanya memenuhi atau melampaui ambang skor tertinggi (skor 4) pada Kriteria VI (Mahasiswa dan Luaran Mahasiswa) Matriks Penilaian LAM Teknik APS-AV 2025 1.0 — mencakup rasio prestasi mahasiswa terhadap populasi, persentase mahasiswa asing, publikasi ilmiah mahasiswa, dan luaran penelitian/PkM mahasiswa — serta deskriptor tertinggi Kriteria 2 LAM INFOKOM terkait perluasan akses PMB dan rekognisi prestasi mahasiswa.</w:t>
      </w:r>
    </w:p>
    <w:p>
      <w:pPr>
        <w:spacing w:after="120"/>
      </w:pPr>
      <w:r>
        <w:rPr>
          <w:b w:val="0"/>
          <w:i w:val="0"/>
        </w:rPr>
        <w:t>Penyusunan standar ini didasarkan pada hasil pemetaan (gap analysis) terhadap dokumen Standar Kemahasiswaan FTII sebelumnya terhadap kelima dokumen rujukan. Sebagian besar ketentuan FTII (8 dari 11 tema) telah SELARAS PENUH atau sangat selaras dengan kelima rujukan, terutama pada struktur layanan kemahasiswaan, evaluasi berkala, dan luaran penelitian/PkM mahasiswa. Pemetaan tersebut juga mengidentifikasi area yang memerlukan penajaman ambang, yaitu: (a) penetapan ambang kuantitatif peningkatan animo calon mahasiswa mengikuti ambang skor sempurna R1 (&gt;10%/tahun); (b) penambahan indikator persentase mahasiswa asing mengikuti ambang skor 4 R2 (≥1%); (c) perbaikan metodologi pengukuran prestasi mahasiswa dari angka absolut gabungan fakultas menjadi rasio/jumlah per program studi mengikuti pola R2, R4, dan R5, agar dapat diverifikasi langsung terhadap instrumen akreditasi; dan (d) penetapan ambang kuantitatif frekuensi monitoring-evaluasi dan tindak lanjut layanan kemahasiswaan mengikuti pola R4.</w:t>
      </w:r>
    </w:p>
    <w:p>
      <w:pPr>
        <w:spacing w:before="280" w:after="120"/>
      </w:pPr>
      <w:r>
        <w:rPr>
          <w:b/>
          <w:sz w:val="26"/>
        </w:rPr>
        <w:t>2. PIHAK YANG BERTANGGUNG JAWAB</w:t>
      </w:r>
    </w:p>
    <w:p>
      <w:pPr>
        <w:pStyle w:val="ListNumber"/>
        <w:spacing w:after="120"/>
      </w:pPr>
      <w:r>
        <w:t>Penetapan: Rektor menetapkan Standar Kemahasiswaan FTII melalui Keputusan Rektor, berdasarkan usulan Dekan FTII serta masukan sivitas akademika dan pemangku kepentingan.</w:t>
      </w:r>
    </w:p>
    <w:p>
      <w:pPr>
        <w:pStyle w:val="ListNumber"/>
        <w:spacing w:after="120"/>
      </w:pPr>
      <w:r>
        <w:t>Pelaksanaan: Wakil Rektor Bidang Akademik dan Kemahasiswaan, Dekan FTII, Wakil Dekan Bidang Kemahasiswaan, Ketua Program Studi, Unit Kemahasiswaan Universitas/Fakultas, dosen pembimbing akademik dan kemahasiswaan, serta mahasiswa melaksanakan Standar Kemahasiswaan sesuai tugas dan kewenangan masing-masing.</w:t>
      </w:r>
    </w:p>
    <w:p>
      <w:pPr>
        <w:pStyle w:val="ListNumber"/>
        <w:spacing w:after="120"/>
      </w:pPr>
      <w:r>
        <w:t>Evaluasi: Direktorat Jaminan Mutu (DJM), Unit Jaminan Mutu (UJM) FTII, dan Gugus Kendali Mutu (GKM) Program Studi melaksanakan monitoring dan evaluasi, Audit Mutu Internal (AMI), pengukuran kepuasan mahasiswa terhadap layanan kemahasiswaan, serta verifikasi data prestasi dan luaran mahasiswa secara berkala.</w:t>
      </w:r>
    </w:p>
    <w:p>
      <w:pPr>
        <w:pStyle w:val="ListNumber"/>
        <w:spacing w:after="120"/>
      </w:pPr>
      <w:r>
        <w:t>Pengendalian: Dekan FTII, Ketua Program Studi, dan UJM FTII bersama DJM memastikan kesesuaian pelaksanaan layanan kemahasiswaan dengan kebijakan universitas serta menindaklanjuti hasil AMI melalui Rencana Tindak Lanjut (RTL).</w:t>
      </w:r>
    </w:p>
    <w:p>
      <w:pPr>
        <w:pStyle w:val="ListNumber"/>
        <w:spacing w:after="120"/>
      </w:pPr>
      <w:r>
        <w:t>Peningkatan: Dekan FTII, Ketua Program Studi, DJM, UJM, dan GKM merumuskan peningkatan mutu layanan kemahasiswaan, target prestasi, dan strategi PMB berdasarkan hasil evaluasi dan benchmarking, guna menjaga kesetaraan dan/atau keunggulan ambang indikator terhadap kriteria LAM Teknik dan LAM INFOKOM.</w:t>
      </w:r>
    </w:p>
    <w:p>
      <w:pPr>
        <w:spacing w:before="280" w:after="120"/>
      </w:pPr>
      <w:r>
        <w:rPr>
          <w:b/>
          <w:sz w:val="26"/>
        </w:rPr>
        <w:t>3. PERNYATAAN STANDAR</w:t>
      </w:r>
    </w:p>
    <w:p>
      <w:pPr>
        <w:pStyle w:val="ListNumber"/>
        <w:spacing w:after="120"/>
      </w:pPr>
      <w:r>
        <w:t>Rektor wajib menetapkan kebijakan, pedoman, dan sistem penerimaan mahasiswa baru (PMB) yang transparan, objektif, akuntabel, dan berkeadilan, mencakup ketentuan perluasan akses, keragaman asal calon mahasiswa (asal daerah, suku, jenis kelamin), program afirmasi, dan aksesibilitas bagi calon mahasiswa berkebutuhan khusus.</w:t>
      </w:r>
    </w:p>
    <w:p>
      <w:pPr>
        <w:pStyle w:val="ListNumber"/>
        <w:spacing w:after="120"/>
      </w:pPr>
      <w:r>
        <w:t>FTII bersama Program Studi wajib melaksanakan promosi, rekrutmen, dan seleksi mahasiswa baru dengan target peningkatan jumlah pendaftar paling sedikit 10% per tahun dibandingkan tahun sebelumnya, dibuktikan dengan data rekapitulasi pendaftar dan bukti keberhasilan upaya promosi.</w:t>
      </w:r>
    </w:p>
    <w:p>
      <w:pPr>
        <w:pStyle w:val="ListNumber"/>
        <w:spacing w:after="120"/>
      </w:pPr>
      <w:r>
        <w:t>FTII wajib memiliki dan melaksanakan pedoman layanan kemahasiswaan yang mencakup 7 (tujuh) komponen: pembinaan minat dan bakat, organisasi kemahasiswaan, bimbingan karier dan informasi kerja, kewirausahaan, layanan beasiswa, bimbingan dan konseling, serta layanan kesehatan mahasiswa, diimplementasikan pada 100% program studi di lingkungan FTII.</w:t>
      </w:r>
    </w:p>
    <w:p>
      <w:pPr>
        <w:pStyle w:val="ListNumber"/>
        <w:spacing w:after="120"/>
      </w:pPr>
      <w:r>
        <w:t>FTII wajib menyediakan instrumen pengukuran tingkat kepuasan mahasiswa terhadap layanan kemahasiswaan, dilaksanakan paling sedikit 1 (satu) kali per tahun akademik, dengan target tingkat kepuasan paling sedikit 80% pada tahun pertama meningkat menjadi paling sedikit 90% pada akhir siklus Renstra.</w:t>
      </w:r>
    </w:p>
    <w:p>
      <w:pPr>
        <w:pStyle w:val="ListNumber"/>
        <w:spacing w:after="120"/>
      </w:pPr>
      <w:r>
        <w:t>FTII wajib melaksanakan monitoring dan evaluasi internal ketercapaian layanan kemahasiswaan paling sedikit 1 (satu) kali per tahun, dengan persentase rekomendasi hasil monev yang ditindaklanjuti menjadi perbaikan layanan paling sedikit 80% pada tahun pertama meningkat menjadi paling sedikit 95% pada akhir siklus Renstra.</w:t>
      </w:r>
    </w:p>
    <w:p>
      <w:pPr>
        <w:pStyle w:val="ListNumber"/>
        <w:spacing w:after="120"/>
      </w:pPr>
      <w:r>
        <w:t>FTII wajib memfasilitasi mahasiswa mengikuti kegiatan akademik dan non-akademik pada tingkat lokal, nasional, dan internasional, disertai bukti pengakuan (rekognisi) dan apresiasi dari masyarakat dan/atau DUDIKA yang terdokumentasi secara sahih dan lengkap.</w:t>
      </w:r>
    </w:p>
    <w:p>
      <w:pPr>
        <w:pStyle w:val="ListNumber"/>
        <w:spacing w:after="120"/>
      </w:pPr>
      <w:r>
        <w:t>FTII wajib melakukan pendataan, pembinaan, dan pelaporan prestasi mahasiswa akademik dan non-akademik per program studi dengan satuan yang terukur dan terverifikasi: paling sedikit 4 (empat) prestasi akademik dan 8 (delapan) prestasi non-akademik dalam 5 (lima) tahun terakhir per program studi, atau setara dengan rasio paling sedikit 0,2% (tingkat internasional), 2% (tingkat nasional), dan 4% (tingkat wilayah/lokal) terhadap jumlah mahasiswa program studi pada tahun berjalan.</w:t>
      </w:r>
    </w:p>
    <w:p>
      <w:pPr>
        <w:pStyle w:val="ListNumber"/>
        <w:spacing w:after="120"/>
      </w:pPr>
      <w:r>
        <w:t>FTII wajib memiliki dan mendokumentasikan persentase mahasiswa asing (inbound/pertukaran) paling sedikit 1% dari jumlah keseluruhan mahasiswa FTII, meningkat secara bertahap menuju akhir siklus Renstra.</w:t>
      </w:r>
    </w:p>
    <w:p>
      <w:pPr>
        <w:pStyle w:val="ListNumber"/>
        <w:spacing w:after="120"/>
      </w:pPr>
      <w:r>
        <w:t>FTII bersama Program Studi wajib mendorong dan memfasilitasi mahasiswa menghasilkan luaran penelitian dan pengabdian kepada masyarakat (PkM), baik mandiri maupun bersama dosen, yang dipublikasikan pada jurnal, prosiding, hak kekayaan intelektual (HKI), teknologi tepat guna, atau buku ber-ISBN, dengan target jumlah luaran meningkat paling sedikit 5% per tahun dari baseline tahun sebelumnya.</w:t>
      </w:r>
    </w:p>
    <w:p>
      <w:pPr>
        <w:pStyle w:val="ListNumber"/>
        <w:spacing w:after="120"/>
      </w:pPr>
      <w:r>
        <w:t>FTII bersama Program Studi wajib melaksanakan tracer study dan survei kepuasan pengguna lulusan secara berkala sebagai dasar evaluasi mutu layanan kemahasiswaan dan pengembangan kurikulum, terkoordinasi di tingkat universitas dan mencakup seluruh populasi lulusan sesuai ketentuan Standar Luaran Pendidikan FTII.</w:t>
      </w:r>
    </w:p>
    <w:p>
      <w:pPr>
        <w:pStyle w:val="ListNumber"/>
        <w:spacing w:after="120"/>
      </w:pPr>
      <w:r>
        <w:t>FTII wajib mengembangkan budaya prestasi, kreativitas, inovasi, dan kewirausahaan mahasiswa, dengan target jumlah mahasiswa yang terlibat dalam kegiatan/pembinaan kewirausahaan paling sedikit 50 orang per tahun pada tahun pertama, meningkat menjadi paling sedikit 100 orang per tahun pada akhir siklus Renstra.</w:t>
      </w:r>
    </w:p>
    <w:p>
      <w:pPr>
        <w:pStyle w:val="ListNumber"/>
        <w:spacing w:after="120"/>
      </w:pPr>
      <w:r>
        <w:t>FTII wajib melaksanakan Audit Mutu Internal (AMI) atas implementasi Standar Kemahasiswaan paling sedikit 1 (satu) kali per tahun, dan mendokumentasikan seluruh kegiatan serta capaian kemahasiswaan secara sistematis sebagai bagian dari pelaporan Sistem Penjaminan Mutu Internal (SPMI) kepada Universitas.</w:t>
      </w:r>
    </w:p>
    <w:p>
      <w:pPr>
        <w:pStyle w:val="ListNumber"/>
        <w:spacing w:after="120"/>
      </w:pPr>
      <w:r>
        <w:t>*FTII bersama Program Studi wajib mendorong dan mendokumentasikan produk atau jasa hasil karya mahasiswa (mandiri maupun bersama dosen) yang diadopsi oleh industri dan/atau masyarakat, dengan target paling sedikit 2 (dua) produk/jasa per tahun pada tingkat fakultas, meningkat menuju paling sedikit 4 (empat) produk/jasa per tahun pada akhir siklus Renstra, dibuktikan dengan surat keterangan adopsi/pemanfaatan dari pihak industri atau masyarakat penerima.</w:t>
      </w:r>
    </w:p>
    <w:p>
      <w:pPr>
        <w:pStyle w:val="ListNumber"/>
        <w:spacing w:after="120"/>
      </w:pPr>
      <w:r>
        <w:t>*FTII wajib melaksanakan Analisis Faktor Keberhasilan dan Penghambat (root-cause analysis) serta analisis SWOT atas ketercapaian Standar Kemahasiswaan paling sedikit 1 (satu) kali setiap tahun akademik, sesuai mekanisme yang diwajibkan Standar Penjaminan Mutu Internal FTII bagi seluruh standar turunan, sebagai bagian wajib pembahasan Rapat Tinjauan Manajemen (RTM) dan dasar penyusunan Rencana Tindak Lanjut (RTL).</w:t>
      </w:r>
    </w:p>
    <w:p>
      <w:pPr>
        <w:spacing w:after="120"/>
      </w:pPr>
      <w:r>
        <w:rPr>
          <w:i/>
        </w:rPr>
        <w:t>Catatan: pernyataan bertanda (*) adalah ketentuan BARU pada revisi ke-2 untuk menutup gap hasil pemetaan Kriteria C.6 LEDPS LAM Teknik 2025; jendela waktu prestasi mahasiswa telah disesuaikan dari 3 menjadi 5 tahun terakhir mengikuti tuntutan eksplisit LED.</w:t>
      </w:r>
    </w:p>
    <w:p>
      <w:pPr>
        <w:spacing w:before="280" w:after="120"/>
      </w:pPr>
      <w:r>
        <w:rPr>
          <w:b/>
          <w:sz w:val="26"/>
        </w:rPr>
        <w:t>4. INDIKATOR KINERJA (IKU / IKT)</w:t>
      </w:r>
    </w:p>
    <w:p>
      <w:pPr>
        <w:spacing w:after="120"/>
      </w:pPr>
      <w:r>
        <w:rPr>
          <w:b w:val="0"/>
          <w:i w:val="0"/>
        </w:rPr>
        <w:t>Seluruh ambang Indikator Kinerja Utama (IKU) pada tabel berikut ditetapkan setara dengan atau melampaui ambang skor tertinggi (skor 4) Kriteria VI Matriks Penilaian LAM Teknik APS-AV 2025 1.0 dan deskriptor tertinggi Kriteria 2 Kriteria Unggul 2.1 LAM INFOKOM terkait mahasiswa, sehingga pencapaiannya secara langsung mendukung kesiapan akreditasi Unggul.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No</w:t>
            </w:r>
          </w:p>
        </w:tc>
        <w:tc>
          <w:tcPr>
            <w:tcW w:type="dxa" w:w="1728"/>
            <w:shd w:val="clear" w:color="auto" w:fill="D9D9D9"/>
          </w:tcPr>
          <w:p>
            <w:r/>
            <w:r>
              <w:rPr>
                <w:b/>
                <w:sz w:val="19"/>
              </w:rPr>
              <w:t>Indikator Kinerja Utama (IKU)</w:t>
            </w:r>
          </w:p>
        </w:tc>
        <w:tc>
          <w:tcPr>
            <w:tcW w:type="dxa" w:w="1728"/>
            <w:shd w:val="clear" w:color="auto" w:fill="D9D9D9"/>
          </w:tcPr>
          <w:p>
            <w:r/>
            <w:r>
              <w:rPr>
                <w:sz w:val="19"/>
              </w:rPr>
              <w:t>2024/2025</w:t>
            </w:r>
          </w:p>
        </w:tc>
        <w:tc>
          <w:tcPr>
            <w:tcW w:type="dxa" w:w="1728"/>
            <w:shd w:val="clear" w:color="auto" w:fill="D9D9D9"/>
          </w:tcPr>
          <w:p>
            <w:r/>
            <w:r>
              <w:rPr>
                <w:sz w:val="19"/>
              </w:rPr>
              <w:t>2025/2026</w:t>
            </w:r>
          </w:p>
        </w:tc>
        <w:tc>
          <w:tcPr>
            <w:tcW w:type="dxa" w:w="1728"/>
            <w:shd w:val="clear" w:color="auto" w:fill="D9D9D9"/>
          </w:tcPr>
          <w:p>
            <w:r/>
            <w:r>
              <w:rPr>
                <w:sz w:val="19"/>
              </w:rPr>
              <w:t>2026/2027</w:t>
            </w:r>
          </w:p>
        </w:tc>
      </w:tr>
      <w:tr>
        <w:tc>
          <w:tcPr>
            <w:tcW w:type="dxa" w:w="1728"/>
          </w:tcPr>
          <w:p>
            <w:r/>
            <w:r>
              <w:rPr>
                <w:b w:val="0"/>
                <w:sz w:val="19"/>
              </w:rPr>
              <w:t>1</w:t>
            </w:r>
          </w:p>
        </w:tc>
        <w:tc>
          <w:tcPr>
            <w:tcW w:type="dxa" w:w="1728"/>
          </w:tcPr>
          <w:p>
            <w:r/>
            <w:r>
              <w:rPr>
                <w:b w:val="0"/>
                <w:sz w:val="19"/>
              </w:rPr>
              <w:t>Ketersediaan pedoman dan sistem PMB yang transparan, objektif, akuntabel, dan berkeadilan</w:t>
            </w:r>
          </w:p>
        </w:tc>
        <w:tc>
          <w:tcPr>
            <w:tcW w:type="dxa" w:w="1728"/>
          </w:tcPr>
          <w:p>
            <w:r/>
            <w:r>
              <w:rPr>
                <w:b w:val="0"/>
                <w:sz w:val="19"/>
              </w:rPr>
              <w:t>Tersedia</w:t>
            </w:r>
          </w:p>
        </w:tc>
        <w:tc>
          <w:tcPr>
            <w:tcW w:type="dxa" w:w="1728"/>
          </w:tcPr>
          <w:p>
            <w:r/>
            <w:r>
              <w:rPr>
                <w:b w:val="0"/>
                <w:sz w:val="19"/>
              </w:rPr>
              <w:t>Tersedia</w:t>
            </w:r>
          </w:p>
        </w:tc>
        <w:tc>
          <w:tcPr>
            <w:tcW w:type="dxa" w:w="1728"/>
          </w:tcPr>
          <w:p>
            <w:r/>
            <w:r>
              <w:rPr>
                <w:b w:val="0"/>
                <w:sz w:val="19"/>
              </w:rPr>
              <w:t>Tersedia</w:t>
            </w:r>
          </w:p>
        </w:tc>
      </w:tr>
      <w:tr>
        <w:tc>
          <w:tcPr>
            <w:tcW w:type="dxa" w:w="1728"/>
          </w:tcPr>
          <w:p>
            <w:r/>
            <w:r>
              <w:rPr>
                <w:b w:val="0"/>
                <w:sz w:val="19"/>
              </w:rPr>
              <w:t>2</w:t>
            </w:r>
          </w:p>
        </w:tc>
        <w:tc>
          <w:tcPr>
            <w:tcW w:type="dxa" w:w="1728"/>
          </w:tcPr>
          <w:p>
            <w:r/>
            <w:r>
              <w:rPr>
                <w:b w:val="0"/>
                <w:sz w:val="19"/>
              </w:rPr>
              <w:t>Peningkatan jumlah pendaftar mahasiswa baru dibanding tahun sebelumnya</w:t>
            </w:r>
          </w:p>
        </w:tc>
        <w:tc>
          <w:tcPr>
            <w:tcW w:type="dxa" w:w="1728"/>
          </w:tcPr>
          <w:p>
            <w:r/>
            <w:r>
              <w:rPr>
                <w:b w:val="0"/>
                <w:sz w:val="19"/>
              </w:rPr>
              <w:t>≥10%</w:t>
            </w:r>
          </w:p>
        </w:tc>
        <w:tc>
          <w:tcPr>
            <w:tcW w:type="dxa" w:w="1728"/>
          </w:tcPr>
          <w:p>
            <w:r/>
            <w:r>
              <w:rPr>
                <w:b w:val="0"/>
                <w:sz w:val="19"/>
              </w:rPr>
              <w:t>≥10%</w:t>
            </w:r>
          </w:p>
        </w:tc>
        <w:tc>
          <w:tcPr>
            <w:tcW w:type="dxa" w:w="1728"/>
          </w:tcPr>
          <w:p>
            <w:r/>
            <w:r>
              <w:rPr>
                <w:b w:val="0"/>
                <w:sz w:val="19"/>
              </w:rPr>
              <w:t>≥10%</w:t>
            </w:r>
          </w:p>
        </w:tc>
      </w:tr>
      <w:tr>
        <w:tc>
          <w:tcPr>
            <w:tcW w:type="dxa" w:w="1728"/>
          </w:tcPr>
          <w:p>
            <w:r/>
            <w:r>
              <w:rPr>
                <w:b w:val="0"/>
                <w:sz w:val="19"/>
              </w:rPr>
              <w:t>3</w:t>
            </w:r>
          </w:p>
        </w:tc>
        <w:tc>
          <w:tcPr>
            <w:tcW w:type="dxa" w:w="1728"/>
          </w:tcPr>
          <w:p>
            <w:r/>
            <w:r>
              <w:rPr>
                <w:b w:val="0"/>
                <w:sz w:val="19"/>
              </w:rPr>
              <w:t>Persentase program studi yang mengimplementasikan pedoman layanan kemahasiswaan (7 komponen)</w:t>
            </w:r>
          </w:p>
        </w:tc>
        <w:tc>
          <w:tcPr>
            <w:tcW w:type="dxa" w:w="1728"/>
          </w:tcPr>
          <w:p>
            <w:r/>
            <w:r>
              <w:rPr>
                <w:b w:val="0"/>
                <w:sz w:val="19"/>
              </w:rPr>
              <w:t>90%</w:t>
            </w:r>
          </w:p>
        </w:tc>
        <w:tc>
          <w:tcPr>
            <w:tcW w:type="dxa" w:w="1728"/>
          </w:tcPr>
          <w:p>
            <w:r/>
            <w:r>
              <w:rPr>
                <w:b w:val="0"/>
                <w:sz w:val="19"/>
              </w:rPr>
              <w:t>95%</w:t>
            </w:r>
          </w:p>
        </w:tc>
        <w:tc>
          <w:tcPr>
            <w:tcW w:type="dxa" w:w="1728"/>
          </w:tcPr>
          <w:p>
            <w:r/>
            <w:r>
              <w:rPr>
                <w:b w:val="0"/>
                <w:sz w:val="19"/>
              </w:rPr>
              <w:t>100%</w:t>
            </w:r>
          </w:p>
        </w:tc>
      </w:tr>
      <w:tr>
        <w:tc>
          <w:tcPr>
            <w:tcW w:type="dxa" w:w="1728"/>
          </w:tcPr>
          <w:p>
            <w:r/>
            <w:r>
              <w:rPr>
                <w:b w:val="0"/>
                <w:sz w:val="19"/>
              </w:rPr>
              <w:t>4</w:t>
            </w:r>
          </w:p>
        </w:tc>
        <w:tc>
          <w:tcPr>
            <w:tcW w:type="dxa" w:w="1728"/>
          </w:tcPr>
          <w:p>
            <w:r/>
            <w:r>
              <w:rPr>
                <w:b w:val="0"/>
                <w:sz w:val="19"/>
              </w:rPr>
              <w:t>Tingkat kepuasan mahasiswa terhadap layanan kemahasiswaan (hasil survei)</w:t>
            </w:r>
          </w:p>
        </w:tc>
        <w:tc>
          <w:tcPr>
            <w:tcW w:type="dxa" w:w="1728"/>
          </w:tcPr>
          <w:p>
            <w:r/>
            <w:r>
              <w:rPr>
                <w:b w:val="0"/>
                <w:sz w:val="19"/>
              </w:rPr>
              <w:t>≥80%</w:t>
            </w:r>
          </w:p>
        </w:tc>
        <w:tc>
          <w:tcPr>
            <w:tcW w:type="dxa" w:w="1728"/>
          </w:tcPr>
          <w:p>
            <w:r/>
            <w:r>
              <w:rPr>
                <w:b w:val="0"/>
                <w:sz w:val="19"/>
              </w:rPr>
              <w:t>≥85%</w:t>
            </w:r>
          </w:p>
        </w:tc>
        <w:tc>
          <w:tcPr>
            <w:tcW w:type="dxa" w:w="1728"/>
          </w:tcPr>
          <w:p>
            <w:r/>
            <w:r>
              <w:rPr>
                <w:b w:val="0"/>
                <w:sz w:val="19"/>
              </w:rPr>
              <w:t>≥90%</w:t>
            </w:r>
          </w:p>
        </w:tc>
      </w:tr>
      <w:tr>
        <w:tc>
          <w:tcPr>
            <w:tcW w:type="dxa" w:w="1728"/>
          </w:tcPr>
          <w:p>
            <w:r/>
            <w:r>
              <w:rPr>
                <w:b w:val="0"/>
                <w:sz w:val="19"/>
              </w:rPr>
              <w:t>5</w:t>
            </w:r>
          </w:p>
        </w:tc>
        <w:tc>
          <w:tcPr>
            <w:tcW w:type="dxa" w:w="1728"/>
          </w:tcPr>
          <w:p>
            <w:r/>
            <w:r>
              <w:rPr>
                <w:b w:val="0"/>
                <w:sz w:val="19"/>
              </w:rPr>
              <w:t>Frekuensi monitoring dan evaluasi internal layanan kemahasiswaan per tahun</w:t>
            </w:r>
          </w:p>
        </w:tc>
        <w:tc>
          <w:tcPr>
            <w:tcW w:type="dxa" w:w="1728"/>
          </w:tcPr>
          <w:p>
            <w:r/>
            <w:r>
              <w:rPr>
                <w:b w:val="0"/>
                <w:sz w:val="19"/>
              </w:rPr>
              <w:t>≥1 kali</w:t>
            </w:r>
          </w:p>
        </w:tc>
        <w:tc>
          <w:tcPr>
            <w:tcW w:type="dxa" w:w="1728"/>
          </w:tcPr>
          <w:p>
            <w:r/>
            <w:r>
              <w:rPr>
                <w:b w:val="0"/>
                <w:sz w:val="19"/>
              </w:rPr>
              <w:t>≥1 kali</w:t>
            </w:r>
          </w:p>
        </w:tc>
        <w:tc>
          <w:tcPr>
            <w:tcW w:type="dxa" w:w="1728"/>
          </w:tcPr>
          <w:p>
            <w:r/>
            <w:r>
              <w:rPr>
                <w:b w:val="0"/>
                <w:sz w:val="19"/>
              </w:rPr>
              <w:t>≥1 kali</w:t>
            </w:r>
          </w:p>
        </w:tc>
      </w:tr>
      <w:tr>
        <w:tc>
          <w:tcPr>
            <w:tcW w:type="dxa" w:w="1728"/>
          </w:tcPr>
          <w:p>
            <w:r/>
            <w:r>
              <w:rPr>
                <w:b w:val="0"/>
                <w:sz w:val="19"/>
              </w:rPr>
              <w:t>6</w:t>
            </w:r>
          </w:p>
        </w:tc>
        <w:tc>
          <w:tcPr>
            <w:tcW w:type="dxa" w:w="1728"/>
          </w:tcPr>
          <w:p>
            <w:r/>
            <w:r>
              <w:rPr>
                <w:b w:val="0"/>
                <w:sz w:val="19"/>
              </w:rPr>
              <w:t>Persentase rekomendasi hasil monev yang ditindaklanjuti menjadi perbaikan layanan</w:t>
            </w:r>
          </w:p>
        </w:tc>
        <w:tc>
          <w:tcPr>
            <w:tcW w:type="dxa" w:w="1728"/>
          </w:tcPr>
          <w:p>
            <w:r/>
            <w:r>
              <w:rPr>
                <w:b w:val="0"/>
                <w:sz w:val="19"/>
              </w:rPr>
              <w:t>≥80%</w:t>
            </w:r>
          </w:p>
        </w:tc>
        <w:tc>
          <w:tcPr>
            <w:tcW w:type="dxa" w:w="1728"/>
          </w:tcPr>
          <w:p>
            <w:r/>
            <w:r>
              <w:rPr>
                <w:b w:val="0"/>
                <w:sz w:val="19"/>
              </w:rPr>
              <w:t>≥90%</w:t>
            </w:r>
          </w:p>
        </w:tc>
        <w:tc>
          <w:tcPr>
            <w:tcW w:type="dxa" w:w="1728"/>
          </w:tcPr>
          <w:p>
            <w:r/>
            <w:r>
              <w:rPr>
                <w:b w:val="0"/>
                <w:sz w:val="19"/>
              </w:rPr>
              <w:t>≥95%</w:t>
            </w:r>
          </w:p>
        </w:tc>
      </w:tr>
      <w:tr>
        <w:tc>
          <w:tcPr>
            <w:tcW w:type="dxa" w:w="1728"/>
          </w:tcPr>
          <w:p>
            <w:r/>
            <w:r>
              <w:rPr>
                <w:b w:val="0"/>
                <w:sz w:val="19"/>
              </w:rPr>
              <w:t>7</w:t>
            </w:r>
          </w:p>
        </w:tc>
        <w:tc>
          <w:tcPr>
            <w:tcW w:type="dxa" w:w="1728"/>
          </w:tcPr>
          <w:p>
            <w:r/>
            <w:r>
              <w:rPr>
                <w:sz w:val="19"/>
              </w:rPr>
              <w:t>Jumlah prestasi akademik mahasiswa per program studi dalam 5 tahun terakhir</w:t>
            </w:r>
          </w:p>
        </w:tc>
        <w:tc>
          <w:tcPr>
            <w:tcW w:type="dxa" w:w="1728"/>
          </w:tcPr>
          <w:p>
            <w:r/>
            <w:r>
              <w:rPr>
                <w:b w:val="0"/>
                <w:sz w:val="19"/>
              </w:rPr>
              <w:t>≥4</w:t>
            </w:r>
          </w:p>
        </w:tc>
        <w:tc>
          <w:tcPr>
            <w:tcW w:type="dxa" w:w="1728"/>
          </w:tcPr>
          <w:p>
            <w:r/>
            <w:r>
              <w:rPr>
                <w:b w:val="0"/>
                <w:sz w:val="19"/>
              </w:rPr>
              <w:t>≥4</w:t>
            </w:r>
          </w:p>
        </w:tc>
        <w:tc>
          <w:tcPr>
            <w:tcW w:type="dxa" w:w="1728"/>
          </w:tcPr>
          <w:p>
            <w:r/>
            <w:r>
              <w:rPr>
                <w:b w:val="0"/>
                <w:sz w:val="19"/>
              </w:rPr>
              <w:t>≥5</w:t>
            </w:r>
          </w:p>
        </w:tc>
      </w:tr>
      <w:tr>
        <w:tc>
          <w:tcPr>
            <w:tcW w:type="dxa" w:w="1728"/>
          </w:tcPr>
          <w:p>
            <w:r/>
            <w:r>
              <w:rPr>
                <w:b w:val="0"/>
                <w:sz w:val="19"/>
              </w:rPr>
              <w:t>8</w:t>
            </w:r>
          </w:p>
        </w:tc>
        <w:tc>
          <w:tcPr>
            <w:tcW w:type="dxa" w:w="1728"/>
          </w:tcPr>
          <w:p>
            <w:r/>
            <w:r>
              <w:rPr>
                <w:sz w:val="19"/>
              </w:rPr>
              <w:t>Jumlah prestasi non-akademik mahasiswa per program studi dalam 5 tahun terakhir</w:t>
            </w:r>
          </w:p>
        </w:tc>
        <w:tc>
          <w:tcPr>
            <w:tcW w:type="dxa" w:w="1728"/>
          </w:tcPr>
          <w:p>
            <w:r/>
            <w:r>
              <w:rPr>
                <w:b w:val="0"/>
                <w:sz w:val="19"/>
              </w:rPr>
              <w:t>≥8</w:t>
            </w:r>
          </w:p>
        </w:tc>
        <w:tc>
          <w:tcPr>
            <w:tcW w:type="dxa" w:w="1728"/>
          </w:tcPr>
          <w:p>
            <w:r/>
            <w:r>
              <w:rPr>
                <w:b w:val="0"/>
                <w:sz w:val="19"/>
              </w:rPr>
              <w:t>≥8</w:t>
            </w:r>
          </w:p>
        </w:tc>
        <w:tc>
          <w:tcPr>
            <w:tcW w:type="dxa" w:w="1728"/>
          </w:tcPr>
          <w:p>
            <w:r/>
            <w:r>
              <w:rPr>
                <w:b w:val="0"/>
                <w:sz w:val="19"/>
              </w:rPr>
              <w:t>≥10</w:t>
            </w:r>
          </w:p>
        </w:tc>
      </w:tr>
      <w:tr>
        <w:tc>
          <w:tcPr>
            <w:tcW w:type="dxa" w:w="1728"/>
          </w:tcPr>
          <w:p>
            <w:r/>
            <w:r>
              <w:rPr>
                <w:b w:val="0"/>
                <w:sz w:val="19"/>
              </w:rPr>
              <w:t>9</w:t>
            </w:r>
          </w:p>
        </w:tc>
        <w:tc>
          <w:tcPr>
            <w:tcW w:type="dxa" w:w="1728"/>
          </w:tcPr>
          <w:p>
            <w:r/>
            <w:r>
              <w:rPr>
                <w:b w:val="0"/>
                <w:sz w:val="19"/>
              </w:rPr>
              <w:t>Rasio prestasi mahasiswa terhadap populasi (internasional/nasional/wilayah)</w:t>
            </w:r>
          </w:p>
        </w:tc>
        <w:tc>
          <w:tcPr>
            <w:tcW w:type="dxa" w:w="1728"/>
          </w:tcPr>
          <w:p>
            <w:r/>
            <w:r>
              <w:rPr>
                <w:b w:val="0"/>
                <w:sz w:val="19"/>
              </w:rPr>
              <w:t>≥0,2% / ≥2% / ≥4%</w:t>
            </w:r>
          </w:p>
        </w:tc>
        <w:tc>
          <w:tcPr>
            <w:tcW w:type="dxa" w:w="1728"/>
          </w:tcPr>
          <w:p>
            <w:r/>
            <w:r>
              <w:rPr>
                <w:b w:val="0"/>
                <w:sz w:val="19"/>
              </w:rPr>
              <w:t>≥0,2% / ≥2% / ≥4%</w:t>
            </w:r>
          </w:p>
        </w:tc>
        <w:tc>
          <w:tcPr>
            <w:tcW w:type="dxa" w:w="1728"/>
          </w:tcPr>
          <w:p>
            <w:r/>
            <w:r>
              <w:rPr>
                <w:b w:val="0"/>
                <w:sz w:val="19"/>
              </w:rPr>
              <w:t>≥0,3% / ≥2,5% / ≥4,5%</w:t>
            </w:r>
          </w:p>
        </w:tc>
      </w:tr>
      <w:tr>
        <w:tc>
          <w:tcPr>
            <w:tcW w:type="dxa" w:w="1728"/>
          </w:tcPr>
          <w:p>
            <w:r/>
            <w:r>
              <w:rPr>
                <w:b w:val="0"/>
                <w:sz w:val="19"/>
              </w:rPr>
              <w:t>10</w:t>
            </w:r>
          </w:p>
        </w:tc>
        <w:tc>
          <w:tcPr>
            <w:tcW w:type="dxa" w:w="1728"/>
          </w:tcPr>
          <w:p>
            <w:r/>
            <w:r>
              <w:rPr>
                <w:b w:val="0"/>
                <w:sz w:val="19"/>
              </w:rPr>
              <w:t>Persentase mahasiswa asing (inbound/pertukaran) terhadap total mahasiswa FTII</w:t>
            </w:r>
          </w:p>
        </w:tc>
        <w:tc>
          <w:tcPr>
            <w:tcW w:type="dxa" w:w="1728"/>
          </w:tcPr>
          <w:p>
            <w:r/>
            <w:r>
              <w:rPr>
                <w:b w:val="0"/>
                <w:sz w:val="19"/>
              </w:rPr>
              <w:t>≥0,5%</w:t>
            </w:r>
          </w:p>
        </w:tc>
        <w:tc>
          <w:tcPr>
            <w:tcW w:type="dxa" w:w="1728"/>
          </w:tcPr>
          <w:p>
            <w:r/>
            <w:r>
              <w:rPr>
                <w:b w:val="0"/>
                <w:sz w:val="19"/>
              </w:rPr>
              <w:t>≥1%</w:t>
            </w:r>
          </w:p>
        </w:tc>
        <w:tc>
          <w:tcPr>
            <w:tcW w:type="dxa" w:w="1728"/>
          </w:tcPr>
          <w:p>
            <w:r/>
            <w:r>
              <w:rPr>
                <w:b w:val="0"/>
                <w:sz w:val="19"/>
              </w:rPr>
              <w:t>≥1,5%</w:t>
            </w:r>
          </w:p>
        </w:tc>
      </w:tr>
      <w:tr>
        <w:tc>
          <w:tcPr>
            <w:tcW w:type="dxa" w:w="1728"/>
          </w:tcPr>
          <w:p>
            <w:r/>
            <w:r>
              <w:rPr>
                <w:b w:val="0"/>
                <w:sz w:val="19"/>
              </w:rPr>
              <w:t>11</w:t>
            </w:r>
          </w:p>
        </w:tc>
        <w:tc>
          <w:tcPr>
            <w:tcW w:type="dxa" w:w="1728"/>
          </w:tcPr>
          <w:p>
            <w:r/>
            <w:r>
              <w:rPr>
                <w:b w:val="0"/>
                <w:sz w:val="19"/>
              </w:rPr>
              <w:t>Jumlah luaran penelitian dan PkM mahasiswa (publikasi, HKI, TTG, buku) per tahun</w:t>
            </w:r>
          </w:p>
        </w:tc>
        <w:tc>
          <w:tcPr>
            <w:tcW w:type="dxa" w:w="1728"/>
          </w:tcPr>
          <w:p>
            <w:r/>
            <w:r>
              <w:rPr>
                <w:b w:val="0"/>
                <w:sz w:val="19"/>
              </w:rPr>
              <w:t>≥100</w:t>
            </w:r>
          </w:p>
        </w:tc>
        <w:tc>
          <w:tcPr>
            <w:tcW w:type="dxa" w:w="1728"/>
          </w:tcPr>
          <w:p>
            <w:r/>
            <w:r>
              <w:rPr>
                <w:b w:val="0"/>
                <w:sz w:val="19"/>
              </w:rPr>
              <w:t>≥105</w:t>
            </w:r>
          </w:p>
        </w:tc>
        <w:tc>
          <w:tcPr>
            <w:tcW w:type="dxa" w:w="1728"/>
          </w:tcPr>
          <w:p>
            <w:r/>
            <w:r>
              <w:rPr>
                <w:b w:val="0"/>
                <w:sz w:val="19"/>
              </w:rPr>
              <w:t>≥110</w:t>
            </w:r>
          </w:p>
        </w:tc>
      </w:tr>
      <w:tr>
        <w:tc>
          <w:tcPr>
            <w:tcW w:type="dxa" w:w="1728"/>
          </w:tcPr>
          <w:p>
            <w:r/>
            <w:r>
              <w:rPr>
                <w:b w:val="0"/>
                <w:sz w:val="19"/>
              </w:rPr>
              <w:t>12</w:t>
            </w:r>
          </w:p>
        </w:tc>
        <w:tc>
          <w:tcPr>
            <w:tcW w:type="dxa" w:w="1728"/>
          </w:tcPr>
          <w:p>
            <w:r/>
            <w:r>
              <w:rPr>
                <w:b w:val="0"/>
                <w:sz w:val="19"/>
              </w:rPr>
              <w:t>Pelaksanaan tracer study dan survei kepuasan pengguna lulusan terkoordinasi tingkat universitas</w:t>
            </w:r>
          </w:p>
        </w:tc>
        <w:tc>
          <w:tcPr>
            <w:tcW w:type="dxa" w:w="1728"/>
          </w:tcPr>
          <w:p>
            <w:r/>
            <w:r>
              <w:rPr>
                <w:b w:val="0"/>
                <w:sz w:val="19"/>
              </w:rPr>
              <w:t>1 kali/tahun</w:t>
            </w:r>
          </w:p>
        </w:tc>
        <w:tc>
          <w:tcPr>
            <w:tcW w:type="dxa" w:w="1728"/>
          </w:tcPr>
          <w:p>
            <w:r/>
            <w:r>
              <w:rPr>
                <w:b w:val="0"/>
                <w:sz w:val="19"/>
              </w:rPr>
              <w:t>1 kali/tahun</w:t>
            </w:r>
          </w:p>
        </w:tc>
        <w:tc>
          <w:tcPr>
            <w:tcW w:type="dxa" w:w="1728"/>
          </w:tcPr>
          <w:p>
            <w:r/>
            <w:r>
              <w:rPr>
                <w:b w:val="0"/>
                <w:sz w:val="19"/>
              </w:rPr>
              <w:t>1 kali/tahun</w:t>
            </w:r>
          </w:p>
        </w:tc>
      </w:tr>
      <w:tr>
        <w:tc>
          <w:tcPr>
            <w:tcW w:type="dxa" w:w="1728"/>
          </w:tcPr>
          <w:p>
            <w:r/>
            <w:r>
              <w:rPr>
                <w:b w:val="0"/>
                <w:sz w:val="19"/>
              </w:rPr>
              <w:t>13</w:t>
            </w:r>
          </w:p>
        </w:tc>
        <w:tc>
          <w:tcPr>
            <w:tcW w:type="dxa" w:w="1728"/>
          </w:tcPr>
          <w:p>
            <w:r/>
            <w:r>
              <w:rPr>
                <w:b w:val="0"/>
                <w:sz w:val="19"/>
              </w:rPr>
              <w:t>Jumlah mahasiswa terlibat dalam kegiatan/pembinaan kewirausahaan per tahun</w:t>
            </w:r>
          </w:p>
        </w:tc>
        <w:tc>
          <w:tcPr>
            <w:tcW w:type="dxa" w:w="1728"/>
          </w:tcPr>
          <w:p>
            <w:r/>
            <w:r>
              <w:rPr>
                <w:b w:val="0"/>
                <w:sz w:val="19"/>
              </w:rPr>
              <w:t>≥50</w:t>
            </w:r>
          </w:p>
        </w:tc>
        <w:tc>
          <w:tcPr>
            <w:tcW w:type="dxa" w:w="1728"/>
          </w:tcPr>
          <w:p>
            <w:r/>
            <w:r>
              <w:rPr>
                <w:b w:val="0"/>
                <w:sz w:val="19"/>
              </w:rPr>
              <w:t>≥75</w:t>
            </w:r>
          </w:p>
        </w:tc>
        <w:tc>
          <w:tcPr>
            <w:tcW w:type="dxa" w:w="1728"/>
          </w:tcPr>
          <w:p>
            <w:r/>
            <w:r>
              <w:rPr>
                <w:b w:val="0"/>
                <w:sz w:val="19"/>
              </w:rPr>
              <w:t>≥100</w:t>
            </w:r>
          </w:p>
        </w:tc>
      </w:tr>
      <w:tr>
        <w:tc>
          <w:tcPr>
            <w:tcW w:type="dxa" w:w="1728"/>
          </w:tcPr>
          <w:p>
            <w:r/>
            <w:r>
              <w:rPr>
                <w:b w:val="0"/>
                <w:sz w:val="19"/>
              </w:rPr>
              <w:t>14</w:t>
            </w:r>
          </w:p>
        </w:tc>
        <w:tc>
          <w:tcPr>
            <w:tcW w:type="dxa" w:w="1728"/>
          </w:tcPr>
          <w:p>
            <w:r/>
            <w:r>
              <w:rPr>
                <w:b w:val="0"/>
                <w:sz w:val="19"/>
              </w:rPr>
              <w:t>Pelaksanaan Audit Mutu Internal (AMI) atas Standar Kemahasiswaan per tahun</w:t>
            </w:r>
          </w:p>
        </w:tc>
        <w:tc>
          <w:tcPr>
            <w:tcW w:type="dxa" w:w="1728"/>
          </w:tcPr>
          <w:p>
            <w:r/>
            <w:r>
              <w:rPr>
                <w:b w:val="0"/>
                <w:sz w:val="19"/>
              </w:rPr>
              <w:t>1 kali/tahun</w:t>
            </w:r>
          </w:p>
        </w:tc>
        <w:tc>
          <w:tcPr>
            <w:tcW w:type="dxa" w:w="1728"/>
          </w:tcPr>
          <w:p>
            <w:r/>
            <w:r>
              <w:rPr>
                <w:b w:val="0"/>
                <w:sz w:val="19"/>
              </w:rPr>
              <w:t>1 kali/tahun</w:t>
            </w:r>
          </w:p>
        </w:tc>
        <w:tc>
          <w:tcPr>
            <w:tcW w:type="dxa" w:w="1728"/>
          </w:tcPr>
          <w:p>
            <w:r/>
            <w:r>
              <w:rPr>
                <w:b w:val="0"/>
                <w:sz w:val="19"/>
              </w:rPr>
              <w:t>1 kali/tahun</w:t>
            </w:r>
          </w:p>
        </w:tc>
      </w:tr>
      <w:tr>
        <w:tc>
          <w:tcPr>
            <w:tcW w:type="dxa" w:w="1728"/>
          </w:tcPr>
          <w:p>
            <w:r/>
            <w:r>
              <w:rPr>
                <w:sz w:val="19"/>
              </w:rPr>
              <w:t>*15</w:t>
            </w:r>
          </w:p>
        </w:tc>
        <w:tc>
          <w:tcPr>
            <w:tcW w:type="dxa" w:w="1728"/>
          </w:tcPr>
          <w:p>
            <w:r/>
            <w:r>
              <w:rPr>
                <w:sz w:val="19"/>
              </w:rPr>
              <w:t>Jumlah produk/jasa karya mahasiswa yang diadopsi industri/masyarakat per tahun</w:t>
            </w:r>
          </w:p>
        </w:tc>
        <w:tc>
          <w:tcPr>
            <w:tcW w:type="dxa" w:w="1728"/>
          </w:tcPr>
          <w:p>
            <w:r/>
            <w:r>
              <w:rPr>
                <w:sz w:val="19"/>
              </w:rPr>
              <w:t>≥2</w:t>
            </w:r>
          </w:p>
        </w:tc>
        <w:tc>
          <w:tcPr>
            <w:tcW w:type="dxa" w:w="1728"/>
          </w:tcPr>
          <w:p>
            <w:r/>
            <w:r>
              <w:rPr>
                <w:sz w:val="19"/>
              </w:rPr>
              <w:t>≥3</w:t>
            </w:r>
          </w:p>
        </w:tc>
        <w:tc>
          <w:tcPr>
            <w:tcW w:type="dxa" w:w="1728"/>
          </w:tcPr>
          <w:p>
            <w:r/>
            <w:r>
              <w:rPr>
                <w:sz w:val="19"/>
              </w:rPr>
              <w:t>≥4</w:t>
            </w:r>
          </w:p>
        </w:tc>
      </w:tr>
      <w:tr>
        <w:tc>
          <w:tcPr>
            <w:tcW w:type="dxa" w:w="1728"/>
          </w:tcPr>
          <w:p>
            <w:r/>
            <w:r>
              <w:rPr>
                <w:sz w:val="19"/>
              </w:rPr>
              <w:t>*16</w:t>
            </w:r>
          </w:p>
        </w:tc>
        <w:tc>
          <w:tcPr>
            <w:tcW w:type="dxa" w:w="1728"/>
          </w:tcPr>
          <w:p>
            <w:r/>
            <w:r>
              <w:rPr>
                <w:sz w:val="19"/>
              </w:rPr>
              <w:t>Pelaksanaan root-cause analysis &amp; SWOT tahunan atas Standar Kemahasiswaan (sesuai Standar SPMI)</w:t>
            </w:r>
          </w:p>
        </w:tc>
        <w:tc>
          <w:tcPr>
            <w:tcW w:type="dxa" w:w="1728"/>
          </w:tcPr>
          <w:p>
            <w:r/>
            <w:r>
              <w:rPr>
                <w:sz w:val="19"/>
              </w:rPr>
              <w:t>Terlaksana</w:t>
            </w:r>
          </w:p>
        </w:tc>
        <w:tc>
          <w:tcPr>
            <w:tcW w:type="dxa" w:w="1728"/>
          </w:tcPr>
          <w:p>
            <w:r/>
            <w:r>
              <w:rPr>
                <w:sz w:val="19"/>
              </w:rPr>
              <w:t>Terlaksana</w:t>
            </w:r>
          </w:p>
        </w:tc>
        <w:tc>
          <w:tcPr>
            <w:tcW w:type="dxa" w:w="1728"/>
          </w:tcPr>
          <w:p>
            <w:r/>
            <w:r>
              <w:rPr>
                <w:sz w:val="19"/>
              </w:rPr>
              <w:t>Terlaksana</w:t>
            </w:r>
          </w:p>
        </w:tc>
      </w:tr>
    </w:tbl>
    <w:p/>
    <w:p>
      <w:pPr>
        <w:spacing w:after="120"/>
      </w:pPr>
      <w:r>
        <w:rPr>
          <w:b/>
          <w:i w:val="0"/>
        </w:rPr>
        <w:t>Indikator Kinerja Tambahan (IKT):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No</w:t>
            </w:r>
          </w:p>
        </w:tc>
        <w:tc>
          <w:tcPr>
            <w:tcW w:type="dxa" w:w="1728"/>
            <w:shd w:val="clear" w:color="auto" w:fill="D9D9D9"/>
          </w:tcPr>
          <w:p>
            <w:r/>
            <w:r>
              <w:rPr>
                <w:b/>
                <w:sz w:val="19"/>
              </w:rPr>
              <w:t>Indikator Kinerja Tambahan (IKT)</w:t>
            </w:r>
          </w:p>
        </w:tc>
        <w:tc>
          <w:tcPr>
            <w:tcW w:type="dxa" w:w="1728"/>
            <w:shd w:val="clear" w:color="auto" w:fill="D9D9D9"/>
          </w:tcPr>
          <w:p>
            <w:r/>
            <w:r>
              <w:rPr>
                <w:sz w:val="19"/>
              </w:rPr>
              <w:t>2024/2025</w:t>
            </w:r>
          </w:p>
        </w:tc>
        <w:tc>
          <w:tcPr>
            <w:tcW w:type="dxa" w:w="1728"/>
            <w:shd w:val="clear" w:color="auto" w:fill="D9D9D9"/>
          </w:tcPr>
          <w:p>
            <w:r/>
            <w:r>
              <w:rPr>
                <w:sz w:val="19"/>
              </w:rPr>
              <w:t>2025/2026</w:t>
            </w:r>
          </w:p>
        </w:tc>
        <w:tc>
          <w:tcPr>
            <w:tcW w:type="dxa" w:w="1728"/>
            <w:shd w:val="clear" w:color="auto" w:fill="D9D9D9"/>
          </w:tcPr>
          <w:p>
            <w:r/>
            <w:r>
              <w:rPr>
                <w:sz w:val="19"/>
              </w:rPr>
              <w:t>2026/2027</w:t>
            </w:r>
          </w:p>
        </w:tc>
      </w:tr>
      <w:tr>
        <w:tc>
          <w:tcPr>
            <w:tcW w:type="dxa" w:w="1728"/>
          </w:tcPr>
          <w:p>
            <w:r/>
            <w:r>
              <w:rPr>
                <w:b w:val="0"/>
                <w:sz w:val="19"/>
              </w:rPr>
              <w:t>1</w:t>
            </w:r>
          </w:p>
        </w:tc>
        <w:tc>
          <w:tcPr>
            <w:tcW w:type="dxa" w:w="1728"/>
          </w:tcPr>
          <w:p>
            <w:r/>
            <w:r>
              <w:rPr>
                <w:b w:val="0"/>
                <w:sz w:val="19"/>
              </w:rPr>
              <w:t>Jumlah mahasiswa penerima beasiswa (internal dan/atau eksternal) per tahun</w:t>
            </w:r>
          </w:p>
        </w:tc>
        <w:tc>
          <w:tcPr>
            <w:tcW w:type="dxa" w:w="1728"/>
          </w:tcPr>
          <w:p>
            <w:r/>
            <w:r>
              <w:rPr>
                <w:b w:val="0"/>
                <w:sz w:val="19"/>
              </w:rPr>
              <w:t>≥20</w:t>
            </w:r>
          </w:p>
        </w:tc>
        <w:tc>
          <w:tcPr>
            <w:tcW w:type="dxa" w:w="1728"/>
          </w:tcPr>
          <w:p>
            <w:r/>
            <w:r>
              <w:rPr>
                <w:b w:val="0"/>
                <w:sz w:val="19"/>
              </w:rPr>
              <w:t>≥25</w:t>
            </w:r>
          </w:p>
        </w:tc>
        <w:tc>
          <w:tcPr>
            <w:tcW w:type="dxa" w:w="1728"/>
          </w:tcPr>
          <w:p>
            <w:r/>
            <w:r>
              <w:rPr>
                <w:b w:val="0"/>
                <w:sz w:val="19"/>
              </w:rPr>
              <w:t>≥30</w:t>
            </w:r>
          </w:p>
        </w:tc>
      </w:tr>
      <w:tr>
        <w:tc>
          <w:tcPr>
            <w:tcW w:type="dxa" w:w="1728"/>
          </w:tcPr>
          <w:p>
            <w:r/>
            <w:r>
              <w:rPr>
                <w:b w:val="0"/>
                <w:sz w:val="19"/>
              </w:rPr>
              <w:t>2</w:t>
            </w:r>
          </w:p>
        </w:tc>
        <w:tc>
          <w:tcPr>
            <w:tcW w:type="dxa" w:w="1728"/>
          </w:tcPr>
          <w:p>
            <w:r/>
            <w:r>
              <w:rPr>
                <w:b w:val="0"/>
                <w:sz w:val="19"/>
              </w:rPr>
              <w:t>Persentase penyelesaian Rencana Tindak Lanjut (RTL) hasil AMI/evaluasi layanan kemahasiswaan</w:t>
            </w:r>
          </w:p>
        </w:tc>
        <w:tc>
          <w:tcPr>
            <w:tcW w:type="dxa" w:w="1728"/>
          </w:tcPr>
          <w:p>
            <w:r/>
            <w:r>
              <w:rPr>
                <w:b w:val="0"/>
                <w:sz w:val="19"/>
              </w:rPr>
              <w:t>≥80%</w:t>
            </w:r>
          </w:p>
        </w:tc>
        <w:tc>
          <w:tcPr>
            <w:tcW w:type="dxa" w:w="1728"/>
          </w:tcPr>
          <w:p>
            <w:r/>
            <w:r>
              <w:rPr>
                <w:b w:val="0"/>
                <w:sz w:val="19"/>
              </w:rPr>
              <w:t>≥90%</w:t>
            </w:r>
          </w:p>
        </w:tc>
        <w:tc>
          <w:tcPr>
            <w:tcW w:type="dxa" w:w="1728"/>
          </w:tcPr>
          <w:p>
            <w:r/>
            <w:r>
              <w:rPr>
                <w:b w:val="0"/>
                <w:sz w:val="19"/>
              </w:rPr>
              <w:t>100%</w:t>
            </w:r>
          </w:p>
        </w:tc>
      </w:tr>
      <w:tr>
        <w:tc>
          <w:tcPr>
            <w:tcW w:type="dxa" w:w="1728"/>
          </w:tcPr>
          <w:p>
            <w:r/>
            <w:r>
              <w:rPr>
                <w:b w:val="0"/>
                <w:sz w:val="19"/>
              </w:rPr>
              <w:t>3</w:t>
            </w:r>
          </w:p>
        </w:tc>
        <w:tc>
          <w:tcPr>
            <w:tcW w:type="dxa" w:w="1728"/>
          </w:tcPr>
          <w:p>
            <w:r/>
            <w:r>
              <w:rPr>
                <w:b w:val="0"/>
                <w:sz w:val="19"/>
              </w:rPr>
              <w:t>Jumlah organisasi/unit kegiatan kemahasiswaan aktif dan terdokumentasi di FTII</w:t>
            </w:r>
          </w:p>
        </w:tc>
        <w:tc>
          <w:tcPr>
            <w:tcW w:type="dxa" w:w="1728"/>
          </w:tcPr>
          <w:p>
            <w:r/>
            <w:r>
              <w:rPr>
                <w:b w:val="0"/>
                <w:sz w:val="19"/>
              </w:rPr>
              <w:t>≥5</w:t>
            </w:r>
          </w:p>
        </w:tc>
        <w:tc>
          <w:tcPr>
            <w:tcW w:type="dxa" w:w="1728"/>
          </w:tcPr>
          <w:p>
            <w:r/>
            <w:r>
              <w:rPr>
                <w:b w:val="0"/>
                <w:sz w:val="19"/>
              </w:rPr>
              <w:t>≥6</w:t>
            </w:r>
          </w:p>
        </w:tc>
        <w:tc>
          <w:tcPr>
            <w:tcW w:type="dxa" w:w="1728"/>
          </w:tcPr>
          <w:p>
            <w:r/>
            <w:r>
              <w:rPr>
                <w:b w:val="0"/>
                <w:sz w:val="19"/>
              </w:rPr>
              <w:t>≥7</w:t>
            </w:r>
          </w:p>
        </w:tc>
      </w:tr>
      <w:tr>
        <w:tc>
          <w:tcPr>
            <w:tcW w:type="dxa" w:w="1728"/>
          </w:tcPr>
          <w:p>
            <w:r/>
            <w:r>
              <w:rPr>
                <w:b w:val="0"/>
                <w:sz w:val="19"/>
              </w:rPr>
              <w:t>4</w:t>
            </w:r>
          </w:p>
        </w:tc>
        <w:tc>
          <w:tcPr>
            <w:tcW w:type="dxa" w:w="1728"/>
          </w:tcPr>
          <w:p>
            <w:r/>
            <w:r>
              <w:rPr>
                <w:b w:val="0"/>
                <w:sz w:val="19"/>
              </w:rPr>
              <w:t>Indeks pemanfaatan layanan bimbingan konseling oleh mahasiswa yang membutuhkan</w:t>
            </w:r>
          </w:p>
        </w:tc>
        <w:tc>
          <w:tcPr>
            <w:tcW w:type="dxa" w:w="1728"/>
          </w:tcPr>
          <w:p>
            <w:r/>
            <w:r>
              <w:rPr>
                <w:b w:val="0"/>
                <w:sz w:val="19"/>
              </w:rPr>
              <w:t>≥80%</w:t>
            </w:r>
          </w:p>
        </w:tc>
        <w:tc>
          <w:tcPr>
            <w:tcW w:type="dxa" w:w="1728"/>
          </w:tcPr>
          <w:p>
            <w:r/>
            <w:r>
              <w:rPr>
                <w:b w:val="0"/>
                <w:sz w:val="19"/>
              </w:rPr>
              <w:t>≥85%</w:t>
            </w:r>
          </w:p>
        </w:tc>
        <w:tc>
          <w:tcPr>
            <w:tcW w:type="dxa" w:w="1728"/>
          </w:tcPr>
          <w:p>
            <w:r/>
            <w:r>
              <w:rPr>
                <w:b w:val="0"/>
                <w:sz w:val="19"/>
              </w:rPr>
              <w:t>≥90%</w:t>
            </w:r>
          </w:p>
        </w:tc>
      </w:tr>
    </w:tbl>
    <w:p/>
    <w:p>
      <w:pPr>
        <w:spacing w:before="280" w:after="120"/>
      </w:pPr>
      <w:r>
        <w:rPr>
          <w:b/>
          <w:sz w:val="26"/>
        </w:rPr>
        <w:t>5. STRATEGI PENCAPAIAN</w:t>
      </w:r>
    </w:p>
    <w:p>
      <w:pPr>
        <w:pStyle w:val="ListNumber"/>
        <w:spacing w:after="120"/>
      </w:pPr>
      <w:r>
        <w:t>Universitas melalui unit yang menangani PMB bersama FTII menyusun dan memutakhirkan pedoman serta sistem rekrutmen dan seleksi mahasiswa baru yang transparan, objektif, akuntabel, dan berkeadilan, mencakup ketentuan perluasan akses dan afirmasi.</w:t>
      </w:r>
    </w:p>
    <w:p>
      <w:pPr>
        <w:pStyle w:val="ListNumber"/>
        <w:spacing w:after="120"/>
      </w:pPr>
      <w:r>
        <w:t>FTII bersama Program Studi melaksanakan promosi terjadwal (kunjungan sekolah, pameran pendidikan, media sosial, website) dengan target dan evaluasi kuantitatif peningkatan pendaftar ≥10% per tahun.</w:t>
      </w:r>
    </w:p>
    <w:p>
      <w:pPr>
        <w:pStyle w:val="ListNumber"/>
        <w:spacing w:after="120"/>
      </w:pPr>
      <w:r>
        <w:t>Dekan FTII menetapkan dan mensosialisasikan pedoman layanan kemahasiswaan (7 komponen) kepada seluruh program studi, dengan penunjukan penanggung jawab layanan pada setiap komponen.</w:t>
      </w:r>
    </w:p>
    <w:p>
      <w:pPr>
        <w:pStyle w:val="ListNumber"/>
        <w:spacing w:after="120"/>
      </w:pPr>
      <w:r>
        <w:t>Unit Kemahasiswaan FTII menyusun dan melaksanakan instrumen survei kepuasan mahasiswa terhadap layanan kemahasiswaan setiap tahun akademik, menganalisis hasil, dan menetapkan target peningkatan kepuasan menuju ≥90%.</w:t>
      </w:r>
    </w:p>
    <w:p>
      <w:pPr>
        <w:pStyle w:val="ListNumber"/>
        <w:spacing w:after="120"/>
      </w:pPr>
      <w:r>
        <w:t>UJM FTII dan GKM Program Studi melaksanakan monitoring dan evaluasi internal layanan kemahasiswaan setiap tahun, merumuskan rekomendasi perbaikan, dan mengoordinasikan tindak lanjut bersama Ketua Program Studi hingga tercapai ≥95% penyelesaian.</w:t>
      </w:r>
    </w:p>
    <w:p>
      <w:pPr>
        <w:pStyle w:val="ListNumber"/>
        <w:spacing w:after="120"/>
      </w:pPr>
      <w:r>
        <w:t>Dosen Pembimbing Kemahasiswaan dan Ketua Program Studi melakukan pembinaan dan pendampingan mahasiswa berprestasi secara terjadwal, menyebarluaskan informasi kompetisi/hibah/PKM, dan mendokumentasikan bukti pengakuan (rekognisi) dari DUDIKA dan masyarakat.</w:t>
      </w:r>
    </w:p>
    <w:p>
      <w:pPr>
        <w:pStyle w:val="ListNumber"/>
        <w:spacing w:after="120"/>
      </w:pPr>
      <w:r>
        <w:t>Ketua Program Studi melakukan pendataan prestasi mahasiswa akademik dan non-akademik per program studi secara sistematis (basis data terpusat), dilaporkan setiap semester untuk memastikan pemenuhan ambang per program studi dan rasio terhadap populasi mahasiswa.</w:t>
      </w:r>
    </w:p>
    <w:p>
      <w:pPr>
        <w:pStyle w:val="ListNumber"/>
        <w:spacing w:after="120"/>
      </w:pPr>
      <w:r>
        <w:t>Fakultas bersama unit kerjasama internasional mengembangkan program mobilitas dan pertukaran mahasiswa asing (inbound), termasuk kerja sama dengan universitas mitra luar negeri, guna mencapai target persentase mahasiswa asing ≥1%.</w:t>
      </w:r>
    </w:p>
    <w:p>
      <w:pPr>
        <w:pStyle w:val="ListNumber"/>
        <w:spacing w:after="120"/>
      </w:pPr>
      <w:r>
        <w:t>Dosen di lingkungan FTII melibatkan mahasiswa dalam kegiatan penelitian dan/atau PkM sesuai roadmap penelitian dan PKM fakultas, serta memfasilitasi publikasi hasil pada jurnal, prosiding, HKI, atau buku ber-ISBN.</w:t>
      </w:r>
    </w:p>
    <w:p>
      <w:pPr>
        <w:pStyle w:val="ListNumber"/>
        <w:spacing w:after="120"/>
      </w:pPr>
      <w:r>
        <w:t>Unit Pengembangan Karier dan Alumni bersama Ketua Program Studi melaksanakan tracer study dan survei kepuasan pengguna lulusan yang terkoordinasi di tingkat universitas, selaras dengan mekanisme pada Standar Luaran Pendidikan FTII.</w:t>
      </w:r>
    </w:p>
    <w:p>
      <w:pPr>
        <w:pStyle w:val="ListNumber"/>
        <w:spacing w:after="120"/>
      </w:pPr>
      <w:r>
        <w:t>Fakultas bersama Unit Sertifikasi Kompetensi (LTC) dan mitra DUDIKA menyelenggarakan program pembinaan kewirausahaan (pelatihan, inkubasi bisnis, business coaching) yang ditargetkan menjangkau jumlah mahasiswa yang meningkat setiap tahun menuju ≥100 orang/tahun.</w:t>
      </w:r>
    </w:p>
    <w:p>
      <w:pPr>
        <w:pStyle w:val="ListNumber"/>
        <w:spacing w:after="120"/>
      </w:pPr>
      <w:r>
        <w:t>DJM dan UJM Fakultas melaksanakan Audit Mutu Internal (AMI) atas implementasi Standar Kemahasiswaan setiap tahun, menyusun temuan, dan mengoordinasikan penyelesaian Rencana Tindak Lanjut (RTL) bersama Dekan FTII.</w:t>
      </w:r>
    </w:p>
    <w:p>
      <w:pPr>
        <w:pStyle w:val="ListNumber"/>
        <w:spacing w:after="120"/>
      </w:pPr>
      <w:r>
        <w:t>Ketua Program Studi bersama dosen pembimbing memfasilitasi dan mendokumentasikan produk/jasa karya mahasiswa yang berpotensi diadopsi industri/masyarakat, berkoordinasi dengan mitra DUDIKA dan unit kerja sama fakultas untuk memperoleh surat keterangan adopsi/pemanfaatan.</w:t>
      </w:r>
    </w:p>
    <w:p>
      <w:pPr>
        <w:pStyle w:val="ListNumber"/>
        <w:spacing w:after="120"/>
      </w:pPr>
      <w:r>
        <w:t>UJM Fakultas bersama GKM Program Studi melaksanakan root-cause analysis dan SWOT tahunan atas ketercapaian Standar Kemahasiswaan mengikuti template dan prosedur yang ditetapkan Standar Penjaminan Mutu Internal FTII, hasilnya menjadi bahan wajib RTM.</w:t>
      </w:r>
    </w:p>
    <w:p>
      <w:pPr>
        <w:spacing w:before="280" w:after="120"/>
      </w:pPr>
      <w:r>
        <w:rPr>
          <w:b/>
          <w:sz w:val="26"/>
        </w:rPr>
        <w:t>6. MEKANISME EVALUASI</w:t>
      </w:r>
    </w:p>
    <w:p>
      <w:pPr>
        <w:pStyle w:val="ListNumber"/>
        <w:spacing w:after="120"/>
      </w:pPr>
      <w:r>
        <w:t>Evaluasi pelaksanaan PMB dilakukan oleh Dekan FTII setiap tahun berdasarkan data rekapitulasi pendaftar dan mahasiswa baru, untuk memastikan pencapaian target peningkatan pendaftar ≥10%.</w:t>
      </w:r>
    </w:p>
    <w:p>
      <w:pPr>
        <w:pStyle w:val="ListNumber"/>
        <w:spacing w:after="120"/>
      </w:pPr>
      <w:r>
        <w:t>Evaluasi layanan kemahasiswaan dilakukan oleh UJM FTII bersama GKM Program Studi setiap tahun akademik berdasarkan hasil survei kepuasan mahasiswa dan monitoring internal, dengan hasil dilaporkan kepada Dekan FTII.</w:t>
      </w:r>
    </w:p>
    <w:p>
      <w:pPr>
        <w:pStyle w:val="ListNumber"/>
        <w:spacing w:after="120"/>
      </w:pPr>
      <w:r>
        <w:t>Verifikasi data prestasi mahasiswa, mahasiswa asing, dan luaran penelitian/PkM mahasiswa dilakukan oleh Ketua Program Studi berdasarkan dokumen bukti (sertifikat, surat keterangan, bukti publikasi/HKI) yang divalidasi oleh GKM Program Studi setiap semester.</w:t>
      </w:r>
    </w:p>
    <w:p>
      <w:pPr>
        <w:pStyle w:val="ListNumber"/>
        <w:spacing w:after="120"/>
      </w:pPr>
      <w:r>
        <w:t>Pelaksanaan tracer study dan survei kepuasan pengguna lulusan dievaluasi oleh Unit Pengembangan Karier dan Alumni bersama Ketua Program Studi setiap tahun, selaras dengan mekanisme evaluasi Standar Luaran Pendidikan FTII.</w:t>
      </w:r>
    </w:p>
    <w:p>
      <w:pPr>
        <w:pStyle w:val="ListNumber"/>
        <w:spacing w:after="120"/>
      </w:pPr>
      <w:r>
        <w:t>Audit Mutu Internal (AMI) dilaksanakan oleh DJM dan UJM Fakultas paling sedikit 1 (satu) kali per tahun untuk memastikan kesesuaian pelaksanaan seluruh indikator pada standar ini terhadap ambang yang ditetapkan.</w:t>
      </w:r>
    </w:p>
    <w:p>
      <w:pPr>
        <w:pStyle w:val="ListNumber"/>
        <w:spacing w:after="120"/>
      </w:pPr>
      <w:r>
        <w:t>Rapat Tinjauan Manajemen (RTM) tingkat Fakultas diselenggarakan setelah setiap siklus AMI untuk membahas hasil evaluasi, capaian terhadap ambang target, dan menyusun Rencana Tindak Lanjut (RTL) yang ditargetkan selesai paling sedikit 80% pada tahun berjalan.</w:t>
      </w:r>
    </w:p>
    <w:p>
      <w:pPr>
        <w:pStyle w:val="ListNumber"/>
        <w:spacing w:after="120"/>
      </w:pPr>
      <w:r>
        <w:t>Peninjauan menyeluruh terhadap Standar Kemahasiswaan dilakukan paling sedikit 1 (satu) kali setiap siklus Renstra (4-5 tahun), atau lebih cepat apabila terdapat perubahan signifikan pada kriteria LAM Teknik/LAM INFOKOM atau kebijakan Permendikbudristek.</w:t>
      </w:r>
    </w:p>
    <w:p>
      <w:pPr>
        <w:pStyle w:val="ListNumber"/>
        <w:spacing w:after="120"/>
      </w:pPr>
      <w:r>
        <w:t>Verifikasi produk/jasa karya mahasiswa yang diadopsi industri/masyarakat dilakukan oleh Ketua Program Studi berdasarkan surat keterangan adopsi/pemanfaatan, divalidasi oleh GKM Program Studi setiap tahun.</w:t>
      </w:r>
    </w:p>
    <w:p>
      <w:pPr>
        <w:pStyle w:val="ListNumber"/>
        <w:spacing w:after="120"/>
      </w:pPr>
      <w:r>
        <w:t>Root-cause analysis dan SWOT tahunan atas Standar Kemahasiswaan dievaluasi oleh UJM Fakultas paling sedikit 1 (satu) kali setiap akhir tahun akademik, sesuai mekanisme yang diatur Standar Penjaminan Mutu Internal FTII, dan wajib dibahas dalam RTM.</w:t>
      </w:r>
    </w:p>
    <w:p>
      <w:pPr>
        <w:spacing w:before="280" w:after="120"/>
      </w:pPr>
      <w:r>
        <w:rPr>
          <w:b/>
          <w:sz w:val="26"/>
        </w:rPr>
        <w:t>7. DOKUMEN / BUKTI PENDUKUNG</w:t>
      </w:r>
    </w:p>
    <w:p>
      <w:pPr>
        <w:pStyle w:val="ListNumber"/>
        <w:spacing w:after="120"/>
      </w:pPr>
      <w:r>
        <w:t>Keputusan Rektor tentang penetapan Standar Kemahasiswaan FTII.</w:t>
      </w:r>
    </w:p>
    <w:p>
      <w:pPr>
        <w:pStyle w:val="ListNumber"/>
        <w:spacing w:after="120"/>
      </w:pPr>
      <w:r>
        <w:t>Pedoman dan sistem rekrutmen-seleksi mahasiswa baru, beserta data rekapitulasi pendaftar dan mahasiswa baru per tahun.</w:t>
      </w:r>
    </w:p>
    <w:p>
      <w:pPr>
        <w:pStyle w:val="ListNumber"/>
        <w:spacing w:after="120"/>
      </w:pPr>
      <w:r>
        <w:t>Pedoman layanan kemahasiswaan (7 komponen: minat-bakat, organisasi, karier, kewirausahaan, beasiswa, konseling, kesehatan) beserta bukti implementasi per program studi.</w:t>
      </w:r>
    </w:p>
    <w:p>
      <w:pPr>
        <w:pStyle w:val="ListNumber"/>
        <w:spacing w:after="120"/>
      </w:pPr>
      <w:r>
        <w:t>Instrumen dan laporan hasil survei kepuasan mahasiswa terhadap layanan kemahasiswaan.</w:t>
      </w:r>
    </w:p>
    <w:p>
      <w:pPr>
        <w:pStyle w:val="ListNumber"/>
        <w:spacing w:after="120"/>
      </w:pPr>
      <w:r>
        <w:t>Laporan monitoring dan evaluasi internal layanan kemahasiswaan beserta dokumen tindak lanjut.</w:t>
      </w:r>
    </w:p>
    <w:p>
      <w:pPr>
        <w:pStyle w:val="ListNumber"/>
        <w:spacing w:after="120"/>
      </w:pPr>
      <w:r>
        <w:t>Basis data dan dokumentasi/sertifikat prestasi mahasiswa akademik dan non-akademik per program studi (tingkat lokal, nasional, internasional).</w:t>
      </w:r>
    </w:p>
    <w:p>
      <w:pPr>
        <w:pStyle w:val="ListNumber"/>
        <w:spacing w:after="120"/>
      </w:pPr>
      <w:r>
        <w:t>Dokumen dan data mahasiswa asing (inbound/pertukaran) beserta bukti kerja sama internasional pendukung.</w:t>
      </w:r>
    </w:p>
    <w:p>
      <w:pPr>
        <w:pStyle w:val="ListNumber"/>
        <w:spacing w:after="120"/>
      </w:pPr>
      <w:r>
        <w:t>Dokumentasi dan bukti luaran penelitian/PkM mahasiswa (publikasi, HKI, teknologi tepat guna, buku ber-ISBN).</w:t>
      </w:r>
    </w:p>
    <w:p>
      <w:pPr>
        <w:pStyle w:val="ListNumber"/>
        <w:spacing w:after="120"/>
      </w:pPr>
      <w:r>
        <w:t>Laporan tracer study dan survei kepuasan pengguna lulusan.</w:t>
      </w:r>
    </w:p>
    <w:p>
      <w:pPr>
        <w:pStyle w:val="ListNumber"/>
        <w:spacing w:after="120"/>
      </w:pPr>
      <w:r>
        <w:t>Dokumentasi program dan data mahasiswa terlibat kegiatan kewirausahaan.</w:t>
      </w:r>
    </w:p>
    <w:p>
      <w:pPr>
        <w:pStyle w:val="ListNumber"/>
        <w:spacing w:after="120"/>
      </w:pPr>
      <w:r>
        <w:t>Laporan Audit Mutu Internal (AMI) dan Berita Acara Rapat Tinjauan Manajemen (RTM) atas Standar Kemahasiswaan.</w:t>
      </w:r>
    </w:p>
    <w:p>
      <w:pPr>
        <w:pStyle w:val="ListNumber"/>
        <w:spacing w:after="120"/>
      </w:pPr>
      <w:r>
        <w:t>Rencana Tindak Lanjut (RTL) hasil evaluasi dan AMI periode berjalan.</w:t>
      </w:r>
    </w:p>
    <w:p>
      <w:pPr>
        <w:pStyle w:val="ListNumber"/>
        <w:spacing w:after="120"/>
      </w:pPr>
      <w:r>
        <w:t>Instrumen Akreditasi Program Studi LAM INFOKOM (Kriteria Unggul 2.1) dan Matriks Penilaian LED-LKPS LAM Teknik APS-AV 2025 1.0 sebagai acuan kalibrasi ambang indikator.</w:t>
      </w:r>
    </w:p>
    <w:p/>
    <w:p>
      <w:pPr>
        <w:pStyle w:val="ListNumber"/>
        <w:spacing w:after="120"/>
      </w:pPr>
      <w:r>
        <w:t>Dokumentasi dan surat keterangan adopsi/pemanfaatan produk atau jasa karya mahasiswa oleh industri dan/atau masyarakat.</w:t>
      </w:r>
    </w:p>
    <w:p>
      <w:pPr>
        <w:pStyle w:val="ListNumber"/>
        <w:spacing w:after="120"/>
      </w:pPr>
      <w:r>
        <w:t>Dokumen root-cause analysis dan SWOT tahunan atas Standar Kemahasiswaan, sesuai template Standar Penjaminan Mutu Internal FTII, beserta berita acara pembahasannya dalam RTM.</w:t>
      </w: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