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0"/>
        </w:rPr>
        <w:t>STANDAR KERJASAMA</w:t>
      </w:r>
    </w:p>
    <w:p>
      <w:pPr>
        <w:jc w:val="center"/>
      </w:pPr>
      <w:r>
        <w:rPr>
          <w:b/>
          <w:sz w:val="26"/>
        </w:rPr>
        <w:t>FAKULTAS TEKNOLOGI INFORMASI DAN INDUSTRI (FTII)</w:t>
      </w:r>
    </w:p>
    <w:p>
      <w:pPr>
        <w:jc w:val="center"/>
      </w:pPr>
      <w:r>
        <w:rPr>
          <w:b w:val="0"/>
          <w:sz w:val="22"/>
        </w:rPr>
        <w:t>Disusun untuk memenuhi ambang kriteria status Terakreditasi Unggul LAM INFOKOM dan LAM Teknik (APS-AV 2025 1.0), dengan indikator standar yang terukur</w:t>
      </w:r>
    </w:p>
    <w:p/>
    <w:p>
      <w:pPr>
        <w:spacing w:after="120"/>
      </w:pPr>
      <w:r>
        <w:t>Dokumen ini merupakan revisi ke-2 dari Standar Kerjasama FTII UNISBANK (efektif 24 Desember 2024). Revisi pertama disusun berdasarkan hasil pemetaan terhadap 5 dokumen rujukan (Panduan SPMI Sarjana dan Sarjana Terapan 2024 SK Rektor/R1, Matriks Penilaian LED-LKPS Sarjana APS Akademik dan Vokasi Teknik 2025 LAM Teknik/R2, Kriteria Unggul 2.1 LAM INFOKOM/R3, Dokumen SPMI Fasilkom 2023 rev UPN Veteran Jatim/R4, dan 9. Standar SPMI Tahun 2022 Universitas Trunojoyo Madura/R5), didokumentasikan pada Pemetaan_Standar_Kerjasama_FTII_vs_5_Dokumen_Rujukan.docx. Revisi ke-2 ini menutup 2 (dua) gap tambahan yang ditemukan pada pemetaan kepatuhan terhadap Kriteria C.2 Akuntabilitas Pedoman Penyusunan LEDPS LAM Teknik 2025 (Kepatuhan_Standar_TataKelola_Kerjasama_FTII_vs_Kriteria_C2_LEDPS_LAM_Teknik.docx): (a) relevansi kerja sama terhadap 'visi keilmuan program studi' belum tersurat eksplisit, baru tersirat melalui indikator kinerja program studi secara umum; dan (b) analisis SWOT sama sekali tidak disebut pada standar ini. Standar ini kini menambahkan kewajiban keterkaitan eksplisit setiap kerja sama pendidikan-penelitian-PkM dengan visi keilmuan program studi, serta root-cause analysis dan SWOT tahunan sesuai mekanisme lintas-standar yang diwajibkan Standar Penjaminan Mutu Internal FTII versi Unggul. Seluruh ambang indikator kuantitatif pada dokumen ini ditetapkan setara atau melampaui deskriptor skor tertinggi (skor 4) Kriteria 2.3.1-2.3.2 (Kerjasama) pada Panduan SPMI R1 dan Kriteria 2.2 (Kerjasama) pada Matriks Penilaian LAM Teknik APS-AV 2025 1.0.</w:t>
      </w:r>
    </w:p>
    <w:p/>
    <w:p>
      <w:pPr>
        <w:spacing w:before="280" w:after="120"/>
      </w:pPr>
      <w:r>
        <w:rPr>
          <w:b/>
          <w:sz w:val="26"/>
        </w:rPr>
        <w:t>1. RASIONAL</w:t>
      </w:r>
    </w:p>
    <w:p>
      <w:pPr>
        <w:spacing w:after="120"/>
      </w:pPr>
      <w:r>
        <w:rPr>
          <w:b w:val="0"/>
          <w:i w:val="0"/>
        </w:rPr>
        <w:t>Fakultas Teknologi Informasi dan Industri (FTII) UNISBANK menetapkan Standar Kerjasama sebagai instrumen strategis untuk memperluas jejaring kemitraan, memperkuat pelaksanaan Tridharma Perguruan Tinggi, serta meningkatkan mutu akademik dan non-akademik secara berkelanjutan, sejalan dengan Misi FTII untuk 'mengembangkan kerja sama dalam bidang pendidikan, penelitian, pengabdian, serta kerja praktik dengan industri teknologi, manufaktur, dan UMKM pada tingkat lokal, nasional, dan internasional'.</w:t>
      </w:r>
    </w:p>
    <w:p>
      <w:pPr>
        <w:spacing w:after="120"/>
      </w:pPr>
      <w:r>
        <w:rPr>
          <w:b w:val="0"/>
          <w:i w:val="0"/>
        </w:rPr>
        <w:t>Standar ini disusun tidak hanya untuk memenuhi ketentuan minimal Permendikbudristek Nomor 53 Tahun 2023 tentang Penjaminan Mutu Pendidikan Tinggi, tetapi secara khusus dirancang agar setiap indikator kinerjanya memenuhi atau melampaui ambang skor tertinggi (skor 4) pada butir 2.3.1-2.3.2 (Kerjasama) Panduan SPMI R1 dan Kriteria 2.2 (Kerjasama) Matriks Penilaian LAM Teknik APS-AV 2025 1.0, yang menilai kerja sama berdasarkan tiga dimensi: relevansi (rasio kerja sama terhadap jumlah dosen tetap program studi/NDTPS), sebaran tingkat internasional-nasional-wilayah, dan pemenuhan tiga aspek kualitas (manfaat, peningkatan kinerja tridharma, dan kepuasan mitra). Dengan demikian, Standar Kerjasama ini berfungsi ganda: sebagai instrumen penjaminan mutu internal (SPMI) dan sebagai instrumen kesiapan akreditasi eksternal Unggul.</w:t>
      </w:r>
    </w:p>
    <w:p>
      <w:pPr>
        <w:spacing w:after="120"/>
      </w:pPr>
      <w:r>
        <w:rPr>
          <w:b w:val="0"/>
          <w:i w:val="0"/>
        </w:rPr>
        <w:t>Penyusunan standar ini didasarkan pada hasil pemetaan (gap analysis) terhadap dokumen Standar Kerjasama FTII sebelumnya terhadap kelima dokumen rujukan. Sebagian besar ketentuan FTII (7 dari 9 tema) telah SELARAS PENUH atau lebih unggul dari kelima rujukan, terutama pada cakupan ruang lingkup kerja sama, rubrik manfaat-kepuasan mitra yang identik dengan R1/R2, serta legalitas kerja sama (MoU/MoA/IA). Pemetaan tersebut mengidentifikasi 2 (dua) area yang memerlukan penambahan pernyataan standar baru agar setara dengan praktik terbaik akreditasi Unggul, yaitu: (a) ketentuan sistem informasi/database kerja sama terpusat dengan tenggat pemutakhiran data yang terukur mengikuti pola R5 (Universitas Trunojoyo Madura); dan (b) ketentuan alokasi pendanaan kerja sama tahunan yang eksplisit mengikuti pola R5.</w:t>
      </w:r>
    </w:p>
    <w:p>
      <w:pPr>
        <w:spacing w:after="120"/>
      </w:pPr>
      <w:r>
        <w:rPr>
          <w:b w:val="0"/>
          <w:i w:val="0"/>
        </w:rPr>
        <w:t>Standar ini juga menegaskan kewajiban penghitungan rasio kerja sama terhadap jumlah dosen tetap program studi (NDTPS) sesuai formula R1/R2, sebagai pelengkap target angka absolut yang telah dimiliki FTII, agar capaian kerja sama FTII dapat diverifikasi secara langsung terhadap ambang skor 4 LAM Teknik saat penyusunan Laporan Kinerja Program Studi (LKPS).</w:t>
      </w:r>
    </w:p>
    <w:p>
      <w:pPr>
        <w:spacing w:before="280" w:after="120"/>
      </w:pPr>
      <w:r>
        <w:rPr>
          <w:b/>
          <w:sz w:val="26"/>
        </w:rPr>
        <w:t>2. PIHAK YANG BERTANGGUNG JAWAB</w:t>
      </w:r>
    </w:p>
    <w:p>
      <w:pPr>
        <w:pStyle w:val="ListNumber"/>
        <w:spacing w:after="120"/>
      </w:pPr>
      <w:r>
        <w:t>Penetapan: Rektor menetapkan Standar Kerjasama FTII berdasarkan usulan dan hasil kajian Direktorat terkait, Direktorat Jaminan Mutu (DJM), dan Dekan FTII.</w:t>
      </w:r>
    </w:p>
    <w:p>
      <w:pPr>
        <w:pStyle w:val="ListNumber"/>
        <w:spacing w:after="120"/>
      </w:pPr>
      <w:r>
        <w:t>Pelaksanaan: Wakil Rektor yang membidangi kerja sama, Direktorat/unit pengelola kerja sama universitas, Dekan FTII, Ketua Program Studi, dosen, serta unit terkait di lingkungan FTII melaksanakan kerja sama sesuai ruang lingkup dan bidang yang disepakati, termasuk pemutakhiran data pada sistem informasi kerja sama.</w:t>
      </w:r>
    </w:p>
    <w:p>
      <w:pPr>
        <w:pStyle w:val="ListNumber"/>
        <w:spacing w:after="120"/>
      </w:pPr>
      <w:r>
        <w:t>Evaluasi: Direktorat Jaminan Mutu (DJM) bersama unit pengelola kerja sama universitas, Dekanat FTII, dan Gugus Kendali Mutu (GKM) Program Studi melaksanakan monitoring dan evaluasi, Audit Mutu Internal (AMI), serta verifikasi rasio dan sebaran kerja sama secara berkala.</w:t>
      </w:r>
    </w:p>
    <w:p>
      <w:pPr>
        <w:pStyle w:val="ListNumber"/>
        <w:spacing w:after="120"/>
      </w:pPr>
      <w:r>
        <w:t>Pengendalian: Wakil Rektor yang membidangi kerja sama, DJM, unit pengelola kerja sama universitas, Dekan FTII, dan Ketua Program Studi menindaklanjuti hasil evaluasi, memastikan legalitas dokumen kerja sama (MoU/MoA/IA), dan mengendalikan alokasi pendanaan kerja sama tahunan.</w:t>
      </w:r>
    </w:p>
    <w:p>
      <w:pPr>
        <w:pStyle w:val="ListNumber"/>
        <w:spacing w:after="120"/>
      </w:pPr>
      <w:r>
        <w:t>Peningkatan: Rektor, Wakil Rektor yang membidangi kerja sama, DJM, unit pengelola kerja sama universitas, Dekan FTII, dan Ketua Program Studi mengembangkan kebijakan, memperluas jejaring nasional-internasional, dan menyempurnakan indikator kerja sama berdasarkan hasil evaluasi dan perubahan lingkungan strategis pada setiap siklus Renstra.</w:t>
      </w:r>
    </w:p>
    <w:p>
      <w:pPr>
        <w:spacing w:before="280" w:after="120"/>
      </w:pPr>
      <w:r>
        <w:rPr>
          <w:b/>
          <w:sz w:val="26"/>
        </w:rPr>
        <w:t>3. PERNYATAAN STANDAR</w:t>
      </w:r>
    </w:p>
    <w:p>
      <w:pPr>
        <w:pStyle w:val="ListNumber"/>
        <w:spacing w:after="120"/>
      </w:pPr>
      <w:r>
        <w:t>FTII wajib memiliki dokumen kebijakan, standar, Indikator Kinerja Utama (IKU), Indikator Kinerja Tambahan (IKT), serta pedoman/SOP kerja sama yang selaras dengan kebijakan universitas, dengan tingkat penerapan pada program studi/unit kerja paling sedikit 90% pada tahun pertama, meningkat menjadi 100% paling lambat pada tahun ketiga penerapan standar.</w:t>
      </w:r>
    </w:p>
    <w:p>
      <w:pPr>
        <w:pStyle w:val="ListNumber"/>
        <w:spacing w:after="120"/>
      </w:pPr>
      <w:r>
        <w:t>FTII wajib memiliki lembaga/unit pengelola kerja sama tingkat fakultas yang berkoordinasi dengan unit pengelola kerja sama tingkat universitas untuk mengoordinasikan, memfasilitasi, memonitor, dan mengevaluasi kegiatan kerja sama.</w:t>
      </w:r>
    </w:p>
    <w:p>
      <w:pPr>
        <w:pStyle w:val="ListNumber"/>
        <w:spacing w:after="120"/>
      </w:pPr>
      <w:r>
        <w:t>Ruang lingkup kerja sama FTII mencakup bidang pendidikan (joint/twinning program, pertukaran dosen-mahasiswa-tendik, MBKM), penelitian dan publikasi bersama, pengabdian kepada masyarakat bersama, pemanfaatan sarana-prasarana bersama, serta kerja sama non-akademik dan pengembangan inovasi/kewirausahaan/hilirisasi hasil tridharma.</w:t>
      </w:r>
    </w:p>
    <w:p>
      <w:pPr>
        <w:pStyle w:val="ListNumber"/>
        <w:spacing w:after="120"/>
      </w:pPr>
      <w:r>
        <w:t>FTII wajib mencapai rasio kerja sama pendidikan, penelitian, dan PkM (RK) terhadap jumlah dosen tetap program studi (NDTPS) paling sedikit RK ≥ 4 pada setiap program studi, dihitung menggunakan formula RK = (N1+N2+N3)/NDTPS sesuai ketentuan LAM Teknik/LAM INFOKOM, sebagai pelengkap target jumlah kerja sama absolut.</w:t>
      </w:r>
    </w:p>
    <w:p>
      <w:pPr>
        <w:pStyle w:val="ListNumber"/>
        <w:spacing w:after="120"/>
      </w:pPr>
      <w:r>
        <w:t>FTII wajib mencapai jumlah kerja sama tingkat internasional paling sedikit 11 kerja sama pada tahun pertama, meningkat menjadi paling sedikit 21 kerja sama pada tahun keempat, dan kerja sama tingkat nasional paling sedikit 38 kerja sama meningkat menjadi paling sedikit 42 kerja sama pada periode yang sama, dengan sebaran per bidang (pendidikan, penelitian, PkM) dan per tingkat (dalam/luar negeri) terdokumentasi secara terpisah.</w:t>
      </w:r>
    </w:p>
    <w:p>
      <w:pPr>
        <w:pStyle w:val="ListNumber"/>
        <w:spacing w:after="120"/>
      </w:pPr>
      <w:r>
        <w:t>Setiap kerja sama yang dilaksanakan FTII wajib memenuhi 3 (tiga) aspek kualitas: (a) memberikan manfaat bagi program studi dalam pemenuhan proses pembelajaran, penelitian, dan PkM; (b) memberikan peningkatan kinerja tridharma dan fasilitas pendukung program studi; dan (c) memberikan kepuasan kepada mitra serta menjamin keberlanjutan kerja sama, dibuktikan dengan bukti sahih untuk paling sedikit 90% dari seluruh kerja sama aktif.</w:t>
      </w:r>
    </w:p>
    <w:p>
      <w:pPr>
        <w:pStyle w:val="ListNumber"/>
        <w:spacing w:after="120"/>
      </w:pPr>
      <w:r>
        <w:t>FTII wajib memiliki dan mendokumentasikan legalitas kerja sama dalam bentuk Nota Kesepahaman (MoU), Perjanjian Kerja Sama (MoA), dan/atau Implementation Arrangement (IA)/Letter of Intent (LoI) untuk 100% kerja sama yang dilaksanakan, ditindaklanjuti paling lambat 3 (tiga) bulan sejak MoU ditandatangani.</w:t>
      </w:r>
    </w:p>
    <w:p>
      <w:pPr>
        <w:pStyle w:val="ListNumber"/>
        <w:spacing w:after="120"/>
      </w:pPr>
      <w:r>
        <w:t>FTII wajib memiliki dan memutakhirkan sistem informasi/database kerja sama terpusat yang memuat seluruh dokumen kerja sama fakultas dan program studi, dengan pemutakhiran data paling lambat 2 (dua) minggu setelah kerja sama dilaksanakan atau diperbarui.</w:t>
      </w:r>
    </w:p>
    <w:p>
      <w:pPr>
        <w:pStyle w:val="ListNumber"/>
        <w:spacing w:after="120"/>
      </w:pPr>
      <w:r>
        <w:t>FTII wajib mengalokasikan pendanaan kerja sama yang rasional dan proporsional pada setiap awal tahun anggaran untuk mendukung pelaksanaan kerja sama bidang pendidikan, penelitian, PkM, dan pengembangan kewirausahaan.</w:t>
      </w:r>
    </w:p>
    <w:p>
      <w:pPr>
        <w:pStyle w:val="ListNumber"/>
        <w:spacing w:after="120"/>
      </w:pPr>
      <w:r>
        <w:t>FTII wajib melaksanakan monitoring dan evaluasi kerja sama paling sedikit 1 (satu) kali per tahun, mencakup ketercapaian indikator, efektivitas, kebermanfaatan, dan keberlanjutan kerja sama, serta menindaklanjuti paling sedikit 80% rekomendasi hasil monitoring dan evaluasi menjadi perbaikan implementasi, meningkat menuju paling sedikit 95% pada akhir siklus Renstra.</w:t>
      </w:r>
    </w:p>
    <w:p>
      <w:pPr>
        <w:pStyle w:val="ListNumber"/>
        <w:spacing w:after="120"/>
      </w:pPr>
      <w:r>
        <w:t>FTII wajib melaksanakan Audit Mutu Internal (AMI) atas pelaksanaan Standar Kerjasama paling sedikit 1 (satu) kali per tahun, dengan hasil dilaporkan pada Rapat Tinjauan Manajemen (RTM) tingkat fakultas.</w:t>
      </w:r>
    </w:p>
    <w:p>
      <w:pPr>
        <w:pStyle w:val="ListNumber"/>
        <w:spacing w:after="120"/>
      </w:pPr>
      <w:r>
        <w:t>FTII wajib memfasilitasi kerja sama riset unggulan yang melibatkan dosen fakultas, dengan target paling sedikit 2 kerja sama riset unggulan nasional dan 1 kerja sama riset unggulan internasional per tahun.</w:t>
      </w:r>
    </w:p>
    <w:p>
      <w:pPr>
        <w:pStyle w:val="ListNumber"/>
        <w:spacing w:after="120"/>
      </w:pPr>
      <w:r>
        <w:t>FTII wajib melakukan peningkatan mutu kerja sama secara berkelanjutan melalui perluasan jejaring, penguatan kelembagaan kewirausahaan (entrepreneurship), dan pengembangan program kerja sama inovatif yang mendukung pencapaian visi, misi, dan diferensiasi misi fakultas.</w:t>
      </w:r>
    </w:p>
    <w:p>
      <w:pPr>
        <w:pStyle w:val="ListNumber"/>
        <w:spacing w:after="120"/>
      </w:pPr>
      <w:r>
        <w:t>*Setiap kerja sama bidang pendidikan, penelitian, dan PkM yang dilaksanakan program studi di lingkungan FTII wajib menunjukkan relevansi eksplisit terhadap visi keilmuan program studi yang bersangkutan, dituangkan dalam dokumen usulan/proposal kerja sama dan diverifikasi oleh Ketua Program Studi sebelum kerja sama disepakati.</w:t>
      </w:r>
    </w:p>
    <w:p>
      <w:pPr>
        <w:pStyle w:val="ListNumber"/>
        <w:spacing w:after="120"/>
      </w:pPr>
      <w:r>
        <w:t>*FTII wajib melaksanakan Analisis Faktor Keberhasilan dan Penghambat (root-cause analysis) serta analisis SWOT atas ketercapaian Standar Kerjasama paling sedikit 1 (satu) kali setiap tahun akademik, sesuai mekanisme yang diwajibkan Standar Penjaminan Mutu Internal FTII bagi seluruh standar turunan, sebagai bagian wajib pembahasan Rapat Tinjauan Manajemen (RTM) dan dasar penyusunan Rencana Tindak Lanjut (RTL).</w:t>
      </w:r>
    </w:p>
    <w:p>
      <w:pPr>
        <w:spacing w:after="120"/>
      </w:pPr>
      <w:r>
        <w:rPr>
          <w:i/>
        </w:rPr>
        <w:t>Catatan: pernyataan bertanda (*) adalah ketentuan BARU pada revisi ke-2 untuk menutup gap hasil pemetaan Kriteria C.2 LEDPS LAM Teknik 2025.</w:t>
      </w:r>
    </w:p>
    <w:p>
      <w:pPr>
        <w:spacing w:before="280" w:after="120"/>
      </w:pPr>
      <w:r>
        <w:rPr>
          <w:b/>
          <w:sz w:val="26"/>
        </w:rPr>
        <w:t>4. INDIKATOR KINERJA (IKU / IKT)</w:t>
      </w:r>
    </w:p>
    <w:p>
      <w:pPr>
        <w:spacing w:after="120"/>
      </w:pPr>
      <w:r>
        <w:rPr>
          <w:b w:val="0"/>
          <w:i w:val="0"/>
        </w:rPr>
        <w:t>Seluruh ambang Indikator Kinerja Utama (IKU) pada tabel berikut ditetapkan setara dengan atau melampaui ambang skor tertinggi (skor 4) Kriteria 2.3.1-2.3.2 Panduan SPMI R1 dan Kriteria 2.2 Matriks Penilaian LAM Teknik APS-AV 2025 1.0, sehingga pencapaiannya secara langsung mendukung kesiapan akreditasi Unggul.</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r/>
            <w:r>
              <w:rPr>
                <w:b/>
                <w:sz w:val="19"/>
              </w:rPr>
              <w:t>No</w:t>
            </w:r>
          </w:p>
        </w:tc>
        <w:tc>
          <w:tcPr>
            <w:tcW w:type="dxa" w:w="1728"/>
            <w:shd w:val="clear" w:color="auto" w:fill="D9D9D9"/>
          </w:tcPr>
          <w:p>
            <w:r/>
            <w:r>
              <w:rPr>
                <w:b/>
                <w:sz w:val="19"/>
              </w:rPr>
              <w:t>Indikator Kinerja Utama (IKU)</w:t>
            </w:r>
          </w:p>
        </w:tc>
        <w:tc>
          <w:tcPr>
            <w:tcW w:type="dxa" w:w="1728"/>
            <w:shd w:val="clear" w:color="auto" w:fill="D9D9D9"/>
          </w:tcPr>
          <w:p>
            <w:r/>
            <w:r>
              <w:rPr>
                <w:sz w:val="19"/>
              </w:rPr>
              <w:t>2024/2025</w:t>
            </w:r>
          </w:p>
        </w:tc>
        <w:tc>
          <w:tcPr>
            <w:tcW w:type="dxa" w:w="1728"/>
            <w:shd w:val="clear" w:color="auto" w:fill="D9D9D9"/>
          </w:tcPr>
          <w:p>
            <w:r/>
            <w:r>
              <w:rPr>
                <w:sz w:val="19"/>
              </w:rPr>
              <w:t>2025/2026</w:t>
            </w:r>
          </w:p>
        </w:tc>
        <w:tc>
          <w:tcPr>
            <w:tcW w:type="dxa" w:w="1728"/>
            <w:shd w:val="clear" w:color="auto" w:fill="D9D9D9"/>
          </w:tcPr>
          <w:p>
            <w:r/>
            <w:r>
              <w:rPr>
                <w:sz w:val="19"/>
              </w:rPr>
              <w:t>2026/2027</w:t>
            </w:r>
          </w:p>
        </w:tc>
      </w:tr>
      <w:tr>
        <w:tc>
          <w:tcPr>
            <w:tcW w:type="dxa" w:w="1728"/>
          </w:tcPr>
          <w:p>
            <w:r/>
            <w:r>
              <w:rPr>
                <w:b w:val="0"/>
                <w:sz w:val="19"/>
              </w:rPr>
              <w:t>1</w:t>
            </w:r>
          </w:p>
        </w:tc>
        <w:tc>
          <w:tcPr>
            <w:tcW w:type="dxa" w:w="1728"/>
          </w:tcPr>
          <w:p>
            <w:r/>
            <w:r>
              <w:rPr>
                <w:b w:val="0"/>
                <w:sz w:val="19"/>
              </w:rPr>
              <w:t>Persentase program studi/unit kerja yang menerapkan kebijakan, standar, dan pedoman kerja sama</w:t>
            </w:r>
          </w:p>
        </w:tc>
        <w:tc>
          <w:tcPr>
            <w:tcW w:type="dxa" w:w="1728"/>
          </w:tcPr>
          <w:p>
            <w:r/>
            <w:r>
              <w:rPr>
                <w:b w:val="0"/>
                <w:sz w:val="19"/>
              </w:rPr>
              <w:t>≥95%</w:t>
            </w:r>
          </w:p>
        </w:tc>
        <w:tc>
          <w:tcPr>
            <w:tcW w:type="dxa" w:w="1728"/>
          </w:tcPr>
          <w:p>
            <w:r/>
            <w:r>
              <w:rPr>
                <w:b w:val="0"/>
                <w:sz w:val="19"/>
              </w:rPr>
              <w:t>100%</w:t>
            </w:r>
          </w:p>
        </w:tc>
        <w:tc>
          <w:tcPr>
            <w:tcW w:type="dxa" w:w="1728"/>
          </w:tcPr>
          <w:p>
            <w:r/>
            <w:r>
              <w:rPr>
                <w:b w:val="0"/>
                <w:sz w:val="19"/>
              </w:rPr>
              <w:t>100%</w:t>
            </w:r>
          </w:p>
        </w:tc>
      </w:tr>
      <w:tr>
        <w:tc>
          <w:tcPr>
            <w:tcW w:type="dxa" w:w="1728"/>
          </w:tcPr>
          <w:p>
            <w:r/>
            <w:r>
              <w:rPr>
                <w:b w:val="0"/>
                <w:sz w:val="19"/>
              </w:rPr>
              <w:t>2</w:t>
            </w:r>
          </w:p>
        </w:tc>
        <w:tc>
          <w:tcPr>
            <w:tcW w:type="dxa" w:w="1728"/>
          </w:tcPr>
          <w:p>
            <w:r/>
            <w:r>
              <w:rPr>
                <w:b w:val="0"/>
                <w:sz w:val="19"/>
              </w:rPr>
              <w:t>Ketersediaan lembaga/unit pengelola kerja sama tingkat fakultas</w:t>
            </w:r>
          </w:p>
        </w:tc>
        <w:tc>
          <w:tcPr>
            <w:tcW w:type="dxa" w:w="1728"/>
          </w:tcPr>
          <w:p>
            <w:r/>
            <w:r>
              <w:rPr>
                <w:b w:val="0"/>
                <w:sz w:val="19"/>
              </w:rPr>
              <w:t>Tersedia</w:t>
            </w:r>
          </w:p>
        </w:tc>
        <w:tc>
          <w:tcPr>
            <w:tcW w:type="dxa" w:w="1728"/>
          </w:tcPr>
          <w:p>
            <w:r/>
            <w:r>
              <w:rPr>
                <w:b w:val="0"/>
                <w:sz w:val="19"/>
              </w:rPr>
              <w:t>Tersedia</w:t>
            </w:r>
          </w:p>
        </w:tc>
        <w:tc>
          <w:tcPr>
            <w:tcW w:type="dxa" w:w="1728"/>
          </w:tcPr>
          <w:p>
            <w:r/>
            <w:r>
              <w:rPr>
                <w:b w:val="0"/>
                <w:sz w:val="19"/>
              </w:rPr>
              <w:t>Tersedia</w:t>
            </w:r>
          </w:p>
        </w:tc>
      </w:tr>
      <w:tr>
        <w:tc>
          <w:tcPr>
            <w:tcW w:type="dxa" w:w="1728"/>
          </w:tcPr>
          <w:p>
            <w:r/>
            <w:r>
              <w:rPr>
                <w:b w:val="0"/>
                <w:sz w:val="19"/>
              </w:rPr>
              <w:t>3</w:t>
            </w:r>
          </w:p>
        </w:tc>
        <w:tc>
          <w:tcPr>
            <w:tcW w:type="dxa" w:w="1728"/>
          </w:tcPr>
          <w:p>
            <w:r/>
            <w:r>
              <w:rPr>
                <w:b w:val="0"/>
                <w:sz w:val="19"/>
              </w:rPr>
              <w:t>Rasio kerja sama pendidikan-penelitian-PkM terhadap NDTPS (RK) per program studi</w:t>
            </w:r>
          </w:p>
        </w:tc>
        <w:tc>
          <w:tcPr>
            <w:tcW w:type="dxa" w:w="1728"/>
          </w:tcPr>
          <w:p>
            <w:r/>
            <w:r>
              <w:rPr>
                <w:b w:val="0"/>
                <w:sz w:val="19"/>
              </w:rPr>
              <w:t>≥3,5</w:t>
            </w:r>
          </w:p>
        </w:tc>
        <w:tc>
          <w:tcPr>
            <w:tcW w:type="dxa" w:w="1728"/>
          </w:tcPr>
          <w:p>
            <w:r/>
            <w:r>
              <w:rPr>
                <w:b w:val="0"/>
                <w:sz w:val="19"/>
              </w:rPr>
              <w:t>≥4,0</w:t>
            </w:r>
          </w:p>
        </w:tc>
        <w:tc>
          <w:tcPr>
            <w:tcW w:type="dxa" w:w="1728"/>
          </w:tcPr>
          <w:p>
            <w:r/>
            <w:r>
              <w:rPr>
                <w:b w:val="0"/>
                <w:sz w:val="19"/>
              </w:rPr>
              <w:t>≥4,0</w:t>
            </w:r>
          </w:p>
        </w:tc>
      </w:tr>
      <w:tr>
        <w:tc>
          <w:tcPr>
            <w:tcW w:type="dxa" w:w="1728"/>
          </w:tcPr>
          <w:p>
            <w:r/>
            <w:r>
              <w:rPr>
                <w:b w:val="0"/>
                <w:sz w:val="19"/>
              </w:rPr>
              <w:t>4</w:t>
            </w:r>
          </w:p>
        </w:tc>
        <w:tc>
          <w:tcPr>
            <w:tcW w:type="dxa" w:w="1728"/>
          </w:tcPr>
          <w:p>
            <w:r/>
            <w:r>
              <w:rPr>
                <w:b w:val="0"/>
                <w:sz w:val="19"/>
              </w:rPr>
              <w:t>Jumlah kerja sama tingkat internasional per tahun</w:t>
            </w:r>
          </w:p>
        </w:tc>
        <w:tc>
          <w:tcPr>
            <w:tcW w:type="dxa" w:w="1728"/>
          </w:tcPr>
          <w:p>
            <w:r/>
            <w:r>
              <w:rPr>
                <w:b w:val="0"/>
                <w:sz w:val="19"/>
              </w:rPr>
              <w:t>≥14</w:t>
            </w:r>
          </w:p>
        </w:tc>
        <w:tc>
          <w:tcPr>
            <w:tcW w:type="dxa" w:w="1728"/>
          </w:tcPr>
          <w:p>
            <w:r/>
            <w:r>
              <w:rPr>
                <w:b w:val="0"/>
                <w:sz w:val="19"/>
              </w:rPr>
              <w:t>≥18</w:t>
            </w:r>
          </w:p>
        </w:tc>
        <w:tc>
          <w:tcPr>
            <w:tcW w:type="dxa" w:w="1728"/>
          </w:tcPr>
          <w:p>
            <w:r/>
            <w:r>
              <w:rPr>
                <w:b w:val="0"/>
                <w:sz w:val="19"/>
              </w:rPr>
              <w:t>≥21</w:t>
            </w:r>
          </w:p>
        </w:tc>
      </w:tr>
      <w:tr>
        <w:tc>
          <w:tcPr>
            <w:tcW w:type="dxa" w:w="1728"/>
          </w:tcPr>
          <w:p>
            <w:r/>
            <w:r>
              <w:rPr>
                <w:b w:val="0"/>
                <w:sz w:val="19"/>
              </w:rPr>
              <w:t>5</w:t>
            </w:r>
          </w:p>
        </w:tc>
        <w:tc>
          <w:tcPr>
            <w:tcW w:type="dxa" w:w="1728"/>
          </w:tcPr>
          <w:p>
            <w:r/>
            <w:r>
              <w:rPr>
                <w:b w:val="0"/>
                <w:sz w:val="19"/>
              </w:rPr>
              <w:t>Jumlah kerja sama tingkat nasional per tahun</w:t>
            </w:r>
          </w:p>
        </w:tc>
        <w:tc>
          <w:tcPr>
            <w:tcW w:type="dxa" w:w="1728"/>
          </w:tcPr>
          <w:p>
            <w:r/>
            <w:r>
              <w:rPr>
                <w:b w:val="0"/>
                <w:sz w:val="19"/>
              </w:rPr>
              <w:t>≥38</w:t>
            </w:r>
          </w:p>
        </w:tc>
        <w:tc>
          <w:tcPr>
            <w:tcW w:type="dxa" w:w="1728"/>
          </w:tcPr>
          <w:p>
            <w:r/>
            <w:r>
              <w:rPr>
                <w:b w:val="0"/>
                <w:sz w:val="19"/>
              </w:rPr>
              <w:t>≥40</w:t>
            </w:r>
          </w:p>
        </w:tc>
        <w:tc>
          <w:tcPr>
            <w:tcW w:type="dxa" w:w="1728"/>
          </w:tcPr>
          <w:p>
            <w:r/>
            <w:r>
              <w:rPr>
                <w:b w:val="0"/>
                <w:sz w:val="19"/>
              </w:rPr>
              <w:t>≥42</w:t>
            </w:r>
          </w:p>
        </w:tc>
      </w:tr>
      <w:tr>
        <w:tc>
          <w:tcPr>
            <w:tcW w:type="dxa" w:w="1728"/>
          </w:tcPr>
          <w:p>
            <w:r/>
            <w:r>
              <w:rPr>
                <w:b w:val="0"/>
                <w:sz w:val="19"/>
              </w:rPr>
              <w:t>6</w:t>
            </w:r>
          </w:p>
        </w:tc>
        <w:tc>
          <w:tcPr>
            <w:tcW w:type="dxa" w:w="1728"/>
          </w:tcPr>
          <w:p>
            <w:r/>
            <w:r>
              <w:rPr>
                <w:b w:val="0"/>
                <w:sz w:val="19"/>
              </w:rPr>
              <w:t>Jumlah kerja sama bidang pendidikan (dalam negeri / luar negeri)</w:t>
            </w:r>
          </w:p>
        </w:tc>
        <w:tc>
          <w:tcPr>
            <w:tcW w:type="dxa" w:w="1728"/>
          </w:tcPr>
          <w:p>
            <w:r/>
            <w:r>
              <w:rPr>
                <w:b w:val="0"/>
                <w:sz w:val="19"/>
              </w:rPr>
              <w:t>≥43 / ≥10</w:t>
            </w:r>
          </w:p>
        </w:tc>
        <w:tc>
          <w:tcPr>
            <w:tcW w:type="dxa" w:w="1728"/>
          </w:tcPr>
          <w:p>
            <w:r/>
            <w:r>
              <w:rPr>
                <w:b w:val="0"/>
                <w:sz w:val="19"/>
              </w:rPr>
              <w:t>≥46 / ≥12</w:t>
            </w:r>
          </w:p>
        </w:tc>
        <w:tc>
          <w:tcPr>
            <w:tcW w:type="dxa" w:w="1728"/>
          </w:tcPr>
          <w:p>
            <w:r/>
            <w:r>
              <w:rPr>
                <w:b w:val="0"/>
                <w:sz w:val="19"/>
              </w:rPr>
              <w:t>≥50 / ≥14</w:t>
            </w:r>
          </w:p>
        </w:tc>
      </w:tr>
      <w:tr>
        <w:tc>
          <w:tcPr>
            <w:tcW w:type="dxa" w:w="1728"/>
          </w:tcPr>
          <w:p>
            <w:r/>
            <w:r>
              <w:rPr>
                <w:b w:val="0"/>
                <w:sz w:val="19"/>
              </w:rPr>
              <w:t>7</w:t>
            </w:r>
          </w:p>
        </w:tc>
        <w:tc>
          <w:tcPr>
            <w:tcW w:type="dxa" w:w="1728"/>
          </w:tcPr>
          <w:p>
            <w:r/>
            <w:r>
              <w:rPr>
                <w:b w:val="0"/>
                <w:sz w:val="19"/>
              </w:rPr>
              <w:t>Jumlah kerja sama bidang penelitian (dalam negeri / luar negeri)</w:t>
            </w:r>
          </w:p>
        </w:tc>
        <w:tc>
          <w:tcPr>
            <w:tcW w:type="dxa" w:w="1728"/>
          </w:tcPr>
          <w:p>
            <w:r/>
            <w:r>
              <w:rPr>
                <w:b w:val="0"/>
                <w:sz w:val="19"/>
              </w:rPr>
              <w:t>≥39 / ≥10</w:t>
            </w:r>
          </w:p>
        </w:tc>
        <w:tc>
          <w:tcPr>
            <w:tcW w:type="dxa" w:w="1728"/>
          </w:tcPr>
          <w:p>
            <w:r/>
            <w:r>
              <w:rPr>
                <w:b w:val="0"/>
                <w:sz w:val="19"/>
              </w:rPr>
              <w:t>≥42 / ≥12</w:t>
            </w:r>
          </w:p>
        </w:tc>
        <w:tc>
          <w:tcPr>
            <w:tcW w:type="dxa" w:w="1728"/>
          </w:tcPr>
          <w:p>
            <w:r/>
            <w:r>
              <w:rPr>
                <w:b w:val="0"/>
                <w:sz w:val="19"/>
              </w:rPr>
              <w:t>≥45 / ≥14</w:t>
            </w:r>
          </w:p>
        </w:tc>
      </w:tr>
      <w:tr>
        <w:tc>
          <w:tcPr>
            <w:tcW w:type="dxa" w:w="1728"/>
          </w:tcPr>
          <w:p>
            <w:r/>
            <w:r>
              <w:rPr>
                <w:b w:val="0"/>
                <w:sz w:val="19"/>
              </w:rPr>
              <w:t>8</w:t>
            </w:r>
          </w:p>
        </w:tc>
        <w:tc>
          <w:tcPr>
            <w:tcW w:type="dxa" w:w="1728"/>
          </w:tcPr>
          <w:p>
            <w:r/>
            <w:r>
              <w:rPr>
                <w:b w:val="0"/>
                <w:sz w:val="19"/>
              </w:rPr>
              <w:t>Jumlah kerja sama bidang PkM (dalam negeri / luar negeri)</w:t>
            </w:r>
          </w:p>
        </w:tc>
        <w:tc>
          <w:tcPr>
            <w:tcW w:type="dxa" w:w="1728"/>
          </w:tcPr>
          <w:p>
            <w:r/>
            <w:r>
              <w:rPr>
                <w:b w:val="0"/>
                <w:sz w:val="19"/>
              </w:rPr>
              <w:t>≥43 / ≥10</w:t>
            </w:r>
          </w:p>
        </w:tc>
        <w:tc>
          <w:tcPr>
            <w:tcW w:type="dxa" w:w="1728"/>
          </w:tcPr>
          <w:p>
            <w:r/>
            <w:r>
              <w:rPr>
                <w:b w:val="0"/>
                <w:sz w:val="19"/>
              </w:rPr>
              <w:t>≥46 / ≥12</w:t>
            </w:r>
          </w:p>
        </w:tc>
        <w:tc>
          <w:tcPr>
            <w:tcW w:type="dxa" w:w="1728"/>
          </w:tcPr>
          <w:p>
            <w:r/>
            <w:r>
              <w:rPr>
                <w:b w:val="0"/>
                <w:sz w:val="19"/>
              </w:rPr>
              <w:t>≥50 / ≥14</w:t>
            </w:r>
          </w:p>
        </w:tc>
      </w:tr>
      <w:tr>
        <w:tc>
          <w:tcPr>
            <w:tcW w:type="dxa" w:w="1728"/>
          </w:tcPr>
          <w:p>
            <w:r/>
            <w:r>
              <w:rPr>
                <w:b w:val="0"/>
                <w:sz w:val="19"/>
              </w:rPr>
              <w:t>9</w:t>
            </w:r>
          </w:p>
        </w:tc>
        <w:tc>
          <w:tcPr>
            <w:tcW w:type="dxa" w:w="1728"/>
          </w:tcPr>
          <w:p>
            <w:r/>
            <w:r>
              <w:rPr>
                <w:b w:val="0"/>
                <w:sz w:val="19"/>
              </w:rPr>
              <w:t>Persentase kerja sama aktif dengan bukti sahih pemenuhan 3 aspek kualitas (manfaat, kinerja tridharma, kepuasan mitra)</w:t>
            </w:r>
          </w:p>
        </w:tc>
        <w:tc>
          <w:tcPr>
            <w:tcW w:type="dxa" w:w="1728"/>
          </w:tcPr>
          <w:p>
            <w:r/>
            <w:r>
              <w:rPr>
                <w:b w:val="0"/>
                <w:sz w:val="19"/>
              </w:rPr>
              <w:t>≥85%</w:t>
            </w:r>
          </w:p>
        </w:tc>
        <w:tc>
          <w:tcPr>
            <w:tcW w:type="dxa" w:w="1728"/>
          </w:tcPr>
          <w:p>
            <w:r/>
            <w:r>
              <w:rPr>
                <w:b w:val="0"/>
                <w:sz w:val="19"/>
              </w:rPr>
              <w:t>≥90%</w:t>
            </w:r>
          </w:p>
        </w:tc>
        <w:tc>
          <w:tcPr>
            <w:tcW w:type="dxa" w:w="1728"/>
          </w:tcPr>
          <w:p>
            <w:r/>
            <w:r>
              <w:rPr>
                <w:b w:val="0"/>
                <w:sz w:val="19"/>
              </w:rPr>
              <w:t>≥95%</w:t>
            </w:r>
          </w:p>
        </w:tc>
      </w:tr>
      <w:tr>
        <w:tc>
          <w:tcPr>
            <w:tcW w:type="dxa" w:w="1728"/>
          </w:tcPr>
          <w:p>
            <w:r/>
            <w:r>
              <w:rPr>
                <w:b w:val="0"/>
                <w:sz w:val="19"/>
              </w:rPr>
              <w:t>10</w:t>
            </w:r>
          </w:p>
        </w:tc>
        <w:tc>
          <w:tcPr>
            <w:tcW w:type="dxa" w:w="1728"/>
          </w:tcPr>
          <w:p>
            <w:r/>
            <w:r>
              <w:rPr>
                <w:b w:val="0"/>
                <w:sz w:val="19"/>
              </w:rPr>
              <w:t>Persentase kerja sama yang memiliki dokumen legalitas lengkap (MoU/MoA/IA) tepat waktu (≤3 bulan)</w:t>
            </w:r>
          </w:p>
        </w:tc>
        <w:tc>
          <w:tcPr>
            <w:tcW w:type="dxa" w:w="1728"/>
          </w:tcPr>
          <w:p>
            <w:r/>
            <w:r>
              <w:rPr>
                <w:b w:val="0"/>
                <w:sz w:val="19"/>
              </w:rPr>
              <w:t>≥90%</w:t>
            </w:r>
          </w:p>
        </w:tc>
        <w:tc>
          <w:tcPr>
            <w:tcW w:type="dxa" w:w="1728"/>
          </w:tcPr>
          <w:p>
            <w:r/>
            <w:r>
              <w:rPr>
                <w:b w:val="0"/>
                <w:sz w:val="19"/>
              </w:rPr>
              <w:t>≥95%</w:t>
            </w:r>
          </w:p>
        </w:tc>
        <w:tc>
          <w:tcPr>
            <w:tcW w:type="dxa" w:w="1728"/>
          </w:tcPr>
          <w:p>
            <w:r/>
            <w:r>
              <w:rPr>
                <w:b w:val="0"/>
                <w:sz w:val="19"/>
              </w:rPr>
              <w:t>100%</w:t>
            </w:r>
          </w:p>
        </w:tc>
      </w:tr>
      <w:tr>
        <w:tc>
          <w:tcPr>
            <w:tcW w:type="dxa" w:w="1728"/>
          </w:tcPr>
          <w:p>
            <w:r/>
            <w:r>
              <w:rPr>
                <w:b w:val="0"/>
                <w:sz w:val="19"/>
              </w:rPr>
              <w:t>11</w:t>
            </w:r>
          </w:p>
        </w:tc>
        <w:tc>
          <w:tcPr>
            <w:tcW w:type="dxa" w:w="1728"/>
          </w:tcPr>
          <w:p>
            <w:r/>
            <w:r>
              <w:rPr>
                <w:b w:val="0"/>
                <w:sz w:val="19"/>
              </w:rPr>
              <w:t>Ketepatan waktu pemutakhiran sistem informasi/database kerja sama (≤2 minggu)</w:t>
            </w:r>
          </w:p>
        </w:tc>
        <w:tc>
          <w:tcPr>
            <w:tcW w:type="dxa" w:w="1728"/>
          </w:tcPr>
          <w:p>
            <w:r/>
            <w:r>
              <w:rPr>
                <w:b w:val="0"/>
                <w:sz w:val="19"/>
              </w:rPr>
              <w:t>≥85%</w:t>
            </w:r>
          </w:p>
        </w:tc>
        <w:tc>
          <w:tcPr>
            <w:tcW w:type="dxa" w:w="1728"/>
          </w:tcPr>
          <w:p>
            <w:r/>
            <w:r>
              <w:rPr>
                <w:b w:val="0"/>
                <w:sz w:val="19"/>
              </w:rPr>
              <w:t>≥95%</w:t>
            </w:r>
          </w:p>
        </w:tc>
        <w:tc>
          <w:tcPr>
            <w:tcW w:type="dxa" w:w="1728"/>
          </w:tcPr>
          <w:p>
            <w:r/>
            <w:r>
              <w:rPr>
                <w:b w:val="0"/>
                <w:sz w:val="19"/>
              </w:rPr>
              <w:t>100%</w:t>
            </w:r>
          </w:p>
        </w:tc>
      </w:tr>
      <w:tr>
        <w:tc>
          <w:tcPr>
            <w:tcW w:type="dxa" w:w="1728"/>
          </w:tcPr>
          <w:p>
            <w:r/>
            <w:r>
              <w:rPr>
                <w:b w:val="0"/>
                <w:sz w:val="19"/>
              </w:rPr>
              <w:t>12</w:t>
            </w:r>
          </w:p>
        </w:tc>
        <w:tc>
          <w:tcPr>
            <w:tcW w:type="dxa" w:w="1728"/>
          </w:tcPr>
          <w:p>
            <w:r/>
            <w:r>
              <w:rPr>
                <w:b w:val="0"/>
                <w:sz w:val="19"/>
              </w:rPr>
              <w:t>Ketersediaan dan ketepatan alokasi pendanaan kerja sama tahunan</w:t>
            </w:r>
          </w:p>
        </w:tc>
        <w:tc>
          <w:tcPr>
            <w:tcW w:type="dxa" w:w="1728"/>
          </w:tcPr>
          <w:p>
            <w:r/>
            <w:r>
              <w:rPr>
                <w:b w:val="0"/>
                <w:sz w:val="19"/>
              </w:rPr>
              <w:t>Tersedia</w:t>
            </w:r>
          </w:p>
        </w:tc>
        <w:tc>
          <w:tcPr>
            <w:tcW w:type="dxa" w:w="1728"/>
          </w:tcPr>
          <w:p>
            <w:r/>
            <w:r>
              <w:rPr>
                <w:b w:val="0"/>
                <w:sz w:val="19"/>
              </w:rPr>
              <w:t>Tersedia</w:t>
            </w:r>
          </w:p>
        </w:tc>
        <w:tc>
          <w:tcPr>
            <w:tcW w:type="dxa" w:w="1728"/>
          </w:tcPr>
          <w:p>
            <w:r/>
            <w:r>
              <w:rPr>
                <w:b w:val="0"/>
                <w:sz w:val="19"/>
              </w:rPr>
              <w:t>Tersedia</w:t>
            </w:r>
          </w:p>
        </w:tc>
      </w:tr>
      <w:tr>
        <w:tc>
          <w:tcPr>
            <w:tcW w:type="dxa" w:w="1728"/>
          </w:tcPr>
          <w:p>
            <w:r/>
            <w:r>
              <w:rPr>
                <w:b w:val="0"/>
                <w:sz w:val="19"/>
              </w:rPr>
              <w:t>13</w:t>
            </w:r>
          </w:p>
        </w:tc>
        <w:tc>
          <w:tcPr>
            <w:tcW w:type="dxa" w:w="1728"/>
          </w:tcPr>
          <w:p>
            <w:r/>
            <w:r>
              <w:rPr>
                <w:b w:val="0"/>
                <w:sz w:val="19"/>
              </w:rPr>
              <w:t>Frekuensi monitoring dan evaluasi kerja sama per tahun</w:t>
            </w:r>
          </w:p>
        </w:tc>
        <w:tc>
          <w:tcPr>
            <w:tcW w:type="dxa" w:w="1728"/>
          </w:tcPr>
          <w:p>
            <w:r/>
            <w:r>
              <w:rPr>
                <w:b w:val="0"/>
                <w:sz w:val="19"/>
              </w:rPr>
              <w:t>≥1 kali</w:t>
            </w:r>
          </w:p>
        </w:tc>
        <w:tc>
          <w:tcPr>
            <w:tcW w:type="dxa" w:w="1728"/>
          </w:tcPr>
          <w:p>
            <w:r/>
            <w:r>
              <w:rPr>
                <w:b w:val="0"/>
                <w:sz w:val="19"/>
              </w:rPr>
              <w:t>≥1 kali</w:t>
            </w:r>
          </w:p>
        </w:tc>
        <w:tc>
          <w:tcPr>
            <w:tcW w:type="dxa" w:w="1728"/>
          </w:tcPr>
          <w:p>
            <w:r/>
            <w:r>
              <w:rPr>
                <w:b w:val="0"/>
                <w:sz w:val="19"/>
              </w:rPr>
              <w:t>≥1 kali</w:t>
            </w:r>
          </w:p>
        </w:tc>
      </w:tr>
      <w:tr>
        <w:tc>
          <w:tcPr>
            <w:tcW w:type="dxa" w:w="1728"/>
          </w:tcPr>
          <w:p>
            <w:r/>
            <w:r>
              <w:rPr>
                <w:b w:val="0"/>
                <w:sz w:val="19"/>
              </w:rPr>
              <w:t>14</w:t>
            </w:r>
          </w:p>
        </w:tc>
        <w:tc>
          <w:tcPr>
            <w:tcW w:type="dxa" w:w="1728"/>
          </w:tcPr>
          <w:p>
            <w:r/>
            <w:r>
              <w:rPr>
                <w:b w:val="0"/>
                <w:sz w:val="19"/>
              </w:rPr>
              <w:t>Persentase rekomendasi hasil monev kerja sama yang ditindaklanjuti</w:t>
            </w:r>
          </w:p>
        </w:tc>
        <w:tc>
          <w:tcPr>
            <w:tcW w:type="dxa" w:w="1728"/>
          </w:tcPr>
          <w:p>
            <w:r/>
            <w:r>
              <w:rPr>
                <w:b w:val="0"/>
                <w:sz w:val="19"/>
              </w:rPr>
              <w:t>≥80%</w:t>
            </w:r>
          </w:p>
        </w:tc>
        <w:tc>
          <w:tcPr>
            <w:tcW w:type="dxa" w:w="1728"/>
          </w:tcPr>
          <w:p>
            <w:r/>
            <w:r>
              <w:rPr>
                <w:b w:val="0"/>
                <w:sz w:val="19"/>
              </w:rPr>
              <w:t>≥90%</w:t>
            </w:r>
          </w:p>
        </w:tc>
        <w:tc>
          <w:tcPr>
            <w:tcW w:type="dxa" w:w="1728"/>
          </w:tcPr>
          <w:p>
            <w:r/>
            <w:r>
              <w:rPr>
                <w:b w:val="0"/>
                <w:sz w:val="19"/>
              </w:rPr>
              <w:t>≥95%</w:t>
            </w:r>
          </w:p>
        </w:tc>
      </w:tr>
      <w:tr>
        <w:tc>
          <w:tcPr>
            <w:tcW w:type="dxa" w:w="1728"/>
          </w:tcPr>
          <w:p>
            <w:r/>
            <w:r>
              <w:rPr>
                <w:b w:val="0"/>
                <w:sz w:val="19"/>
              </w:rPr>
              <w:t>15</w:t>
            </w:r>
          </w:p>
        </w:tc>
        <w:tc>
          <w:tcPr>
            <w:tcW w:type="dxa" w:w="1728"/>
          </w:tcPr>
          <w:p>
            <w:r/>
            <w:r>
              <w:rPr>
                <w:b w:val="0"/>
                <w:sz w:val="19"/>
              </w:rPr>
              <w:t>Pelaksanaan Audit Mutu Internal (AMI) atas Standar Kerjasama per tahun</w:t>
            </w:r>
          </w:p>
        </w:tc>
        <w:tc>
          <w:tcPr>
            <w:tcW w:type="dxa" w:w="1728"/>
          </w:tcPr>
          <w:p>
            <w:r/>
            <w:r>
              <w:rPr>
                <w:b w:val="0"/>
                <w:sz w:val="19"/>
              </w:rPr>
              <w:t>1 kali/tahun</w:t>
            </w:r>
          </w:p>
        </w:tc>
        <w:tc>
          <w:tcPr>
            <w:tcW w:type="dxa" w:w="1728"/>
          </w:tcPr>
          <w:p>
            <w:r/>
            <w:r>
              <w:rPr>
                <w:b w:val="0"/>
                <w:sz w:val="19"/>
              </w:rPr>
              <w:t>1 kali/tahun</w:t>
            </w:r>
          </w:p>
        </w:tc>
        <w:tc>
          <w:tcPr>
            <w:tcW w:type="dxa" w:w="1728"/>
          </w:tcPr>
          <w:p>
            <w:r/>
            <w:r>
              <w:rPr>
                <w:b w:val="0"/>
                <w:sz w:val="19"/>
              </w:rPr>
              <w:t>1 kali/tahun</w:t>
            </w:r>
          </w:p>
        </w:tc>
      </w:tr>
      <w:tr>
        <w:tc>
          <w:tcPr>
            <w:tcW w:type="dxa" w:w="1728"/>
          </w:tcPr>
          <w:p>
            <w:r/>
            <w:r>
              <w:rPr>
                <w:b w:val="0"/>
                <w:sz w:val="19"/>
              </w:rPr>
              <w:t>16</w:t>
            </w:r>
          </w:p>
        </w:tc>
        <w:tc>
          <w:tcPr>
            <w:tcW w:type="dxa" w:w="1728"/>
          </w:tcPr>
          <w:p>
            <w:r/>
            <w:r>
              <w:rPr>
                <w:b w:val="0"/>
                <w:sz w:val="19"/>
              </w:rPr>
              <w:t>Jumlah kerja sama riset unggulan nasional / internasional per tahun</w:t>
            </w:r>
          </w:p>
        </w:tc>
        <w:tc>
          <w:tcPr>
            <w:tcW w:type="dxa" w:w="1728"/>
          </w:tcPr>
          <w:p>
            <w:r/>
            <w:r>
              <w:rPr>
                <w:b w:val="0"/>
                <w:sz w:val="19"/>
              </w:rPr>
              <w:t>≥2 / ≥1</w:t>
            </w:r>
          </w:p>
        </w:tc>
        <w:tc>
          <w:tcPr>
            <w:tcW w:type="dxa" w:w="1728"/>
          </w:tcPr>
          <w:p>
            <w:r/>
            <w:r>
              <w:rPr>
                <w:b w:val="0"/>
                <w:sz w:val="19"/>
              </w:rPr>
              <w:t>≥2 / ≥1</w:t>
            </w:r>
          </w:p>
        </w:tc>
        <w:tc>
          <w:tcPr>
            <w:tcW w:type="dxa" w:w="1728"/>
          </w:tcPr>
          <w:p>
            <w:r/>
            <w:r>
              <w:rPr>
                <w:b w:val="0"/>
                <w:sz w:val="19"/>
              </w:rPr>
              <w:t>≥3 / ≥2</w:t>
            </w:r>
          </w:p>
        </w:tc>
      </w:tr>
      <w:tr>
        <w:tc>
          <w:tcPr>
            <w:tcW w:type="dxa" w:w="1728"/>
          </w:tcPr>
          <w:p>
            <w:r/>
            <w:r>
              <w:rPr>
                <w:sz w:val="19"/>
              </w:rPr>
              <w:t>*17</w:t>
            </w:r>
          </w:p>
        </w:tc>
        <w:tc>
          <w:tcPr>
            <w:tcW w:type="dxa" w:w="1728"/>
          </w:tcPr>
          <w:p>
            <w:r/>
            <w:r>
              <w:rPr>
                <w:sz w:val="19"/>
              </w:rPr>
              <w:t>Persentase kerja sama baru yang mencantumkan keterkaitan eksplisit dengan visi keilmuan program studi</w:t>
            </w:r>
          </w:p>
        </w:tc>
        <w:tc>
          <w:tcPr>
            <w:tcW w:type="dxa" w:w="1728"/>
          </w:tcPr>
          <w:p>
            <w:r/>
            <w:r>
              <w:rPr>
                <w:sz w:val="19"/>
              </w:rPr>
              <w:t>70%</w:t>
            </w:r>
          </w:p>
        </w:tc>
        <w:tc>
          <w:tcPr>
            <w:tcW w:type="dxa" w:w="1728"/>
          </w:tcPr>
          <w:p>
            <w:r/>
            <w:r>
              <w:rPr>
                <w:sz w:val="19"/>
              </w:rPr>
              <w:t>90%</w:t>
            </w:r>
          </w:p>
        </w:tc>
        <w:tc>
          <w:tcPr>
            <w:tcW w:type="dxa" w:w="1728"/>
          </w:tcPr>
          <w:p>
            <w:r/>
            <w:r>
              <w:rPr>
                <w:sz w:val="19"/>
              </w:rPr>
              <w:t>100%</w:t>
            </w:r>
          </w:p>
        </w:tc>
      </w:tr>
      <w:tr>
        <w:tc>
          <w:tcPr>
            <w:tcW w:type="dxa" w:w="1728"/>
          </w:tcPr>
          <w:p>
            <w:r/>
            <w:r>
              <w:rPr>
                <w:sz w:val="19"/>
              </w:rPr>
              <w:t>*18</w:t>
            </w:r>
          </w:p>
        </w:tc>
        <w:tc>
          <w:tcPr>
            <w:tcW w:type="dxa" w:w="1728"/>
          </w:tcPr>
          <w:p>
            <w:r/>
            <w:r>
              <w:rPr>
                <w:sz w:val="19"/>
              </w:rPr>
              <w:t>Pelaksanaan root-cause analysis &amp; SWOT tahunan atas Standar Kerjasama (sesuai Standar SPMI)</w:t>
            </w:r>
          </w:p>
        </w:tc>
        <w:tc>
          <w:tcPr>
            <w:tcW w:type="dxa" w:w="1728"/>
          </w:tcPr>
          <w:p>
            <w:r/>
            <w:r>
              <w:rPr>
                <w:sz w:val="19"/>
              </w:rPr>
              <w:t>Terlaksana</w:t>
            </w:r>
          </w:p>
        </w:tc>
        <w:tc>
          <w:tcPr>
            <w:tcW w:type="dxa" w:w="1728"/>
          </w:tcPr>
          <w:p>
            <w:r/>
            <w:r>
              <w:rPr>
                <w:sz w:val="19"/>
              </w:rPr>
              <w:t>Terlaksana</w:t>
            </w:r>
          </w:p>
        </w:tc>
        <w:tc>
          <w:tcPr>
            <w:tcW w:type="dxa" w:w="1728"/>
          </w:tcPr>
          <w:p>
            <w:r/>
            <w:r>
              <w:rPr>
                <w:sz w:val="19"/>
              </w:rPr>
              <w:t>Terlaksana</w:t>
            </w:r>
          </w:p>
        </w:tc>
      </w:tr>
    </w:tbl>
    <w:p/>
    <w:p>
      <w:pPr>
        <w:spacing w:after="120"/>
      </w:pPr>
      <w:r>
        <w:rPr>
          <w:b/>
          <w:i w:val="0"/>
        </w:rPr>
        <w:t>Indikator Kinerja Tambahan (IKT):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r/>
            <w:r>
              <w:rPr>
                <w:b/>
                <w:sz w:val="19"/>
              </w:rPr>
              <w:t>No</w:t>
            </w:r>
          </w:p>
        </w:tc>
        <w:tc>
          <w:tcPr>
            <w:tcW w:type="dxa" w:w="1728"/>
            <w:shd w:val="clear" w:color="auto" w:fill="D9D9D9"/>
          </w:tcPr>
          <w:p>
            <w:r/>
            <w:r>
              <w:rPr>
                <w:b/>
                <w:sz w:val="19"/>
              </w:rPr>
              <w:t>Indikator Kinerja Tambahan (IKT)</w:t>
            </w:r>
          </w:p>
        </w:tc>
        <w:tc>
          <w:tcPr>
            <w:tcW w:type="dxa" w:w="1728"/>
            <w:shd w:val="clear" w:color="auto" w:fill="D9D9D9"/>
          </w:tcPr>
          <w:p>
            <w:r/>
            <w:r>
              <w:rPr>
                <w:sz w:val="19"/>
              </w:rPr>
              <w:t>2024/2025</w:t>
            </w:r>
          </w:p>
        </w:tc>
        <w:tc>
          <w:tcPr>
            <w:tcW w:type="dxa" w:w="1728"/>
            <w:shd w:val="clear" w:color="auto" w:fill="D9D9D9"/>
          </w:tcPr>
          <w:p>
            <w:r/>
            <w:r>
              <w:rPr>
                <w:sz w:val="19"/>
              </w:rPr>
              <w:t>2025/2026</w:t>
            </w:r>
          </w:p>
        </w:tc>
        <w:tc>
          <w:tcPr>
            <w:tcW w:type="dxa" w:w="1728"/>
            <w:shd w:val="clear" w:color="auto" w:fill="D9D9D9"/>
          </w:tcPr>
          <w:p>
            <w:r/>
            <w:r>
              <w:rPr>
                <w:sz w:val="19"/>
              </w:rPr>
              <w:t>2026/2027</w:t>
            </w:r>
          </w:p>
        </w:tc>
      </w:tr>
      <w:tr>
        <w:tc>
          <w:tcPr>
            <w:tcW w:type="dxa" w:w="1728"/>
          </w:tcPr>
          <w:p>
            <w:r/>
            <w:r>
              <w:rPr>
                <w:b w:val="0"/>
                <w:sz w:val="19"/>
              </w:rPr>
              <w:t>1</w:t>
            </w:r>
          </w:p>
        </w:tc>
        <w:tc>
          <w:tcPr>
            <w:tcW w:type="dxa" w:w="1728"/>
          </w:tcPr>
          <w:p>
            <w:r/>
            <w:r>
              <w:rPr>
                <w:b w:val="0"/>
                <w:sz w:val="19"/>
              </w:rPr>
              <w:t>Ketersediaan kelembagaan entrepreneurship serta dokumen pelaksanaannya</w:t>
            </w:r>
          </w:p>
        </w:tc>
        <w:tc>
          <w:tcPr>
            <w:tcW w:type="dxa" w:w="1728"/>
          </w:tcPr>
          <w:p>
            <w:r/>
            <w:r>
              <w:rPr>
                <w:b w:val="0"/>
                <w:sz w:val="19"/>
              </w:rPr>
              <w:t>Tersedia</w:t>
            </w:r>
          </w:p>
        </w:tc>
        <w:tc>
          <w:tcPr>
            <w:tcW w:type="dxa" w:w="1728"/>
          </w:tcPr>
          <w:p>
            <w:r/>
            <w:r>
              <w:rPr>
                <w:b w:val="0"/>
                <w:sz w:val="19"/>
              </w:rPr>
              <w:t>Tersedia</w:t>
            </w:r>
          </w:p>
        </w:tc>
        <w:tc>
          <w:tcPr>
            <w:tcW w:type="dxa" w:w="1728"/>
          </w:tcPr>
          <w:p>
            <w:r/>
            <w:r>
              <w:rPr>
                <w:b w:val="0"/>
                <w:sz w:val="19"/>
              </w:rPr>
              <w:t>Tersedia</w:t>
            </w:r>
          </w:p>
        </w:tc>
      </w:tr>
      <w:tr>
        <w:tc>
          <w:tcPr>
            <w:tcW w:type="dxa" w:w="1728"/>
          </w:tcPr>
          <w:p>
            <w:r/>
            <w:r>
              <w:rPr>
                <w:b w:val="0"/>
                <w:sz w:val="19"/>
              </w:rPr>
              <w:t>2</w:t>
            </w:r>
          </w:p>
        </w:tc>
        <w:tc>
          <w:tcPr>
            <w:tcW w:type="dxa" w:w="1728"/>
          </w:tcPr>
          <w:p>
            <w:r/>
            <w:r>
              <w:rPr>
                <w:b w:val="0"/>
                <w:sz w:val="19"/>
              </w:rPr>
              <w:t>Persentase program studi/unit kerja yang memahami dan menerapkan prosedur kerja sama universitas</w:t>
            </w:r>
          </w:p>
        </w:tc>
        <w:tc>
          <w:tcPr>
            <w:tcW w:type="dxa" w:w="1728"/>
          </w:tcPr>
          <w:p>
            <w:r/>
            <w:r>
              <w:rPr>
                <w:b w:val="0"/>
                <w:sz w:val="19"/>
              </w:rPr>
              <w:t>≥90%</w:t>
            </w:r>
          </w:p>
        </w:tc>
        <w:tc>
          <w:tcPr>
            <w:tcW w:type="dxa" w:w="1728"/>
          </w:tcPr>
          <w:p>
            <w:r/>
            <w:r>
              <w:rPr>
                <w:b w:val="0"/>
                <w:sz w:val="19"/>
              </w:rPr>
              <w:t>≥95%</w:t>
            </w:r>
          </w:p>
        </w:tc>
        <w:tc>
          <w:tcPr>
            <w:tcW w:type="dxa" w:w="1728"/>
          </w:tcPr>
          <w:p>
            <w:r/>
            <w:r>
              <w:rPr>
                <w:b w:val="0"/>
                <w:sz w:val="19"/>
              </w:rPr>
              <w:t>100%</w:t>
            </w:r>
          </w:p>
        </w:tc>
      </w:tr>
      <w:tr>
        <w:tc>
          <w:tcPr>
            <w:tcW w:type="dxa" w:w="1728"/>
          </w:tcPr>
          <w:p>
            <w:r/>
            <w:r>
              <w:rPr>
                <w:b w:val="0"/>
                <w:sz w:val="19"/>
              </w:rPr>
              <w:t>3</w:t>
            </w:r>
          </w:p>
        </w:tc>
        <w:tc>
          <w:tcPr>
            <w:tcW w:type="dxa" w:w="1728"/>
          </w:tcPr>
          <w:p>
            <w:r/>
            <w:r>
              <w:rPr>
                <w:b w:val="0"/>
                <w:sz w:val="19"/>
              </w:rPr>
              <w:t>Jumlah kerja sama non-akademik aktif di tingkat fakultas per tahun</w:t>
            </w:r>
          </w:p>
        </w:tc>
        <w:tc>
          <w:tcPr>
            <w:tcW w:type="dxa" w:w="1728"/>
          </w:tcPr>
          <w:p>
            <w:r/>
            <w:r>
              <w:rPr>
                <w:b w:val="0"/>
                <w:sz w:val="19"/>
              </w:rPr>
              <w:t>≥10</w:t>
            </w:r>
          </w:p>
        </w:tc>
        <w:tc>
          <w:tcPr>
            <w:tcW w:type="dxa" w:w="1728"/>
          </w:tcPr>
          <w:p>
            <w:r/>
            <w:r>
              <w:rPr>
                <w:b w:val="0"/>
                <w:sz w:val="19"/>
              </w:rPr>
              <w:t>≥12</w:t>
            </w:r>
          </w:p>
        </w:tc>
        <w:tc>
          <w:tcPr>
            <w:tcW w:type="dxa" w:w="1728"/>
          </w:tcPr>
          <w:p>
            <w:r/>
            <w:r>
              <w:rPr>
                <w:b w:val="0"/>
                <w:sz w:val="19"/>
              </w:rPr>
              <w:t>≥15</w:t>
            </w:r>
          </w:p>
        </w:tc>
      </w:tr>
    </w:tbl>
    <w:p/>
    <w:p>
      <w:pPr>
        <w:spacing w:before="280" w:after="120"/>
      </w:pPr>
      <w:r>
        <w:rPr>
          <w:b/>
          <w:sz w:val="26"/>
        </w:rPr>
        <w:t>5. STRATEGI PENCAPAIAN</w:t>
      </w:r>
    </w:p>
    <w:p>
      <w:pPr>
        <w:pStyle w:val="ListNumber"/>
        <w:spacing w:after="120"/>
      </w:pPr>
      <w:r>
        <w:t>Rektor melalui unit pengelola kerja sama universitas menetapkan kebijakan, standar, IKU, IKT, dan pedoman kerja sama yang menjadi acuan FTII, disosialisasikan secara berkala kepada Dekanat, Program Studi, dosen, dan tenaga kependidikan.</w:t>
      </w:r>
    </w:p>
    <w:p>
      <w:pPr>
        <w:pStyle w:val="ListNumber"/>
        <w:spacing w:after="120"/>
      </w:pPr>
      <w:r>
        <w:t>Dekan FTII membentuk atau menguatkan unit pengelola kerja sama tingkat fakultas yang berkoordinasi aktif dengan unit pengelola kerja sama universitas dalam perencanaan, fasilitasi, dan pendokumentasian kerja sama.</w:t>
      </w:r>
    </w:p>
    <w:p>
      <w:pPr>
        <w:pStyle w:val="ListNumber"/>
        <w:spacing w:after="120"/>
      </w:pPr>
      <w:r>
        <w:t>Dekan FTII dan Ketua Program Studi secara aktif menginisiasi dan memperluas jejaring kerja sama dengan perguruan tinggi, DUDI, pemerintah daerah, dan mitra internasional, dengan target penambahan mitra terjadwal setiap tahun untuk memenuhi ambang jumlah kerja sama internasional dan nasional.</w:t>
      </w:r>
    </w:p>
    <w:p>
      <w:pPr>
        <w:pStyle w:val="ListNumber"/>
        <w:spacing w:after="120"/>
      </w:pPr>
      <w:r>
        <w:t>Ketua Program Studi menghitung dan memantau rasio kerja sama terhadap NDTPS (RK) setiap semester untuk memastikan pencapaian ambang RK ≥ 4 sesuai formula LAM Teknik/LAM INFOKOM.</w:t>
      </w:r>
    </w:p>
    <w:p>
      <w:pPr>
        <w:pStyle w:val="ListNumber"/>
        <w:spacing w:after="120"/>
      </w:pPr>
      <w:r>
        <w:t>Dekanat FTII dan dosen melaksanakan kegiatan kerja sama tridharma (joint program, penelitian dan publikasi bersama, PkM bersama, MBKM, pemanfaatan sarana bersama) dengan verifikasi pemenuhan 3 aspek kualitas (manfaat, kinerja tridharma, kepuasan mitra) pada setiap kerja sama aktif.</w:t>
      </w:r>
    </w:p>
    <w:p>
      <w:pPr>
        <w:pStyle w:val="ListNumber"/>
        <w:spacing w:after="120"/>
      </w:pPr>
      <w:r>
        <w:t>Unit pengelola kerja sama fakultas memastikan setiap inisiasi kerja sama diikuti proses legalitas MoU-MoA/IA secara tertib dan tepat waktu (≤3 bulan sejak MoU), berkoordinasi dengan bagian hukum universitas.</w:t>
      </w:r>
    </w:p>
    <w:p>
      <w:pPr>
        <w:pStyle w:val="ListNumber"/>
        <w:spacing w:after="120"/>
      </w:pPr>
      <w:r>
        <w:t>Rektorat melalui unit TIK bersama unit pengelola kerja sama fakultas membangun dan memutakhirkan sistem informasi/database kerja sama terpusat, dengan penanggung jawab pemutakhiran data pada setiap unit pengusul kerja sama.</w:t>
      </w:r>
    </w:p>
    <w:p>
      <w:pPr>
        <w:pStyle w:val="ListNumber"/>
        <w:spacing w:after="120"/>
      </w:pPr>
      <w:r>
        <w:t>Wakil Rektor Bidang Umum dan Keuangan bersama Dekan FTII mengalokasikan anggaran kerja sama yang rasional dan proporsional pada setiap awal tahun anggaran untuk mendukung pelaksanaan dan perluasan kerja sama.</w:t>
      </w:r>
    </w:p>
    <w:p>
      <w:pPr>
        <w:pStyle w:val="ListNumber"/>
        <w:spacing w:after="120"/>
      </w:pPr>
      <w:r>
        <w:t>Direktorat Jaminan Mutu (DJM) bersama GKM Program Studi melaksanakan monitoring dan evaluasi kerja sama setiap tahun, menyusun dokumen tindak lanjut, dan mengoordinasikan penyelesaian rekomendasi perbaikan.</w:t>
      </w:r>
    </w:p>
    <w:p>
      <w:pPr>
        <w:pStyle w:val="ListNumber"/>
        <w:spacing w:after="120"/>
      </w:pPr>
      <w:r>
        <w:t>DJM dan UJM Fakultas melaksanakan Audit Mutu Internal (AMI) atas Standar Kerjasama paling sedikit 1 kali per tahun dan melaporkan hasilnya pada Rapat Tinjauan Manajemen (RTM) fakultas.</w:t>
      </w:r>
    </w:p>
    <w:p>
      <w:pPr>
        <w:pStyle w:val="ListNumber"/>
        <w:spacing w:after="120"/>
      </w:pPr>
      <w:r>
        <w:t>Ketua Program Studi bersama dosen memfasilitasi dan mendokumentasikan kerja sama riset unggulan nasional dan internasional yang melibatkan dosen fakultas secara terjadwal setiap tahun.</w:t>
      </w:r>
    </w:p>
    <w:p>
      <w:pPr>
        <w:pStyle w:val="ListNumber"/>
        <w:spacing w:after="120"/>
      </w:pPr>
      <w:r>
        <w:t>Dekan FTII bersama unit kemahasiswaan dan kewirausahaan menguatkan kelembagaan entrepreneurship yang memanfaatkan jejaring kerja sama untuk mendukung inovasi, inkubasi bisnis, dan hilirisasi hasil tridharma.</w:t>
      </w:r>
    </w:p>
    <w:p>
      <w:pPr>
        <w:pStyle w:val="ListNumber"/>
        <w:spacing w:after="120"/>
      </w:pPr>
      <w:r>
        <w:t>Ketua Program Studi memverifikasi keterkaitan visi keilmuan program studi pada setiap dokumen usulan kerja sama sebelum proses legalitas MoU/MoA/IA dimulai, berkoordinasi dengan unit pengelola kerja sama fakultas.</w:t>
      </w:r>
    </w:p>
    <w:p>
      <w:pPr>
        <w:pStyle w:val="ListNumber"/>
        <w:spacing w:after="120"/>
      </w:pPr>
      <w:r>
        <w:t>UJM Fakultas bersama GKM Program Studi melaksanakan root-cause analysis dan SWOT tahunan atas ketercapaian Standar Kerjasama mengikuti template dan prosedur yang ditetapkan Standar Penjaminan Mutu Internal FTII, hasilnya menjadi bahan wajib RTM.</w:t>
      </w:r>
    </w:p>
    <w:p>
      <w:pPr>
        <w:spacing w:before="280" w:after="120"/>
      </w:pPr>
      <w:r>
        <w:rPr>
          <w:b/>
          <w:sz w:val="26"/>
        </w:rPr>
        <w:t>6. MEKANISME EVALUASI</w:t>
      </w:r>
    </w:p>
    <w:p>
      <w:pPr>
        <w:pStyle w:val="ListNumber"/>
        <w:spacing w:after="120"/>
      </w:pPr>
      <w:r>
        <w:t>Monitoring dan evaluasi internal pelaksanaan kerja sama dilakukan oleh GKM Program Studi bersama unit pengelola kerja sama fakultas paling sedikit 1 (satu) kali per tahun, mencakup verifikasi rasio RK, sebaran nasional-internasional, dan pemenuhan 3 aspek kualitas.</w:t>
      </w:r>
    </w:p>
    <w:p>
      <w:pPr>
        <w:pStyle w:val="ListNumber"/>
        <w:spacing w:after="120"/>
      </w:pPr>
      <w:r>
        <w:t>Verifikasi legalitas dan ketepatan waktu dokumen kerja sama (MoU/MoA/IA) dilakukan oleh unit pengelola kerja sama fakultas setiap triwulan, dengan hasil dilaporkan kepada Dekan FTII.</w:t>
      </w:r>
    </w:p>
    <w:p>
      <w:pPr>
        <w:pStyle w:val="ListNumber"/>
        <w:spacing w:after="120"/>
      </w:pPr>
      <w:r>
        <w:t>Verifikasi ketepatan waktu pemutakhiran sistem informasi/database kerja sama dilakukan oleh unit TIK bersama unit pengelola kerja sama fakultas setiap bulan.</w:t>
      </w:r>
    </w:p>
    <w:p>
      <w:pPr>
        <w:pStyle w:val="ListNumber"/>
        <w:spacing w:after="120"/>
      </w:pPr>
      <w:r>
        <w:t>Audit Mutu Internal (AMI) dilaksanakan oleh DJM dan UJM Fakultas paling sedikit 1 (satu) kali per tahun untuk memastikan kesesuaian pelaksanaan seluruh indikator pada standar ini terhadap ambang yang ditetapkan.</w:t>
      </w:r>
    </w:p>
    <w:p>
      <w:pPr>
        <w:pStyle w:val="ListNumber"/>
        <w:spacing w:after="120"/>
      </w:pPr>
      <w:r>
        <w:t>Rapat Tinjauan Manajemen (RTM) tingkat Fakultas diselenggarakan setelah setiap siklus AMI untuk membahas hasil evaluasi, capaian terhadap ambang target, dan menyusun Rencana Tindak Lanjut (RTL) yang ditargetkan selesai paling sedikit 80% pada tahun berjalan.</w:t>
      </w:r>
    </w:p>
    <w:p>
      <w:pPr>
        <w:pStyle w:val="ListNumber"/>
        <w:spacing w:after="120"/>
      </w:pPr>
      <w:r>
        <w:t>Evaluasi kepuasan dan keberlanjutan mitra kerja sama dilakukan oleh Ketua Program Studi paling sedikit 1 kali per tahun melalui survei atau umpan balik mitra, hasilnya digunakan sebagai dasar keputusan perpanjangan atau penghentian kerja sama.</w:t>
      </w:r>
    </w:p>
    <w:p>
      <w:pPr>
        <w:pStyle w:val="ListNumber"/>
        <w:spacing w:after="120"/>
      </w:pPr>
      <w:r>
        <w:t>Peninjauan menyeluruh terhadap Standar Kerjasama dilakukan paling sedikit 1 (satu) kali setiap siklus Renstra (4-5 tahun), atau lebih cepat apabila terdapat perubahan signifikan pada kriteria LAM Teknik/LAM INFOKOM atau kebijakan kerja sama universitas.</w:t>
      </w:r>
    </w:p>
    <w:p>
      <w:pPr>
        <w:pStyle w:val="ListNumber"/>
        <w:spacing w:after="120"/>
      </w:pPr>
      <w:r>
        <w:t>Root-cause analysis dan SWOT tahunan atas Standar Kerjasama dievaluasi oleh UJM Fakultas paling sedikit 1 (satu) kali setiap akhir tahun akademik, sesuai mekanisme yang diatur Standar Penjaminan Mutu Internal FTII, dan wajib dibahas dalam RTM.</w:t>
      </w:r>
    </w:p>
    <w:p>
      <w:pPr>
        <w:spacing w:before="280" w:after="120"/>
      </w:pPr>
      <w:r>
        <w:rPr>
          <w:b/>
          <w:sz w:val="26"/>
        </w:rPr>
        <w:t>7. DOKUMEN / BUKTI PENDUKUNG</w:t>
      </w:r>
    </w:p>
    <w:p>
      <w:pPr>
        <w:pStyle w:val="ListNumber"/>
        <w:spacing w:after="120"/>
      </w:pPr>
      <w:r>
        <w:t>Dokumen kebijakan, standar, IKU, IKT, dan pedoman/SOP kerja sama universitas dan fakultas.</w:t>
      </w:r>
    </w:p>
    <w:p>
      <w:pPr>
        <w:pStyle w:val="ListNumber"/>
        <w:spacing w:after="120"/>
      </w:pPr>
      <w:r>
        <w:t>Struktur organisasi dan uraian tugas lembaga/unit pengelola kerja sama tingkat fakultas.</w:t>
      </w:r>
    </w:p>
    <w:p>
      <w:pPr>
        <w:pStyle w:val="ListNumber"/>
        <w:spacing w:after="120"/>
      </w:pPr>
      <w:r>
        <w:t>Rekapitulasi data kerja sama per bidang (pendidikan, penelitian, PkM) dan per tingkat (internasional/nasional), beserta perhitungan rasio RK terhadap NDTPS per program studi.</w:t>
      </w:r>
    </w:p>
    <w:p>
      <w:pPr>
        <w:pStyle w:val="ListNumber"/>
        <w:spacing w:after="120"/>
      </w:pPr>
      <w:r>
        <w:t>Dokumen legalitas kerja sama: Nota Kesepahaman (MoU), Perjanjian Kerja Sama (MoA), dan Implementation Arrangement (IA)/Letter of Intent (LoI).</w:t>
      </w:r>
    </w:p>
    <w:p>
      <w:pPr>
        <w:pStyle w:val="ListNumber"/>
        <w:spacing w:after="120"/>
      </w:pPr>
      <w:r>
        <w:t>Bukti sahih pemenuhan 3 aspek kualitas kerja sama (manfaat, peningkatan kinerja tridharma, kepuasan mitra) untuk setiap kerja sama aktif.</w:t>
      </w:r>
    </w:p>
    <w:p>
      <w:pPr>
        <w:pStyle w:val="ListNumber"/>
        <w:spacing w:after="120"/>
      </w:pPr>
      <w:r>
        <w:t>Sistem informasi/database kerja sama beserta log riwayat pemutakhiran data.</w:t>
      </w:r>
    </w:p>
    <w:p>
      <w:pPr>
        <w:pStyle w:val="ListNumber"/>
        <w:spacing w:after="120"/>
      </w:pPr>
      <w:r>
        <w:t>Dokumen alokasi anggaran/pendanaan kerja sama tahunan.</w:t>
      </w:r>
    </w:p>
    <w:p>
      <w:pPr>
        <w:pStyle w:val="ListNumber"/>
        <w:spacing w:after="120"/>
      </w:pPr>
      <w:r>
        <w:t>Laporan monitoring dan evaluasi kerja sama beserta dokumen tindak lanjut.</w:t>
      </w:r>
    </w:p>
    <w:p>
      <w:pPr>
        <w:pStyle w:val="ListNumber"/>
        <w:spacing w:after="120"/>
      </w:pPr>
      <w:r>
        <w:t>Laporan Audit Mutu Internal (AMI) dan Berita Acara Rapat Tinjauan Manajemen (RTM) atas Standar Kerjasama.</w:t>
      </w:r>
    </w:p>
    <w:p>
      <w:pPr>
        <w:pStyle w:val="ListNumber"/>
        <w:spacing w:after="120"/>
      </w:pPr>
      <w:r>
        <w:t>Dokumen kerja sama riset unggulan nasional dan internasional yang melibatkan dosen fakultas.</w:t>
      </w:r>
    </w:p>
    <w:p>
      <w:pPr>
        <w:pStyle w:val="ListNumber"/>
        <w:spacing w:after="120"/>
      </w:pPr>
      <w:r>
        <w:t>Dokumen kelembagaan entrepreneurship dan bukti pelaksanaan program kewirausahaan berbasis kerja sama.</w:t>
      </w:r>
    </w:p>
    <w:p>
      <w:pPr>
        <w:pStyle w:val="ListNumber"/>
        <w:spacing w:after="120"/>
      </w:pPr>
      <w:r>
        <w:t>Instrumen Akreditasi Program Studi LAM INFOKOM (Kriteria Unggul 2.1) dan Matriks Penilaian LED-LKPS LAM Teknik APS-AV 2025 1.0 sebagai acuan kalibrasi ambang indikator.</w:t>
      </w:r>
    </w:p>
    <w:p/>
    <w:p>
      <w:pPr>
        <w:pStyle w:val="ListNumber"/>
        <w:spacing w:after="120"/>
      </w:pPr>
      <w:r>
        <w:t>Dokumen usulan/proposal kerja sama yang memuat keterkaitan eksplisit dengan visi keilmuan program studi.</w:t>
      </w:r>
    </w:p>
    <w:p>
      <w:pPr>
        <w:pStyle w:val="ListNumber"/>
        <w:spacing w:after="120"/>
      </w:pPr>
      <w:r>
        <w:t>Dokumen root-cause analysis dan SWOT tahunan atas Standar Kerjasama, sesuai template Standar Penjaminan Mutu Internal FTII, beserta berita acara pembahasannya dalam RTM.</w:t>
      </w:r>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