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UNIVERSITAS STIKUBANK (UNISBANK) SEMARANG</w:t>
      </w:r>
    </w:p>
    <w:p>
      <w:pPr>
        <w:jc w:val="center"/>
      </w:pPr>
      <w:r>
        <w:rPr>
          <w:b/>
          <w:sz w:val="30"/>
        </w:rPr>
        <w:t>STANDAR VISI, MISI, TUJUAN, DAN STRATEGI (VMTS)</w:t>
      </w:r>
    </w:p>
    <w:p>
      <w:pPr>
        <w:jc w:val="center"/>
      </w:pPr>
      <w:r>
        <w:rPr>
          <w:b/>
          <w:sz w:val="26"/>
        </w:rPr>
        <w:t>FAKULTAS TEKNOLOGI INFORMASI DAN INDUSTRI (FTII)</w:t>
      </w:r>
    </w:p>
    <w:p>
      <w:pPr>
        <w:jc w:val="center"/>
      </w:pPr>
      <w:r>
        <w:rPr>
          <w:b w:val="0"/>
          <w:sz w:val="22"/>
        </w:rPr>
        <w:t>Disusun untuk memenuhi ambang kriteria status Terakreditasi Unggul LAM INFOKOM dan LAM Teknik (APS-AV 2025 1.0), dengan indikator standar yang terukur</w:t>
      </w:r>
    </w:p>
    <w:p/>
    <w:p>
      <w:pPr>
        <w:spacing w:after="120"/>
      </w:pPr>
      <w:r>
        <w:rPr>
          <w:b w:val="0"/>
          <w:i w:val="0"/>
        </w:rPr>
        <w:t>Dokumen ini merupakan revisi ke-2 dari Standar Visi Misi FTII UNISBANK (efektif 24 Desember 2024). Revisi pertama disusun berdasarkan hasil pemetaan terhadap 5 dokumen rujukan (Panduan SPMI Sarjana dan Sarjana Terapan 2024 SK Rektor/R1, Matriks Penilaian LED-LKPS Sarjana APS Akademik dan Vokasi Teknik 2025 LAM Teknik/R2, Kriteria Unggul 2.1 LAM INFOKOM/R3, Dokumen SPMI Fasilkom 2023 rev UPN Veteran Jatim/R4, dan 9. Standar SPMI Tahun 2022 Universitas Trunojoyo Madura/R5), didokumentasikan pada Pemetaan_Standar_Visi_Misi_FTII_vs_5_Dokumen_Rujukan.docx. Revisi ke-2 ini menutup 2 (dua) gap tambahan yang ditemukan pada pemetaan kepatuhan terhadap Kriteria C.1 Diferensiasi Misi (VMTS) Pedoman Penyusunan LEDPS LAM Teknik 2025 (Kepatuhan_Standar_Visi_Misi_FTII_vs_Kriteria_C1_LEDPS_LAM_Teknik.docx): (a) belum ada penurunan visi keilmuan ke tingkat program studi yang tertaut kurikulum; dan (b) analisis akar masalah (root-cause analysis) dan SWOT belum eksplisit menjadi siklus evaluasi tahunan pada standar ini — poin (b) kini secara formal diwajibkan lintas-standar oleh Standar Penjaminan Mutu Internal FTII versi Unggul, dan direfleksikan eksplisit di sini agar konsisten. Seluruh ambang indikator kuantitatif pada dokumen ini ditetapkan setara atau melampaui deskriptor skor tertinggi (skor 4) Kriteria I (Diferensiasi Misi) pada Matriks Penilaian LAM Teknik APS-AV 2025 1.0, serta deskriptor tertinggi Kriteria 6 (Diferensiasi Misi, butir 6.1-6.5) pada Kriteria Unggul 2.1 LAM INFOKOM.</w:t>
      </w:r>
    </w:p>
    <w:p/>
    <w:p>
      <w:pPr>
        <w:spacing w:before="280" w:after="120"/>
      </w:pPr>
      <w:r>
        <w:rPr>
          <w:b/>
          <w:sz w:val="26"/>
        </w:rPr>
        <w:t>1. RASIONAL</w:t>
      </w:r>
    </w:p>
    <w:p>
      <w:pPr>
        <w:spacing w:after="120"/>
      </w:pPr>
      <w:r>
        <w:rPr>
          <w:b w:val="0"/>
          <w:i w:val="0"/>
        </w:rPr>
        <w:t>Fakultas Teknologi Informasi dan Industri (FTII) UNISBANK menetapkan Standar Visi, Misi, Tujuan, dan Strategi (VMTS) sebagai arah dasar dan landasan pengembangan fakultas dalam mewujudkan Visi "Pada tahun 2035 menjadi Fakultas Teknologi Informasi dan Industri yang unggul, inovatif, adaptif dalam penerapan ilmu komputer, informatika dan industri yang berjiwa kewirausahaan dan berdaya saing internasional" serta Misi FTII, dengan menjamin keselarasan VMTS Fakultas terhadap VMTS Universitas, Statuta, Rencana Induk Pengembangan (RIP), Rencana Strategis (Renstra), dan Rencana Operasional (Renop).</w:t>
      </w:r>
    </w:p>
    <w:p>
      <w:pPr>
        <w:spacing w:after="120"/>
      </w:pPr>
      <w:r>
        <w:rPr>
          <w:b w:val="0"/>
          <w:i w:val="0"/>
        </w:rPr>
        <w:t>Standar ini disusun tidak hanya untuk memenuhi ketentuan minimal Permendikbudristek Nomor 53 Tahun 2023 tentang Penjaminan Mutu Pendidikan Tinggi, tetapi secara khusus dirancang agar setiap indikator kinerjanya memenuhi atau melampaui ambang skor tertinggi (skor 4) pada Kriteria I (Diferensiasi Misi) Matriks Penilaian LED-LKPS LAM Teknik APS-AV 2025 1.0, serta deskriptor tertinggi pada seluruh lima butir Kriteria 6 (Diferensiasi Misi: Penetapan, Pelaksanaan, Evaluasi, Pengendalian, Peningkatan) Kriteria Unggul 2.1 LAM INFOKOM. Dengan demikian, Standar VMTS ini berfungsi ganda: sebagai instrumen penjaminan mutu internal (SPMI) dan sebagai instrumen kesiapan akreditasi eksternal Unggul.</w:t>
      </w:r>
    </w:p>
    <w:p>
      <w:pPr>
        <w:spacing w:after="120"/>
      </w:pPr>
      <w:r>
        <w:rPr>
          <w:b w:val="0"/>
          <w:i w:val="0"/>
        </w:rPr>
        <w:t>Penyusunan standar ini didasarkan pada hasil pemetaan (gap analysis) terhadap dokumen Standar Visi Misi FTII sebelumnya terhadap kelima dokumen rujukan di atas. Sebagian besar ketentuan FTII (11 dari 13 tema) telah SELARAS PENUH atau lebih unggul dari kelima rujukan, terutama pada keselarasan VMTS-Universitas, mekanisme partisipatif penyusunan (termasuk pelibatan alumni), diferensiasi misi, penjabaran ke RIP-Renstra-Renop, dan penerapan siklus PPEPP. Pemetaan tersebut juga mengidentifikasi area yang memerlukan penajaman ambang agar setara dengan praktik terbaik akreditasi Unggul, yaitu: (a) penetapan ambang frekuensi sosialisasi VMTS yang terukur mengikuti pola R5 (Universitas Trunojoyo Madura); (b) penetapan target kuantitatif tingkat pemahaman VMTS mengikuti pola R4 (SPMI Fasilkom UPN Veteran Jatim); (c) pemecahan pedoman VMTS menjadi lima manual per tahap PPEPP mengikuti pola R5; dan (d) penguatan bukti pengakuan/apresiasi eksternal pada tingkat lokal, nasional, dan internasional pada setiap tahap PPEPP mengikuti deskriptor skor sempurna Kriteria 6 LAM INFOKOM (R3).</w:t>
      </w:r>
    </w:p>
    <w:p>
      <w:pPr>
        <w:spacing w:after="120"/>
      </w:pPr>
      <w:r>
        <w:rPr>
          <w:b w:val="0"/>
          <w:i w:val="0"/>
        </w:rPr>
        <w:t>Ketentuan benchmarking FTII dipertahankan dan diperkuat dengan ambang terukur sebagai praktik unggulan (best practice) FTII sendiri, mengingat konsep benchmarking tidak ditemukan secara eksplisit pada kelima dokumen rujukan namun tetap relevan sebagai wujud budaya mutu berkelanjutan sesuai semangat Permendikbudristek Nomor 53 Tahun 2023.</w:t>
      </w:r>
    </w:p>
    <w:p>
      <w:pPr>
        <w:spacing w:after="120"/>
      </w:pPr>
      <w:r>
        <w:rPr>
          <w:b w:val="0"/>
          <w:i w:val="0"/>
        </w:rPr>
        <w:t>Revisi ke-2 ini juga menegaskan bahwa Kekhasan VMTS FTII tidak boleh berhenti pada level Fakultas: Kriteria C.1 LEDPS LAM Teknik secara eksplisit menilai 'visi keilmuan program studi ... didukung dengan Renstra dan kurikulum yang memadai' sebagai bagian penilaian tertinggi. Oleh karena itu, standar ini menambahkan kewajiban setiap program studi menyusun visi keilmuan program studi yang diturunkan dari diferensiasi misi FTII dan tertaut eksplisit pada struktur kurikulum, agar LEDPS program studi memiliki bukti langsung yang dapat diverifikasi terhadap deskriptor skor tertinggi LAM Teknik maupun LAM INFOKOM.</w:t>
      </w:r>
    </w:p>
    <w:p>
      <w:pPr>
        <w:spacing w:before="280" w:after="120"/>
      </w:pPr>
      <w:r>
        <w:rPr>
          <w:b/>
          <w:sz w:val="26"/>
        </w:rPr>
        <w:t>2. PIHAK YANG BERTANGGUNG JAWAB</w:t>
      </w:r>
    </w:p>
    <w:p>
      <w:pPr>
        <w:pStyle w:val="ListNumber"/>
        <w:spacing w:after="120"/>
      </w:pPr>
      <w:r>
        <w:t>Penetapan: Rektor menetapkan Standar VMTS FTII melalui Keputusan Rektor setelah mendapat persetujuan Senat Universitas, berdasarkan usulan Dekan FTII serta masukan sivitas akademika dan pemangku kepentingan.</w:t>
      </w:r>
    </w:p>
    <w:p>
      <w:pPr>
        <w:pStyle w:val="ListNumber"/>
        <w:spacing w:after="120"/>
      </w:pPr>
      <w:r>
        <w:t>Pelaksanaan: Rektor, Wakil Rektor, Dekan FTII, Ketua Program Studi, dosen, tenaga kependidikan, mahasiswa, serta seluruh unit kerja di lingkungan FTII melaksanakan Standar VMTS sesuai tugas dan kewenangan masing-masing, termasuk pelaksanaan benchmarking, sosialisasi, dan survei pemahaman VMTS.</w:t>
      </w:r>
    </w:p>
    <w:p>
      <w:pPr>
        <w:pStyle w:val="ListNumber"/>
        <w:spacing w:after="120"/>
      </w:pPr>
      <w:r>
        <w:t>Evaluasi: Direktorat Jaminan Mutu (DJM), Unit Jaminan Mutu (UJM) Fakultas, dan Gugus Kendali Mutu (GKM) Program Studi melaksanakan monitoring dan evaluasi, Audit Mutu Internal (AMI), survei pemahaman VMTS, serta verifikasi bukti pengakuan eksternal secara berkala.</w:t>
      </w:r>
    </w:p>
    <w:p>
      <w:pPr>
        <w:pStyle w:val="ListNumber"/>
        <w:spacing w:after="120"/>
      </w:pPr>
      <w:r>
        <w:t>Pengendalian: Rektor, Wakil Rektor Bidang Akademik dan Kemahasiswaan, Wakil Rektor Bidang Pengembangan Institusi dan Sumber Daya, serta Dekan FTII memastikan kesesuaian pelaksanaan VMTS dengan Statuta, RIP, Renstra, Renop, dan kebijakan mutu universitas, termasuk menindaklanjuti hasil AMI melalui Rencana Tindak Lanjut (RTL).</w:t>
      </w:r>
    </w:p>
    <w:p>
      <w:pPr>
        <w:pStyle w:val="ListNumber"/>
        <w:spacing w:after="120"/>
      </w:pPr>
      <w:r>
        <w:t>Peningkatan: Rektor, Dekan FTII, Ketua Program Studi, DJM, UJM, dan GKM merumuskan peningkatan target dan strategi VMTS berdasarkan hasil evaluasi, benchmarking, dan perubahan lingkungan strategis, guna menjaga kesetaraan dan/atau keunggulan ambang indikator terhadap kriteria LAM Teknik dan LAM INFOKOM pada setiap siklus Renstra.</w:t>
      </w:r>
    </w:p>
    <w:p>
      <w:pPr>
        <w:spacing w:before="280" w:after="120"/>
      </w:pPr>
      <w:r>
        <w:rPr>
          <w:b/>
          <w:sz w:val="26"/>
        </w:rPr>
        <w:t>3. PERNYATAAN STANDAR</w:t>
      </w:r>
    </w:p>
    <w:p>
      <w:pPr>
        <w:pStyle w:val="ListNumber"/>
        <w:spacing w:after="120"/>
      </w:pPr>
      <w:r>
        <w:t>FTII wajib memiliki VMTS yang ditetapkan melalui Keputusan Rektor setelah mendapat persetujuan Senat Universitas, selaras dengan VMTS Universitas, Statuta, RIP, Renstra, dan Renop, serta ditinjau paling sedikit 1 (satu) kali setiap siklus Renstra (4-5 tahun) atau lebih cepat apabila terjadi perubahan lingkungan strategis yang signifikan.</w:t>
      </w:r>
    </w:p>
    <w:p>
      <w:pPr>
        <w:pStyle w:val="ListNumber"/>
        <w:spacing w:after="120"/>
      </w:pPr>
      <w:r>
        <w:t>Rektor wajib membentuk Tim Penyusun/Peninjau VMTS yang melibatkan pimpinan universitas, pimpinan fakultas, program studi, dosen, tenaga kependidikan, mahasiswa, alumni, pengguna lulusan, pakar/mitra profesi, dan DUDIKA, dibuktikan dengan Surat Keputusan Tim dan berita acara keterlibatan seluruh unsur.</w:t>
      </w:r>
    </w:p>
    <w:p>
      <w:pPr>
        <w:pStyle w:val="ListNumber"/>
        <w:spacing w:after="120"/>
      </w:pPr>
      <w:r>
        <w:t>Tim Penyusun VMTS wajib melaksanakan analisis kondisi internal-eksternal (SWOT) dan benchmarking dengan paling sedikit 2 (dua) perguruan tinggi/institusi sejenis — mencakup minimal 1 (satu) institusi nasional terakreditasi Unggul dan 1 (satu) mitra/institusi internasional — sebagai dasar penyusunan atau peninjauan VMTS.</w:t>
      </w:r>
    </w:p>
    <w:p>
      <w:pPr>
        <w:pStyle w:val="ListNumber"/>
        <w:spacing w:after="120"/>
      </w:pPr>
      <w:r>
        <w:t>FTII wajib memiliki dokumen formal VMTS yang secara eksplisit mencerminkan diferensiasi misi/visi keilmuan FTII pada bidang teknologi informasi, industri, data-driven, dan digital business sebagai identitas dan keunggulan kompetitif fakultas, diimplementasikan pada 100% program studi di lingkungan FTII.</w:t>
      </w:r>
    </w:p>
    <w:p>
      <w:pPr>
        <w:pStyle w:val="ListNumber"/>
        <w:spacing w:after="120"/>
      </w:pPr>
      <w:r>
        <w:t>FTII wajib memiliki pedoman VMTS yang terdiri atas 5 (lima) manual terpisah mengikuti siklus PPEPP: Manual Penetapan, Manual Pelaksanaan, Manual Evaluasi, Manual Pengendalian, dan Manual Peningkatan Standar VMTS, yang seluruhnya tersedia, terdokumentasi, dan diperbarui setiap siklus Renstra.</w:t>
      </w:r>
    </w:p>
    <w:p>
      <w:pPr>
        <w:pStyle w:val="ListNumber"/>
        <w:spacing w:after="120"/>
      </w:pPr>
      <w:r>
        <w:t>VMTS FTII wajib dijabarkan berjenjang ke dalam RIP (rencana jangka panjang, minimal 15 tahun), Renstra (rencana jangka menengah, 5 tahun), dan Renop (rencana jangka pendek, tahunan), memuat program kerja, indikator kinerja, dan target pencapaian yang terukur serta berorientasi pada peningkatan daya saing nasional dan internasional.</w:t>
      </w:r>
    </w:p>
    <w:p>
      <w:pPr>
        <w:pStyle w:val="ListNumber"/>
        <w:spacing w:after="120"/>
      </w:pPr>
      <w:r>
        <w:t>Seluruh program pendidikan, penelitian, dan pengabdian kepada masyarakat di FTII wajib dilaksanakan sesuai VMTS, Renstra, dan peta jalan pengembangan fakultas, dengan tingkat keterlaksanaan program tridharma paling sedikit 95% dari program yang direncanakan pada tahun berjalan, meningkat menuju 100% pada akhir siklus Renstra.</w:t>
      </w:r>
    </w:p>
    <w:p>
      <w:pPr>
        <w:pStyle w:val="ListNumber"/>
        <w:spacing w:after="120"/>
      </w:pPr>
      <w:r>
        <w:t>FTII wajib melaksanakan evaluasi efektivitas dan efisiensi pelaksanaan program serta evaluasi keterlaksanaan misi dan ketercapaian tujuan/strategi paling sedikit 1 (satu) kali setiap tahun akademik menggunakan indikator kinerja yang ditetapkan, dengan capaian kinerja fakultas dan program studi paling sedikit 80% dan meningkat berkelanjutan menuju paling sedikit 90%.</w:t>
      </w:r>
    </w:p>
    <w:p>
      <w:pPr>
        <w:pStyle w:val="ListNumber"/>
        <w:spacing w:after="120"/>
      </w:pPr>
      <w:r>
        <w:t>FTII wajib melaksanakan benchmarking capaian tridharma dan tata kelola dengan perguruan tinggi/institusi lain paling sedikit 1 (satu) kali per tahun, dengan cakupan sasaran meningkat dari minimal 1 mitra nasional dan 1 mitra internasional (tahun pertama) menjadi minimal 1 mitra nasional dan 2 mitra internasional (akhir siklus Renstra).</w:t>
      </w:r>
    </w:p>
    <w:p>
      <w:pPr>
        <w:pStyle w:val="ListNumber"/>
        <w:spacing w:after="120"/>
      </w:pPr>
      <w:r>
        <w:t>FTII wajib menyusun laporan tahunan ketercapaian VMTS dan diferensiasi misi (setara Laporan Kinerja/LAKIP) yang disampaikan kepada pemangku kepentingan melalui rapat kerja/Rapat Tinjauan Manajemen (RTM) paling lambat triwulan pertama tahun akademik berikutnya.</w:t>
      </w:r>
    </w:p>
    <w:p>
      <w:pPr>
        <w:pStyle w:val="ListNumber"/>
        <w:spacing w:after="120"/>
      </w:pPr>
      <w:r>
        <w:t>FTII wajib memperoleh dan mendokumentasikan pengakuan/apresiasi eksternal atas keunggulan penyelenggaraan tridharma sesuai diferensiasi misi dari masyarakat dan/atau DUDIKA pada tingkat lokal, nasional, dan internasional, dengan target paling sedikit 1 (satu) bentuk pengakuan pada masing-masing tingkat setiap tahun, sebagai bukti sahih pada seluruh tahap PPEPP (Penetapan, Pelaksanaan, Evaluasi, Pengendalian, Peningkatan) sesuai deskriptor skor sempurna Kriteria 6 LAM INFOKOM.</w:t>
      </w:r>
    </w:p>
    <w:p>
      <w:pPr>
        <w:pStyle w:val="ListNumber"/>
        <w:spacing w:after="120"/>
      </w:pPr>
      <w:r>
        <w:t>FTII wajib melaksanakan sosialisasi VMTS kepada seluruh sivitas akademika dan pemangku kepentingan paling sedikit 2 (dua) kali setiap tahun akademik melalui berbagai media (rapat kerja, orientasi mahasiswa baru, dies natalis, media cetak/elektronik/daring), dengan bukti daftar hadir dan materi sosialisasi yang terdokumentasi.</w:t>
      </w:r>
    </w:p>
    <w:p>
      <w:pPr>
        <w:pStyle w:val="ListNumber"/>
        <w:spacing w:after="120"/>
      </w:pPr>
      <w:r>
        <w:t>FTII wajib melaksanakan survei/kuesioner pengukuran tingkat pemahaman VMTS terhadap dosen, tenaga kependidikan, mahasiswa, dan pemangku kepentingan eksternal paling sedikit 1 (satu) kali per tahun, dengan target tingkat pemahaman paling sedikit 85% pada tahun pertama penerapan standar, meningkat menjadi paling sedikit 95% pada akhir siklus Renstra, serta hasilnya digunakan sebagai dasar peningkatan efektivitas sosialisasi.</w:t>
      </w:r>
    </w:p>
    <w:p>
      <w:pPr>
        <w:pStyle w:val="ListNumber"/>
        <w:spacing w:after="120"/>
      </w:pPr>
      <w:r>
        <w:t>FTII wajib menerapkan siklus Penetapan, Pelaksanaan, Evaluasi, Pengendalian, dan Peningkatan (PPEPP) terhadap VMTS secara terdokumentasi pada kelima tahap, disertai bukti sahih dan lengkap pada setiap tahap sebagai dasar penjaminan mutu berkelanjutan.</w:t>
      </w:r>
    </w:p>
    <w:p>
      <w:pPr>
        <w:pStyle w:val="ListNumber"/>
        <w:spacing w:after="120"/>
      </w:pPr>
      <w:r>
        <w:t>FTII wajib melaksanakan Audit Mutu Internal (AMI) atas implementasi Standar VMTS paling sedikit 1 (satu) kali per tahun, dengan tindak lanjut Rencana Tindak Lanjut (RTL) yang diselesaikan paling sedikit 80% pada tahun berjalan dan 100% pada akhir siklus evaluasi.</w:t>
      </w:r>
    </w:p>
    <w:p>
      <w:pPr>
        <w:pStyle w:val="ListNumber"/>
        <w:spacing w:after="120"/>
      </w:pPr>
      <w:r>
        <w:t>FTII wajib memiliki dan mendokumentasikan bukti pelaksanaan pengembangan yang konsisten dengan target daya saing nasional dan internasional sebagaimana ditetapkan dalam Renstra dan Renop, dievaluasi setiap tahun sebagai bagian dari laporan ketercapaian VMTS.</w:t>
      </w:r>
    </w:p>
    <w:p>
      <w:pPr>
        <w:pStyle w:val="ListNumber"/>
        <w:spacing w:after="120"/>
      </w:pPr>
      <w:r>
        <w:t>*Setiap program studi di lingkungan FTII wajib menyusun dan menetapkan visi keilmuan program studi (scientific vision) yang diturunkan secara eksplisit dari diferensiasi misi FTII (teknologi informasi, industri, data-driven, dan digital business), dituangkan dalam dokumen kurikulum program studi, dan ditinjau bersamaan dengan siklus peninjauan kurikulum (paling lama 4 tahun) untuk memastikan keterkaitannya tetap relevan dengan VMTS FTII yang berlaku.</w:t>
      </w:r>
    </w:p>
    <w:p>
      <w:pPr>
        <w:pStyle w:val="ListNumber"/>
        <w:spacing w:after="120"/>
      </w:pPr>
      <w:r>
        <w:t>*FTII wajib melaksanakan Analisis Faktor Keberhasilan dan Penghambat (root-cause analysis) serta analisis SWOT atas ketercapaian VMTS paling sedikit 1 (satu) kali setiap tahun akademik, sesuai dengan mekanisme yang diwajibkan Standar Penjaminan Mutu Internal FTII bagi seluruh standar turunan, sebagai bagian wajib pembahasan Rapat Tinjauan Manajemen (RTM) dan dasar penyusunan Rencana Tindak Lanjut (RTL).</w:t>
      </w:r>
    </w:p>
    <w:p>
      <w:pPr>
        <w:spacing w:after="120"/>
      </w:pPr>
      <w:r>
        <w:rPr>
          <w:b w:val="0"/>
          <w:i/>
        </w:rPr>
        <w:t>Catatan: pernyataan bertanda (*) adalah ketentuan BARU pada revisi ke-2 untuk menutup gap hasil pemetaan Kriteria C.1 LEDPS LAM Teknik 2025.</w:t>
      </w:r>
    </w:p>
    <w:p>
      <w:pPr>
        <w:spacing w:before="280" w:after="120"/>
      </w:pPr>
      <w:r>
        <w:rPr>
          <w:b/>
          <w:sz w:val="26"/>
        </w:rPr>
        <w:t>4. INDIKATOR KINERJA (IKU / IKT)</w:t>
      </w:r>
    </w:p>
    <w:p>
      <w:pPr>
        <w:spacing w:after="120"/>
      </w:pPr>
      <w:r>
        <w:rPr>
          <w:b w:val="0"/>
          <w:i w:val="0"/>
        </w:rPr>
        <w:t>Seluruh ambang Indikator Kinerja Utama (IKU) pada tabel berikut ditetapkan setara dengan atau melampaui ambang skor tertinggi (skor 4) Kriteria I Matriks Penilaian LAM Teknik APS-AV 2025 1.0 dan deskriptor tertinggi Kriteria 6 (Diferensiasi Misi) Kriteria Unggul 2.1 LAM INFOKOM, sehingga pencapaiannya secara langsung mendukung kesiapan akreditasi Unggul.</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D9D9"/>
          </w:tcPr>
          <w:p>
            <w:r/>
            <w:r>
              <w:rPr>
                <w:b/>
                <w:sz w:val="19"/>
              </w:rPr>
              <w:t>No</w:t>
            </w:r>
          </w:p>
        </w:tc>
        <w:tc>
          <w:tcPr>
            <w:tcW w:type="dxa" w:w="1728"/>
            <w:shd w:val="clear" w:color="auto" w:fill="D9D9D9"/>
          </w:tcPr>
          <w:p>
            <w:r/>
            <w:r>
              <w:rPr>
                <w:b/>
                <w:sz w:val="19"/>
              </w:rPr>
              <w:t>Indikator Kinerja Utama (IKU)</w:t>
            </w:r>
          </w:p>
        </w:tc>
        <w:tc>
          <w:tcPr>
            <w:tcW w:type="dxa" w:w="1728"/>
            <w:shd w:val="clear" w:color="auto" w:fill="D9D9D9"/>
          </w:tcPr>
          <w:p>
            <w:r/>
            <w:r>
              <w:rPr>
                <w:sz w:val="19"/>
              </w:rPr>
              <w:t>2024/2025</w:t>
            </w:r>
          </w:p>
        </w:tc>
        <w:tc>
          <w:tcPr>
            <w:tcW w:type="dxa" w:w="1728"/>
            <w:shd w:val="clear" w:color="auto" w:fill="D9D9D9"/>
          </w:tcPr>
          <w:p>
            <w:r/>
            <w:r>
              <w:rPr>
                <w:sz w:val="19"/>
              </w:rPr>
              <w:t>2025/2026</w:t>
            </w:r>
          </w:p>
        </w:tc>
        <w:tc>
          <w:tcPr>
            <w:tcW w:type="dxa" w:w="1728"/>
            <w:shd w:val="clear" w:color="auto" w:fill="D9D9D9"/>
          </w:tcPr>
          <w:p>
            <w:r/>
            <w:r>
              <w:rPr>
                <w:sz w:val="19"/>
              </w:rPr>
              <w:t>2026/2027</w:t>
            </w:r>
          </w:p>
        </w:tc>
      </w:tr>
      <w:tr>
        <w:tc>
          <w:tcPr>
            <w:tcW w:type="dxa" w:w="1728"/>
          </w:tcPr>
          <w:p>
            <w:r/>
            <w:r>
              <w:rPr>
                <w:b w:val="0"/>
                <w:sz w:val="19"/>
              </w:rPr>
              <w:t>1</w:t>
            </w:r>
          </w:p>
        </w:tc>
        <w:tc>
          <w:tcPr>
            <w:tcW w:type="dxa" w:w="1728"/>
          </w:tcPr>
          <w:p>
            <w:r/>
            <w:r>
              <w:rPr>
                <w:b w:val="0"/>
                <w:sz w:val="19"/>
              </w:rPr>
              <w:t>Ketersediaan dan keselarasan VMTS (PT-UPPS-PS), Statuta, RIP, Renstra, Renop</w:t>
            </w:r>
          </w:p>
        </w:tc>
        <w:tc>
          <w:tcPr>
            <w:tcW w:type="dxa" w:w="1728"/>
          </w:tcPr>
          <w:p>
            <w:r/>
            <w:r>
              <w:rPr>
                <w:b w:val="0"/>
                <w:sz w:val="19"/>
              </w:rPr>
              <w:t>Tersedia &amp; selaras</w:t>
            </w:r>
          </w:p>
        </w:tc>
        <w:tc>
          <w:tcPr>
            <w:tcW w:type="dxa" w:w="1728"/>
          </w:tcPr>
          <w:p>
            <w:r/>
            <w:r>
              <w:rPr>
                <w:b w:val="0"/>
                <w:sz w:val="19"/>
              </w:rPr>
              <w:t>Tersedia &amp; selaras</w:t>
            </w:r>
          </w:p>
        </w:tc>
        <w:tc>
          <w:tcPr>
            <w:tcW w:type="dxa" w:w="1728"/>
          </w:tcPr>
          <w:p>
            <w:r/>
            <w:r>
              <w:rPr>
                <w:b w:val="0"/>
                <w:sz w:val="19"/>
              </w:rPr>
              <w:t>Tersedia &amp; selaras</w:t>
            </w:r>
          </w:p>
        </w:tc>
      </w:tr>
      <w:tr>
        <w:tc>
          <w:tcPr>
            <w:tcW w:type="dxa" w:w="1728"/>
          </w:tcPr>
          <w:p>
            <w:r/>
            <w:r>
              <w:rPr>
                <w:b w:val="0"/>
                <w:sz w:val="19"/>
              </w:rPr>
              <w:t>2</w:t>
            </w:r>
          </w:p>
        </w:tc>
        <w:tc>
          <w:tcPr>
            <w:tcW w:type="dxa" w:w="1728"/>
          </w:tcPr>
          <w:p>
            <w:r/>
            <w:r>
              <w:rPr>
                <w:b w:val="0"/>
                <w:sz w:val="19"/>
              </w:rPr>
              <w:t>Persentase program studi yang mengimplementasikan VMTS sesuai kebijakan Fakultas/Universitas</w:t>
            </w:r>
          </w:p>
        </w:tc>
        <w:tc>
          <w:tcPr>
            <w:tcW w:type="dxa" w:w="1728"/>
          </w:tcPr>
          <w:p>
            <w:r/>
            <w:r>
              <w:rPr>
                <w:b w:val="0"/>
                <w:sz w:val="19"/>
              </w:rPr>
              <w:t>90%</w:t>
            </w:r>
          </w:p>
        </w:tc>
        <w:tc>
          <w:tcPr>
            <w:tcW w:type="dxa" w:w="1728"/>
          </w:tcPr>
          <w:p>
            <w:r/>
            <w:r>
              <w:rPr>
                <w:b w:val="0"/>
                <w:sz w:val="19"/>
              </w:rPr>
              <w:t>95%</w:t>
            </w:r>
          </w:p>
        </w:tc>
        <w:tc>
          <w:tcPr>
            <w:tcW w:type="dxa" w:w="1728"/>
          </w:tcPr>
          <w:p>
            <w:r/>
            <w:r>
              <w:rPr>
                <w:b w:val="0"/>
                <w:sz w:val="19"/>
              </w:rPr>
              <w:t>100%</w:t>
            </w:r>
          </w:p>
        </w:tc>
      </w:tr>
      <w:tr>
        <w:tc>
          <w:tcPr>
            <w:tcW w:type="dxa" w:w="1728"/>
          </w:tcPr>
          <w:p>
            <w:r/>
            <w:r>
              <w:rPr>
                <w:b w:val="0"/>
                <w:sz w:val="19"/>
              </w:rPr>
              <w:t>3</w:t>
            </w:r>
          </w:p>
        </w:tc>
        <w:tc>
          <w:tcPr>
            <w:tcW w:type="dxa" w:w="1728"/>
          </w:tcPr>
          <w:p>
            <w:r/>
            <w:r>
              <w:rPr>
                <w:b w:val="0"/>
                <w:sz w:val="19"/>
              </w:rPr>
              <w:t>Keterlibatan pemangku kepentingan internal &amp; eksternal (termasuk alumni &amp; DUDIKA) dalam penyusunan/peninjauan VMTS, dibuktikan SK Tim &amp; berita acara</w:t>
            </w:r>
          </w:p>
        </w:tc>
        <w:tc>
          <w:tcPr>
            <w:tcW w:type="dxa" w:w="1728"/>
          </w:tcPr>
          <w:p>
            <w:r/>
            <w:r>
              <w:rPr>
                <w:b w:val="0"/>
                <w:sz w:val="19"/>
              </w:rPr>
              <w:t>100% unsur terlibat</w:t>
            </w:r>
          </w:p>
        </w:tc>
        <w:tc>
          <w:tcPr>
            <w:tcW w:type="dxa" w:w="1728"/>
          </w:tcPr>
          <w:p>
            <w:r/>
            <w:r>
              <w:rPr>
                <w:b w:val="0"/>
                <w:sz w:val="19"/>
              </w:rPr>
              <w:t>100% unsur terlibat</w:t>
            </w:r>
          </w:p>
        </w:tc>
        <w:tc>
          <w:tcPr>
            <w:tcW w:type="dxa" w:w="1728"/>
          </w:tcPr>
          <w:p>
            <w:r/>
            <w:r>
              <w:rPr>
                <w:b w:val="0"/>
                <w:sz w:val="19"/>
              </w:rPr>
              <w:t>100% unsur terlibat</w:t>
            </w:r>
          </w:p>
        </w:tc>
      </w:tr>
      <w:tr>
        <w:tc>
          <w:tcPr>
            <w:tcW w:type="dxa" w:w="1728"/>
          </w:tcPr>
          <w:p>
            <w:r/>
            <w:r>
              <w:rPr>
                <w:b w:val="0"/>
                <w:sz w:val="19"/>
              </w:rPr>
              <w:t>4</w:t>
            </w:r>
          </w:p>
        </w:tc>
        <w:tc>
          <w:tcPr>
            <w:tcW w:type="dxa" w:w="1728"/>
          </w:tcPr>
          <w:p>
            <w:r/>
            <w:r>
              <w:rPr>
                <w:b w:val="0"/>
                <w:sz w:val="19"/>
              </w:rPr>
              <w:t>Jumlah mitra benchmarking (nasional/internasional) per tahun</w:t>
            </w:r>
          </w:p>
        </w:tc>
        <w:tc>
          <w:tcPr>
            <w:tcW w:type="dxa" w:w="1728"/>
          </w:tcPr>
          <w:p>
            <w:r/>
            <w:r>
              <w:rPr>
                <w:b w:val="0"/>
                <w:sz w:val="19"/>
              </w:rPr>
              <w:t>≥1 nasional &amp; ≥1 internasional</w:t>
            </w:r>
          </w:p>
        </w:tc>
        <w:tc>
          <w:tcPr>
            <w:tcW w:type="dxa" w:w="1728"/>
          </w:tcPr>
          <w:p>
            <w:r/>
            <w:r>
              <w:rPr>
                <w:b w:val="0"/>
                <w:sz w:val="19"/>
              </w:rPr>
              <w:t>≥1 nasional &amp; ≥1 internasional</w:t>
            </w:r>
          </w:p>
        </w:tc>
        <w:tc>
          <w:tcPr>
            <w:tcW w:type="dxa" w:w="1728"/>
          </w:tcPr>
          <w:p>
            <w:r/>
            <w:r>
              <w:rPr>
                <w:b w:val="0"/>
                <w:sz w:val="19"/>
              </w:rPr>
              <w:t>≥1 nasional &amp; ≥2 internasional</w:t>
            </w:r>
          </w:p>
        </w:tc>
      </w:tr>
      <w:tr>
        <w:tc>
          <w:tcPr>
            <w:tcW w:type="dxa" w:w="1728"/>
          </w:tcPr>
          <w:p>
            <w:r/>
            <w:r>
              <w:rPr>
                <w:b w:val="0"/>
                <w:sz w:val="19"/>
              </w:rPr>
              <w:t>5</w:t>
            </w:r>
          </w:p>
        </w:tc>
        <w:tc>
          <w:tcPr>
            <w:tcW w:type="dxa" w:w="1728"/>
          </w:tcPr>
          <w:p>
            <w:r/>
            <w:r>
              <w:rPr>
                <w:b w:val="0"/>
                <w:sz w:val="19"/>
              </w:rPr>
              <w:t>Ketersediaan pedoman VMTS (5 manual PPEPP: Penetapan, Pelaksanaan, Evaluasi, Pengendalian, Peningkatan)</w:t>
            </w:r>
          </w:p>
        </w:tc>
        <w:tc>
          <w:tcPr>
            <w:tcW w:type="dxa" w:w="1728"/>
          </w:tcPr>
          <w:p>
            <w:r/>
            <w:r>
              <w:rPr>
                <w:b w:val="0"/>
                <w:sz w:val="19"/>
              </w:rPr>
              <w:t>3 dari 5 manual</w:t>
            </w:r>
          </w:p>
        </w:tc>
        <w:tc>
          <w:tcPr>
            <w:tcW w:type="dxa" w:w="1728"/>
          </w:tcPr>
          <w:p>
            <w:r/>
            <w:r>
              <w:rPr>
                <w:b w:val="0"/>
                <w:sz w:val="19"/>
              </w:rPr>
              <w:t>5 dari 5 manual</w:t>
            </w:r>
          </w:p>
        </w:tc>
        <w:tc>
          <w:tcPr>
            <w:tcW w:type="dxa" w:w="1728"/>
          </w:tcPr>
          <w:p>
            <w:r/>
            <w:r>
              <w:rPr>
                <w:b w:val="0"/>
                <w:sz w:val="19"/>
              </w:rPr>
              <w:t>5 dari 5 manual (diperbarui)</w:t>
            </w:r>
          </w:p>
        </w:tc>
      </w:tr>
      <w:tr>
        <w:tc>
          <w:tcPr>
            <w:tcW w:type="dxa" w:w="1728"/>
          </w:tcPr>
          <w:p>
            <w:r/>
            <w:r>
              <w:rPr>
                <w:b w:val="0"/>
                <w:sz w:val="19"/>
              </w:rPr>
              <w:t>6</w:t>
            </w:r>
          </w:p>
        </w:tc>
        <w:tc>
          <w:tcPr>
            <w:tcW w:type="dxa" w:w="1728"/>
          </w:tcPr>
          <w:p>
            <w:r/>
            <w:r>
              <w:rPr>
                <w:b w:val="0"/>
                <w:sz w:val="19"/>
              </w:rPr>
              <w:t>Ketersediaan jenjang dokumen perencanaan (RIP, Renstra, Renop)</w:t>
            </w:r>
          </w:p>
        </w:tc>
        <w:tc>
          <w:tcPr>
            <w:tcW w:type="dxa" w:w="1728"/>
          </w:tcPr>
          <w:p>
            <w:r/>
            <w:r>
              <w:rPr>
                <w:b w:val="0"/>
                <w:sz w:val="19"/>
              </w:rPr>
              <w:t>Tersedia lengkap</w:t>
            </w:r>
          </w:p>
        </w:tc>
        <w:tc>
          <w:tcPr>
            <w:tcW w:type="dxa" w:w="1728"/>
          </w:tcPr>
          <w:p>
            <w:r/>
            <w:r>
              <w:rPr>
                <w:b w:val="0"/>
                <w:sz w:val="19"/>
              </w:rPr>
              <w:t>Tersedia lengkap</w:t>
            </w:r>
          </w:p>
        </w:tc>
        <w:tc>
          <w:tcPr>
            <w:tcW w:type="dxa" w:w="1728"/>
          </w:tcPr>
          <w:p>
            <w:r/>
            <w:r>
              <w:rPr>
                <w:b w:val="0"/>
                <w:sz w:val="19"/>
              </w:rPr>
              <w:t>Tersedia lengkap</w:t>
            </w:r>
          </w:p>
        </w:tc>
      </w:tr>
      <w:tr>
        <w:tc>
          <w:tcPr>
            <w:tcW w:type="dxa" w:w="1728"/>
          </w:tcPr>
          <w:p>
            <w:r/>
            <w:r>
              <w:rPr>
                <w:b w:val="0"/>
                <w:sz w:val="19"/>
              </w:rPr>
              <w:t>7</w:t>
            </w:r>
          </w:p>
        </w:tc>
        <w:tc>
          <w:tcPr>
            <w:tcW w:type="dxa" w:w="1728"/>
          </w:tcPr>
          <w:p>
            <w:r/>
            <w:r>
              <w:rPr>
                <w:b w:val="0"/>
                <w:sz w:val="19"/>
              </w:rPr>
              <w:t>Persentase keterlaksanaan program tridharma sesuai Renstra dan peta jalan pengembangan</w:t>
            </w:r>
          </w:p>
        </w:tc>
        <w:tc>
          <w:tcPr>
            <w:tcW w:type="dxa" w:w="1728"/>
          </w:tcPr>
          <w:p>
            <w:r/>
            <w:r>
              <w:rPr>
                <w:b w:val="0"/>
                <w:sz w:val="19"/>
              </w:rPr>
              <w:t>≥95%</w:t>
            </w:r>
          </w:p>
        </w:tc>
        <w:tc>
          <w:tcPr>
            <w:tcW w:type="dxa" w:w="1728"/>
          </w:tcPr>
          <w:p>
            <w:r/>
            <w:r>
              <w:rPr>
                <w:b w:val="0"/>
                <w:sz w:val="19"/>
              </w:rPr>
              <w:t>≥98%</w:t>
            </w:r>
          </w:p>
        </w:tc>
        <w:tc>
          <w:tcPr>
            <w:tcW w:type="dxa" w:w="1728"/>
          </w:tcPr>
          <w:p>
            <w:r/>
            <w:r>
              <w:rPr>
                <w:b w:val="0"/>
                <w:sz w:val="19"/>
              </w:rPr>
              <w:t>100%</w:t>
            </w:r>
          </w:p>
        </w:tc>
      </w:tr>
      <w:tr>
        <w:tc>
          <w:tcPr>
            <w:tcW w:type="dxa" w:w="1728"/>
          </w:tcPr>
          <w:p>
            <w:r/>
            <w:r>
              <w:rPr>
                <w:b w:val="0"/>
                <w:sz w:val="19"/>
              </w:rPr>
              <w:t>8</w:t>
            </w:r>
          </w:p>
        </w:tc>
        <w:tc>
          <w:tcPr>
            <w:tcW w:type="dxa" w:w="1728"/>
          </w:tcPr>
          <w:p>
            <w:r/>
            <w:r>
              <w:rPr>
                <w:b w:val="0"/>
                <w:sz w:val="19"/>
              </w:rPr>
              <w:t>Frekuensi evaluasi efektivitas-efisiensi program dan ketercapaian tujuan/strategi per tahun</w:t>
            </w:r>
          </w:p>
        </w:tc>
        <w:tc>
          <w:tcPr>
            <w:tcW w:type="dxa" w:w="1728"/>
          </w:tcPr>
          <w:p>
            <w:r/>
            <w:r>
              <w:rPr>
                <w:b w:val="0"/>
                <w:sz w:val="19"/>
              </w:rPr>
              <w:t>≥1 kali</w:t>
            </w:r>
          </w:p>
        </w:tc>
        <w:tc>
          <w:tcPr>
            <w:tcW w:type="dxa" w:w="1728"/>
          </w:tcPr>
          <w:p>
            <w:r/>
            <w:r>
              <w:rPr>
                <w:b w:val="0"/>
                <w:sz w:val="19"/>
              </w:rPr>
              <w:t>≥1 kali</w:t>
            </w:r>
          </w:p>
        </w:tc>
        <w:tc>
          <w:tcPr>
            <w:tcW w:type="dxa" w:w="1728"/>
          </w:tcPr>
          <w:p>
            <w:r/>
            <w:r>
              <w:rPr>
                <w:b w:val="0"/>
                <w:sz w:val="19"/>
              </w:rPr>
              <w:t>≥1 kali</w:t>
            </w:r>
          </w:p>
        </w:tc>
      </w:tr>
      <w:tr>
        <w:tc>
          <w:tcPr>
            <w:tcW w:type="dxa" w:w="1728"/>
          </w:tcPr>
          <w:p>
            <w:r/>
            <w:r>
              <w:rPr>
                <w:b w:val="0"/>
                <w:sz w:val="19"/>
              </w:rPr>
              <w:t>9</w:t>
            </w:r>
          </w:p>
        </w:tc>
        <w:tc>
          <w:tcPr>
            <w:tcW w:type="dxa" w:w="1728"/>
          </w:tcPr>
          <w:p>
            <w:r/>
            <w:r>
              <w:rPr>
                <w:b w:val="0"/>
                <w:sz w:val="19"/>
              </w:rPr>
              <w:t>Persentase capaian kinerja fakultas dan program studi (baseline ≥80%)</w:t>
            </w:r>
          </w:p>
        </w:tc>
        <w:tc>
          <w:tcPr>
            <w:tcW w:type="dxa" w:w="1728"/>
          </w:tcPr>
          <w:p>
            <w:r/>
            <w:r>
              <w:rPr>
                <w:b w:val="0"/>
                <w:sz w:val="19"/>
              </w:rPr>
              <w:t>≥80%</w:t>
            </w:r>
          </w:p>
        </w:tc>
        <w:tc>
          <w:tcPr>
            <w:tcW w:type="dxa" w:w="1728"/>
          </w:tcPr>
          <w:p>
            <w:r/>
            <w:r>
              <w:rPr>
                <w:b w:val="0"/>
                <w:sz w:val="19"/>
              </w:rPr>
              <w:t>≥85%</w:t>
            </w:r>
          </w:p>
        </w:tc>
        <w:tc>
          <w:tcPr>
            <w:tcW w:type="dxa" w:w="1728"/>
          </w:tcPr>
          <w:p>
            <w:r/>
            <w:r>
              <w:rPr>
                <w:b w:val="0"/>
                <w:sz w:val="19"/>
              </w:rPr>
              <w:t>≥90%</w:t>
            </w:r>
          </w:p>
        </w:tc>
      </w:tr>
      <w:tr>
        <w:tc>
          <w:tcPr>
            <w:tcW w:type="dxa" w:w="1728"/>
          </w:tcPr>
          <w:p>
            <w:r/>
            <w:r>
              <w:rPr>
                <w:b w:val="0"/>
                <w:sz w:val="19"/>
              </w:rPr>
              <w:t>10</w:t>
            </w:r>
          </w:p>
        </w:tc>
        <w:tc>
          <w:tcPr>
            <w:tcW w:type="dxa" w:w="1728"/>
          </w:tcPr>
          <w:p>
            <w:r/>
            <w:r>
              <w:rPr>
                <w:b w:val="0"/>
                <w:sz w:val="19"/>
              </w:rPr>
              <w:t>Ketersediaan dan ketepatan waktu laporan tahunan ketercapaian VMTS (setara LAKIP)</w:t>
            </w:r>
          </w:p>
        </w:tc>
        <w:tc>
          <w:tcPr>
            <w:tcW w:type="dxa" w:w="1728"/>
          </w:tcPr>
          <w:p>
            <w:r/>
            <w:r>
              <w:rPr>
                <w:b w:val="0"/>
                <w:sz w:val="19"/>
              </w:rPr>
              <w:t>Tersedia tepat waktu</w:t>
            </w:r>
          </w:p>
        </w:tc>
        <w:tc>
          <w:tcPr>
            <w:tcW w:type="dxa" w:w="1728"/>
          </w:tcPr>
          <w:p>
            <w:r/>
            <w:r>
              <w:rPr>
                <w:b w:val="0"/>
                <w:sz w:val="19"/>
              </w:rPr>
              <w:t>Tersedia tepat waktu</w:t>
            </w:r>
          </w:p>
        </w:tc>
        <w:tc>
          <w:tcPr>
            <w:tcW w:type="dxa" w:w="1728"/>
          </w:tcPr>
          <w:p>
            <w:r/>
            <w:r>
              <w:rPr>
                <w:b w:val="0"/>
                <w:sz w:val="19"/>
              </w:rPr>
              <w:t>Tersedia tepat waktu</w:t>
            </w:r>
          </w:p>
        </w:tc>
      </w:tr>
      <w:tr>
        <w:tc>
          <w:tcPr>
            <w:tcW w:type="dxa" w:w="1728"/>
          </w:tcPr>
          <w:p>
            <w:r/>
            <w:r>
              <w:rPr>
                <w:b w:val="0"/>
                <w:sz w:val="19"/>
              </w:rPr>
              <w:t>11</w:t>
            </w:r>
          </w:p>
        </w:tc>
        <w:tc>
          <w:tcPr>
            <w:tcW w:type="dxa" w:w="1728"/>
          </w:tcPr>
          <w:p>
            <w:r/>
            <w:r>
              <w:rPr>
                <w:b w:val="0"/>
                <w:sz w:val="19"/>
              </w:rPr>
              <w:t>Jumlah bentuk pengakuan/apresiasi eksternal per tingkat (lokal/nasional/internasional) per tahun</w:t>
            </w:r>
          </w:p>
        </w:tc>
        <w:tc>
          <w:tcPr>
            <w:tcW w:type="dxa" w:w="1728"/>
          </w:tcPr>
          <w:p>
            <w:r/>
            <w:r>
              <w:rPr>
                <w:b w:val="0"/>
                <w:sz w:val="19"/>
              </w:rPr>
              <w:t>≥1/1/1</w:t>
            </w:r>
          </w:p>
        </w:tc>
        <w:tc>
          <w:tcPr>
            <w:tcW w:type="dxa" w:w="1728"/>
          </w:tcPr>
          <w:p>
            <w:r/>
            <w:r>
              <w:rPr>
                <w:b w:val="0"/>
                <w:sz w:val="19"/>
              </w:rPr>
              <w:t>≥2/1/1</w:t>
            </w:r>
          </w:p>
        </w:tc>
        <w:tc>
          <w:tcPr>
            <w:tcW w:type="dxa" w:w="1728"/>
          </w:tcPr>
          <w:p>
            <w:r/>
            <w:r>
              <w:rPr>
                <w:b w:val="0"/>
                <w:sz w:val="19"/>
              </w:rPr>
              <w:t>≥2/2/1</w:t>
            </w:r>
          </w:p>
        </w:tc>
      </w:tr>
      <w:tr>
        <w:tc>
          <w:tcPr>
            <w:tcW w:type="dxa" w:w="1728"/>
          </w:tcPr>
          <w:p>
            <w:r/>
            <w:r>
              <w:rPr>
                <w:b w:val="0"/>
                <w:sz w:val="19"/>
              </w:rPr>
              <w:t>12</w:t>
            </w:r>
          </w:p>
        </w:tc>
        <w:tc>
          <w:tcPr>
            <w:tcW w:type="dxa" w:w="1728"/>
          </w:tcPr>
          <w:p>
            <w:r/>
            <w:r>
              <w:rPr>
                <w:b w:val="0"/>
                <w:sz w:val="19"/>
              </w:rPr>
              <w:t>Frekuensi sosialisasi VMTS kepada sivitas akademika dan pemangku kepentingan per tahun akademik</w:t>
            </w:r>
          </w:p>
        </w:tc>
        <w:tc>
          <w:tcPr>
            <w:tcW w:type="dxa" w:w="1728"/>
          </w:tcPr>
          <w:p>
            <w:r/>
            <w:r>
              <w:rPr>
                <w:b w:val="0"/>
                <w:sz w:val="19"/>
              </w:rPr>
              <w:t>≥2 kali</w:t>
            </w:r>
          </w:p>
        </w:tc>
        <w:tc>
          <w:tcPr>
            <w:tcW w:type="dxa" w:w="1728"/>
          </w:tcPr>
          <w:p>
            <w:r/>
            <w:r>
              <w:rPr>
                <w:b w:val="0"/>
                <w:sz w:val="19"/>
              </w:rPr>
              <w:t>≥2 kali</w:t>
            </w:r>
          </w:p>
        </w:tc>
        <w:tc>
          <w:tcPr>
            <w:tcW w:type="dxa" w:w="1728"/>
          </w:tcPr>
          <w:p>
            <w:r/>
            <w:r>
              <w:rPr>
                <w:b w:val="0"/>
                <w:sz w:val="19"/>
              </w:rPr>
              <w:t>≥3 kali</w:t>
            </w:r>
          </w:p>
        </w:tc>
      </w:tr>
      <w:tr>
        <w:tc>
          <w:tcPr>
            <w:tcW w:type="dxa" w:w="1728"/>
          </w:tcPr>
          <w:p>
            <w:r/>
            <w:r>
              <w:rPr>
                <w:b w:val="0"/>
                <w:sz w:val="19"/>
              </w:rPr>
              <w:t>13</w:t>
            </w:r>
          </w:p>
        </w:tc>
        <w:tc>
          <w:tcPr>
            <w:tcW w:type="dxa" w:w="1728"/>
          </w:tcPr>
          <w:p>
            <w:r/>
            <w:r>
              <w:rPr>
                <w:b w:val="0"/>
                <w:sz w:val="19"/>
              </w:rPr>
              <w:t>Tingkat pemahaman VMTS sivitas akademika dan pemangku kepentingan (hasil survei)</w:t>
            </w:r>
          </w:p>
        </w:tc>
        <w:tc>
          <w:tcPr>
            <w:tcW w:type="dxa" w:w="1728"/>
          </w:tcPr>
          <w:p>
            <w:r/>
            <w:r>
              <w:rPr>
                <w:b w:val="0"/>
                <w:sz w:val="19"/>
              </w:rPr>
              <w:t>≥85%</w:t>
            </w:r>
          </w:p>
        </w:tc>
        <w:tc>
          <w:tcPr>
            <w:tcW w:type="dxa" w:w="1728"/>
          </w:tcPr>
          <w:p>
            <w:r/>
            <w:r>
              <w:rPr>
                <w:b w:val="0"/>
                <w:sz w:val="19"/>
              </w:rPr>
              <w:t>≥90%</w:t>
            </w:r>
          </w:p>
        </w:tc>
        <w:tc>
          <w:tcPr>
            <w:tcW w:type="dxa" w:w="1728"/>
          </w:tcPr>
          <w:p>
            <w:r/>
            <w:r>
              <w:rPr>
                <w:b w:val="0"/>
                <w:sz w:val="19"/>
              </w:rPr>
              <w:t>≥95%</w:t>
            </w:r>
          </w:p>
        </w:tc>
      </w:tr>
      <w:tr>
        <w:tc>
          <w:tcPr>
            <w:tcW w:type="dxa" w:w="1728"/>
          </w:tcPr>
          <w:p>
            <w:r/>
            <w:r>
              <w:rPr>
                <w:b w:val="0"/>
                <w:sz w:val="19"/>
              </w:rPr>
              <w:t>14</w:t>
            </w:r>
          </w:p>
        </w:tc>
        <w:tc>
          <w:tcPr>
            <w:tcW w:type="dxa" w:w="1728"/>
          </w:tcPr>
          <w:p>
            <w:r/>
            <w:r>
              <w:rPr>
                <w:b w:val="0"/>
                <w:sz w:val="19"/>
              </w:rPr>
              <w:t>Kelengkapan dokumentasi siklus PPEPP pada VMTS (5 tahap)</w:t>
            </w:r>
          </w:p>
        </w:tc>
        <w:tc>
          <w:tcPr>
            <w:tcW w:type="dxa" w:w="1728"/>
          </w:tcPr>
          <w:p>
            <w:r/>
            <w:r>
              <w:rPr>
                <w:b w:val="0"/>
                <w:sz w:val="19"/>
              </w:rPr>
              <w:t>Lengkap</w:t>
            </w:r>
          </w:p>
        </w:tc>
        <w:tc>
          <w:tcPr>
            <w:tcW w:type="dxa" w:w="1728"/>
          </w:tcPr>
          <w:p>
            <w:r/>
            <w:r>
              <w:rPr>
                <w:b w:val="0"/>
                <w:sz w:val="19"/>
              </w:rPr>
              <w:t>Lengkap</w:t>
            </w:r>
          </w:p>
        </w:tc>
        <w:tc>
          <w:tcPr>
            <w:tcW w:type="dxa" w:w="1728"/>
          </w:tcPr>
          <w:p>
            <w:r/>
            <w:r>
              <w:rPr>
                <w:b w:val="0"/>
                <w:sz w:val="19"/>
              </w:rPr>
              <w:t>Lengkap</w:t>
            </w:r>
          </w:p>
        </w:tc>
      </w:tr>
      <w:tr>
        <w:tc>
          <w:tcPr>
            <w:tcW w:type="dxa" w:w="1728"/>
          </w:tcPr>
          <w:p>
            <w:r/>
            <w:r>
              <w:rPr>
                <w:b w:val="0"/>
                <w:sz w:val="19"/>
              </w:rPr>
              <w:t>15</w:t>
            </w:r>
          </w:p>
        </w:tc>
        <w:tc>
          <w:tcPr>
            <w:tcW w:type="dxa" w:w="1728"/>
          </w:tcPr>
          <w:p>
            <w:r/>
            <w:r>
              <w:rPr>
                <w:b w:val="0"/>
                <w:sz w:val="19"/>
              </w:rPr>
              <w:t>Pelaksanaan Audit Mutu Internal (AMI) atas VMTS per tahun</w:t>
            </w:r>
          </w:p>
        </w:tc>
        <w:tc>
          <w:tcPr>
            <w:tcW w:type="dxa" w:w="1728"/>
          </w:tcPr>
          <w:p>
            <w:r/>
            <w:r>
              <w:rPr>
                <w:b w:val="0"/>
                <w:sz w:val="19"/>
              </w:rPr>
              <w:t>1 kali/tahun</w:t>
            </w:r>
          </w:p>
        </w:tc>
        <w:tc>
          <w:tcPr>
            <w:tcW w:type="dxa" w:w="1728"/>
          </w:tcPr>
          <w:p>
            <w:r/>
            <w:r>
              <w:rPr>
                <w:b w:val="0"/>
                <w:sz w:val="19"/>
              </w:rPr>
              <w:t>1 kali/tahun</w:t>
            </w:r>
          </w:p>
        </w:tc>
        <w:tc>
          <w:tcPr>
            <w:tcW w:type="dxa" w:w="1728"/>
          </w:tcPr>
          <w:p>
            <w:r/>
            <w:r>
              <w:rPr>
                <w:b w:val="0"/>
                <w:sz w:val="19"/>
              </w:rPr>
              <w:t>1 kali/tahun</w:t>
            </w:r>
          </w:p>
        </w:tc>
      </w:tr>
      <w:tr>
        <w:tc>
          <w:tcPr>
            <w:tcW w:type="dxa" w:w="1728"/>
          </w:tcPr>
          <w:p>
            <w:r/>
            <w:r>
              <w:rPr>
                <w:b w:val="0"/>
                <w:sz w:val="19"/>
              </w:rPr>
              <w:t>16</w:t>
            </w:r>
          </w:p>
        </w:tc>
        <w:tc>
          <w:tcPr>
            <w:tcW w:type="dxa" w:w="1728"/>
          </w:tcPr>
          <w:p>
            <w:r/>
            <w:r>
              <w:rPr>
                <w:b w:val="0"/>
                <w:sz w:val="19"/>
              </w:rPr>
              <w:t>Persentase penyelesaian Rencana Tindak Lanjut (RTL) hasil AMI/evaluasi</w:t>
            </w:r>
          </w:p>
        </w:tc>
        <w:tc>
          <w:tcPr>
            <w:tcW w:type="dxa" w:w="1728"/>
          </w:tcPr>
          <w:p>
            <w:r/>
            <w:r>
              <w:rPr>
                <w:b w:val="0"/>
                <w:sz w:val="19"/>
              </w:rPr>
              <w:t>≥80%</w:t>
            </w:r>
          </w:p>
        </w:tc>
        <w:tc>
          <w:tcPr>
            <w:tcW w:type="dxa" w:w="1728"/>
          </w:tcPr>
          <w:p>
            <w:r/>
            <w:r>
              <w:rPr>
                <w:b w:val="0"/>
                <w:sz w:val="19"/>
              </w:rPr>
              <w:t>≥90%</w:t>
            </w:r>
          </w:p>
        </w:tc>
        <w:tc>
          <w:tcPr>
            <w:tcW w:type="dxa" w:w="1728"/>
          </w:tcPr>
          <w:p>
            <w:r/>
            <w:r>
              <w:rPr>
                <w:b w:val="0"/>
                <w:sz w:val="19"/>
              </w:rPr>
              <w:t>100%</w:t>
            </w:r>
          </w:p>
        </w:tc>
      </w:tr>
      <w:tr>
        <w:tc>
          <w:tcPr>
            <w:tcW w:type="dxa" w:w="1728"/>
          </w:tcPr>
          <w:p>
            <w:r/>
            <w:r>
              <w:rPr>
                <w:b w:val="0"/>
                <w:sz w:val="19"/>
              </w:rPr>
              <w:t>*17</w:t>
            </w:r>
          </w:p>
        </w:tc>
        <w:tc>
          <w:tcPr>
            <w:tcW w:type="dxa" w:w="1728"/>
          </w:tcPr>
          <w:p>
            <w:r/>
            <w:r>
              <w:rPr>
                <w:b w:val="0"/>
                <w:sz w:val="19"/>
              </w:rPr>
              <w:t>Persentase program studi yang memiliki dokumen visi keilmuan program studi tertaut kurikulum</w:t>
            </w:r>
          </w:p>
        </w:tc>
        <w:tc>
          <w:tcPr>
            <w:tcW w:type="dxa" w:w="1728"/>
          </w:tcPr>
          <w:p>
            <w:r/>
            <w:r>
              <w:rPr>
                <w:b w:val="0"/>
                <w:sz w:val="19"/>
              </w:rPr>
              <w:t>50%</w:t>
            </w:r>
          </w:p>
        </w:tc>
        <w:tc>
          <w:tcPr>
            <w:tcW w:type="dxa" w:w="1728"/>
          </w:tcPr>
          <w:p>
            <w:r/>
            <w:r>
              <w:rPr>
                <w:b w:val="0"/>
                <w:sz w:val="19"/>
              </w:rPr>
              <w:t>80%</w:t>
            </w:r>
          </w:p>
        </w:tc>
        <w:tc>
          <w:tcPr>
            <w:tcW w:type="dxa" w:w="1728"/>
          </w:tcPr>
          <w:p>
            <w:r/>
            <w:r>
              <w:rPr>
                <w:b w:val="0"/>
                <w:sz w:val="19"/>
              </w:rPr>
              <w:t>100%</w:t>
            </w:r>
          </w:p>
        </w:tc>
      </w:tr>
      <w:tr>
        <w:tc>
          <w:tcPr>
            <w:tcW w:type="dxa" w:w="1728"/>
          </w:tcPr>
          <w:p>
            <w:r/>
            <w:r>
              <w:rPr>
                <w:b w:val="0"/>
                <w:sz w:val="19"/>
              </w:rPr>
              <w:t>*18</w:t>
            </w:r>
          </w:p>
        </w:tc>
        <w:tc>
          <w:tcPr>
            <w:tcW w:type="dxa" w:w="1728"/>
          </w:tcPr>
          <w:p>
            <w:r/>
            <w:r>
              <w:rPr>
                <w:b w:val="0"/>
                <w:sz w:val="19"/>
              </w:rPr>
              <w:t>Pelaksanaan root-cause analysis &amp; SWOT tahunan atas ketercapaian VMTS (sesuai Standar SPMI)</w:t>
            </w:r>
          </w:p>
        </w:tc>
        <w:tc>
          <w:tcPr>
            <w:tcW w:type="dxa" w:w="1728"/>
          </w:tcPr>
          <w:p>
            <w:r/>
            <w:r>
              <w:rPr>
                <w:b w:val="0"/>
                <w:sz w:val="19"/>
              </w:rPr>
              <w:t>Terlaksana</w:t>
            </w:r>
          </w:p>
        </w:tc>
        <w:tc>
          <w:tcPr>
            <w:tcW w:type="dxa" w:w="1728"/>
          </w:tcPr>
          <w:p>
            <w:r/>
            <w:r>
              <w:rPr>
                <w:b w:val="0"/>
                <w:sz w:val="19"/>
              </w:rPr>
              <w:t>Terlaksana</w:t>
            </w:r>
          </w:p>
        </w:tc>
        <w:tc>
          <w:tcPr>
            <w:tcW w:type="dxa" w:w="1728"/>
          </w:tcPr>
          <w:p>
            <w:r/>
            <w:r>
              <w:rPr>
                <w:b w:val="0"/>
                <w:sz w:val="19"/>
              </w:rPr>
              <w:t>Terlaksana</w:t>
            </w:r>
          </w:p>
        </w:tc>
      </w:tr>
    </w:tbl>
    <w:p/>
    <w:p>
      <w:pPr>
        <w:spacing w:after="120"/>
      </w:pPr>
      <w:r>
        <w:rPr>
          <w:b w:val="0"/>
          <w:i/>
        </w:rPr>
        <w:t>Baris bertanda (*) adalah indikator BARU pada revisi ke-2 untuk menutup gap hasil pemetaan Kriteria C.1.</w:t>
      </w:r>
    </w:p>
    <w:p>
      <w:pPr>
        <w:spacing w:after="120"/>
      </w:pPr>
      <w:r>
        <w:rPr>
          <w:b/>
          <w:i w:val="0"/>
        </w:rPr>
        <w:t>Indikator Kinerja Tambahan (IKT):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D9D9"/>
          </w:tcPr>
          <w:p>
            <w:r/>
            <w:r>
              <w:rPr>
                <w:b/>
                <w:sz w:val="19"/>
              </w:rPr>
              <w:t>No</w:t>
            </w:r>
          </w:p>
        </w:tc>
        <w:tc>
          <w:tcPr>
            <w:tcW w:type="dxa" w:w="1728"/>
            <w:shd w:val="clear" w:color="auto" w:fill="D9D9D9"/>
          </w:tcPr>
          <w:p>
            <w:r/>
            <w:r>
              <w:rPr>
                <w:b/>
                <w:sz w:val="19"/>
              </w:rPr>
              <w:t>Indikator Kinerja Tambahan (IKT)</w:t>
            </w:r>
          </w:p>
        </w:tc>
        <w:tc>
          <w:tcPr>
            <w:tcW w:type="dxa" w:w="1728"/>
            <w:shd w:val="clear" w:color="auto" w:fill="D9D9D9"/>
          </w:tcPr>
          <w:p>
            <w:r/>
            <w:r>
              <w:rPr>
                <w:sz w:val="19"/>
              </w:rPr>
              <w:t>2024/2025</w:t>
            </w:r>
          </w:p>
        </w:tc>
        <w:tc>
          <w:tcPr>
            <w:tcW w:type="dxa" w:w="1728"/>
            <w:shd w:val="clear" w:color="auto" w:fill="D9D9D9"/>
          </w:tcPr>
          <w:p>
            <w:r/>
            <w:r>
              <w:rPr>
                <w:sz w:val="19"/>
              </w:rPr>
              <w:t>2025/2026</w:t>
            </w:r>
          </w:p>
        </w:tc>
        <w:tc>
          <w:tcPr>
            <w:tcW w:type="dxa" w:w="1728"/>
            <w:shd w:val="clear" w:color="auto" w:fill="D9D9D9"/>
          </w:tcPr>
          <w:p>
            <w:r/>
            <w:r>
              <w:rPr>
                <w:sz w:val="19"/>
              </w:rPr>
              <w:t>2026/2027</w:t>
            </w:r>
          </w:p>
        </w:tc>
      </w:tr>
      <w:tr>
        <w:tc>
          <w:tcPr>
            <w:tcW w:type="dxa" w:w="1728"/>
          </w:tcPr>
          <w:p>
            <w:r/>
            <w:r>
              <w:rPr>
                <w:b w:val="0"/>
                <w:sz w:val="19"/>
              </w:rPr>
              <w:t>1</w:t>
            </w:r>
          </w:p>
        </w:tc>
        <w:tc>
          <w:tcPr>
            <w:tcW w:type="dxa" w:w="1728"/>
          </w:tcPr>
          <w:p>
            <w:r/>
            <w:r>
              <w:rPr>
                <w:b w:val="0"/>
                <w:sz w:val="19"/>
              </w:rPr>
              <w:t>Jumlah pengakuan/penghargaan tingkat internasional atas keunggulan diferensiasi misi FTII per siklus Renstra</w:t>
            </w:r>
          </w:p>
        </w:tc>
        <w:tc>
          <w:tcPr>
            <w:tcW w:type="dxa" w:w="1728"/>
          </w:tcPr>
          <w:p>
            <w:r/>
            <w:r>
              <w:rPr>
                <w:b w:val="0"/>
                <w:sz w:val="19"/>
              </w:rPr>
              <w:t>-</w:t>
            </w:r>
          </w:p>
        </w:tc>
        <w:tc>
          <w:tcPr>
            <w:tcW w:type="dxa" w:w="1728"/>
          </w:tcPr>
          <w:p>
            <w:r/>
            <w:r>
              <w:rPr>
                <w:b w:val="0"/>
                <w:sz w:val="19"/>
              </w:rPr>
              <w:t>≥1</w:t>
            </w:r>
          </w:p>
        </w:tc>
        <w:tc>
          <w:tcPr>
            <w:tcW w:type="dxa" w:w="1728"/>
          </w:tcPr>
          <w:p>
            <w:r/>
            <w:r>
              <w:rPr>
                <w:b w:val="0"/>
                <w:sz w:val="19"/>
              </w:rPr>
              <w:t>≥1</w:t>
            </w:r>
          </w:p>
        </w:tc>
      </w:tr>
      <w:tr>
        <w:tc>
          <w:tcPr>
            <w:tcW w:type="dxa" w:w="1728"/>
          </w:tcPr>
          <w:p>
            <w:r/>
            <w:r>
              <w:rPr>
                <w:b w:val="0"/>
                <w:sz w:val="19"/>
              </w:rPr>
              <w:t>2</w:t>
            </w:r>
          </w:p>
        </w:tc>
        <w:tc>
          <w:tcPr>
            <w:tcW w:type="dxa" w:w="1728"/>
          </w:tcPr>
          <w:p>
            <w:r/>
            <w:r>
              <w:rPr>
                <w:b w:val="0"/>
                <w:sz w:val="19"/>
              </w:rPr>
              <w:t>Jumlah MoU/MoA/kemitraan strategis internasional yang mendukung diferensiasi misi (TI, data-driven, digital business)</w:t>
            </w:r>
          </w:p>
        </w:tc>
        <w:tc>
          <w:tcPr>
            <w:tcW w:type="dxa" w:w="1728"/>
          </w:tcPr>
          <w:p>
            <w:r/>
            <w:r>
              <w:rPr>
                <w:b w:val="0"/>
                <w:sz w:val="19"/>
              </w:rPr>
              <w:t>≥1</w:t>
            </w:r>
          </w:p>
        </w:tc>
        <w:tc>
          <w:tcPr>
            <w:tcW w:type="dxa" w:w="1728"/>
          </w:tcPr>
          <w:p>
            <w:r/>
            <w:r>
              <w:rPr>
                <w:b w:val="0"/>
                <w:sz w:val="19"/>
              </w:rPr>
              <w:t>≥2</w:t>
            </w:r>
          </w:p>
        </w:tc>
        <w:tc>
          <w:tcPr>
            <w:tcW w:type="dxa" w:w="1728"/>
          </w:tcPr>
          <w:p>
            <w:r/>
            <w:r>
              <w:rPr>
                <w:b w:val="0"/>
                <w:sz w:val="19"/>
              </w:rPr>
              <w:t>≥3</w:t>
            </w:r>
          </w:p>
        </w:tc>
      </w:tr>
      <w:tr>
        <w:tc>
          <w:tcPr>
            <w:tcW w:type="dxa" w:w="1728"/>
          </w:tcPr>
          <w:p>
            <w:r/>
            <w:r>
              <w:rPr>
                <w:b w:val="0"/>
                <w:sz w:val="19"/>
              </w:rPr>
              <w:t>3</w:t>
            </w:r>
          </w:p>
        </w:tc>
        <w:tc>
          <w:tcPr>
            <w:tcW w:type="dxa" w:w="1728"/>
          </w:tcPr>
          <w:p>
            <w:r/>
            <w:r>
              <w:rPr>
                <w:b w:val="0"/>
                <w:sz w:val="19"/>
              </w:rPr>
              <w:t>Indeks kepuasan pemangku kepentingan terhadap efektivitas sosialisasi dan keterlibatan penyusunan VMTS</w:t>
            </w:r>
          </w:p>
        </w:tc>
        <w:tc>
          <w:tcPr>
            <w:tcW w:type="dxa" w:w="1728"/>
          </w:tcPr>
          <w:p>
            <w:r/>
            <w:r>
              <w:rPr>
                <w:b w:val="0"/>
                <w:sz w:val="19"/>
              </w:rPr>
              <w:t>≥80%</w:t>
            </w:r>
          </w:p>
        </w:tc>
        <w:tc>
          <w:tcPr>
            <w:tcW w:type="dxa" w:w="1728"/>
          </w:tcPr>
          <w:p>
            <w:r/>
            <w:r>
              <w:rPr>
                <w:b w:val="0"/>
                <w:sz w:val="19"/>
              </w:rPr>
              <w:t>≥85%</w:t>
            </w:r>
          </w:p>
        </w:tc>
        <w:tc>
          <w:tcPr>
            <w:tcW w:type="dxa" w:w="1728"/>
          </w:tcPr>
          <w:p>
            <w:r/>
            <w:r>
              <w:rPr>
                <w:b w:val="0"/>
                <w:sz w:val="19"/>
              </w:rPr>
              <w:t>≥90%</w:t>
            </w:r>
          </w:p>
        </w:tc>
      </w:tr>
    </w:tbl>
    <w:p/>
    <w:p>
      <w:pPr>
        <w:spacing w:before="280" w:after="120"/>
      </w:pPr>
      <w:r>
        <w:rPr>
          <w:b/>
          <w:sz w:val="26"/>
        </w:rPr>
        <w:t>5. STRATEGI PENCAPAIAN</w:t>
      </w:r>
    </w:p>
    <w:p>
      <w:pPr>
        <w:pStyle w:val="ListNumber"/>
        <w:spacing w:after="120"/>
      </w:pPr>
      <w:r>
        <w:t>Rektor bersama Senat Universitas menetapkan Statuta, RIP, Renstra, dan Renop Universitas sebagai dasar pengembangan VMTS FTII, dan menetapkan Standar VMTS FTII melalui Keputusan Rektor.</w:t>
      </w:r>
    </w:p>
    <w:p>
      <w:pPr>
        <w:pStyle w:val="ListNumber"/>
        <w:spacing w:after="120"/>
      </w:pPr>
      <w:r>
        <w:t>Rektor membentuk Tim Penyusun dan Peninjau VMTS yang melibatkan pimpinan universitas, pimpinan fakultas, program studi, dosen, tenaga kependidikan, mahasiswa, alumni, pengguna lulusan, dan DUDIKA, dituangkan dalam SK Tim dan berita acara pelibatan seluruh unsur.</w:t>
      </w:r>
    </w:p>
    <w:p>
      <w:pPr>
        <w:pStyle w:val="ListNumber"/>
        <w:spacing w:after="120"/>
      </w:pPr>
      <w:r>
        <w:t>Dekan FTII bersama Ketua Program Studi menyusun Renstra dan Renop FTII yang selaras VMTS Universitas serta mengintegrasikan diferensiasi misi FTII pada bidang teknologi informasi, industri, data-driven, dan digital business ke dalam 100% program studi.</w:t>
      </w:r>
    </w:p>
    <w:p>
      <w:pPr>
        <w:pStyle w:val="ListNumber"/>
        <w:spacing w:after="120"/>
      </w:pPr>
      <w:r>
        <w:t>Tim Penyusun VMTS melaksanakan analisis lingkungan internal-eksternal (SWOT) dan benchmarking terjadwal dengan minimal 1 institusi nasional terakreditasi Unggul dan 1 mitra internasional setiap tahun, meningkat menuju 2 mitra internasional pada akhir siklus Renstra.</w:t>
      </w:r>
    </w:p>
    <w:p>
      <w:pPr>
        <w:pStyle w:val="ListNumber"/>
        <w:spacing w:after="120"/>
      </w:pPr>
      <w:r>
        <w:t>Dekan FTII bersama Ketua Program Studi melaksanakan program tridharma sesuai Renstra dan peta jalan pengembangan, dengan pemantauan keterlaksanaan program paling sedikit triwulanan untuk menjaga tingkat keterlaksanaan ≥95% menuju 100%.</w:t>
      </w:r>
    </w:p>
    <w:p>
      <w:pPr>
        <w:pStyle w:val="ListNumber"/>
        <w:spacing w:after="120"/>
      </w:pPr>
      <w:r>
        <w:t>DJM, UJM, dan GKM melaksanakan monitoring dan evaluasi efektivitas-efisiensi program serta ketercapaian tujuan/strategi setiap akhir tahun akademik, dengan hasil dilaporkan pada Rapat Tinjauan Manajemen (RTM).</w:t>
      </w:r>
    </w:p>
    <w:p>
      <w:pPr>
        <w:pStyle w:val="ListNumber"/>
        <w:spacing w:after="120"/>
      </w:pPr>
      <w:r>
        <w:t>Dekan FTII menugaskan unit kerjasama untuk menjalin dan mendokumentasikan kegiatan benchmarking dengan perguruan tinggi/institusi lain berreputasi baik, mencakup kunjungan, forum pimpinan, dan pertukaran praktik baik tata kelola dan tridharma.</w:t>
      </w:r>
    </w:p>
    <w:p>
      <w:pPr>
        <w:pStyle w:val="ListNumber"/>
        <w:spacing w:after="120"/>
      </w:pPr>
      <w:r>
        <w:t>Dekan FTII menyusun dan menyampaikan laporan tahunan ketercapaian VMTS dan diferensiasi misi kepada Rektor dan pemangku kepentingan melalui rapat kerja fakultas paling lambat triwulan pertama tahun akademik berikutnya.</w:t>
      </w:r>
    </w:p>
    <w:p>
      <w:pPr>
        <w:pStyle w:val="ListNumber"/>
        <w:spacing w:after="120"/>
      </w:pPr>
      <w:r>
        <w:t>Fakultas dan Program Studi memperluas kerja sama dengan DUDIKA, asosiasi profesi, dan mitra internasional untuk memperoleh pengakuan/apresiasi eksternal pada tingkat lokal, nasional, dan internasional, didokumentasikan sebagai bukti pada setiap tahap PPEPP.</w:t>
      </w:r>
    </w:p>
    <w:p>
      <w:pPr>
        <w:pStyle w:val="ListNumber"/>
        <w:spacing w:after="120"/>
      </w:pPr>
      <w:r>
        <w:t>Dekan FTII bersama Ketua Program Studi melaksanakan sosialisasi VMTS terjadwal minimal 2 kali per tahun akademik (orientasi mahasiswa baru, rapat kerja, dies natalis) melalui media cetak, elektronik, dan daring, dengan dokumentasi daftar hadir dan materi.</w:t>
      </w:r>
    </w:p>
    <w:p>
      <w:pPr>
        <w:pStyle w:val="ListNumber"/>
        <w:spacing w:after="120"/>
      </w:pPr>
      <w:r>
        <w:t>DJM bersama GKM Program Studi menyusun dan melaksanakan instrumen survei tingkat pemahaman VMTS setiap tahun, menganalisis hasil, dan menggunakannya sebagai dasar perbaikan strategi sosialisasi menuju target pemahaman ≥95%.</w:t>
      </w:r>
    </w:p>
    <w:p>
      <w:pPr>
        <w:pStyle w:val="ListNumber"/>
        <w:spacing w:after="120"/>
      </w:pPr>
      <w:r>
        <w:t>Fakultas menyusun dan menerbitkan 5 (lima) manual VMTS mengikuti tahap PPEPP (Penetapan, Pelaksanaan, Evaluasi, Pengendalian, Peningkatan), disosialisasikan kepada seluruh unit kerja dan diperbarui setiap siklus Renstra.</w:t>
      </w:r>
    </w:p>
    <w:p>
      <w:pPr>
        <w:pStyle w:val="ListNumber"/>
        <w:spacing w:after="120"/>
      </w:pPr>
      <w:r>
        <w:t>DJM dan UJM Fakultas melaksanakan Audit Mutu Internal (AMI) atas implementasi VMTS paling sedikit 1 kali per tahun, menyusun temuan, dan mengoordinasikan penyelesaian Rencana Tindak Lanjut (RTL) bersama Dekan FTII dan Ketua Program Studi.</w:t>
      </w:r>
    </w:p>
    <w:p>
      <w:pPr>
        <w:pStyle w:val="ListNumber"/>
        <w:spacing w:after="120"/>
      </w:pPr>
      <w:r>
        <w:t>Wakil Rektor Bidang Pengembangan Institusi dan Sumber Daya bersama Dekan FTII menyediakan sumber daya (anggaran, SDM, sistem informasi) yang memadai untuk mendukung pelaksanaan benchmarking, sosialisasi, survei pemahaman, dan pendokumentasian bukti pengakuan eksternal secara berkelanjutan.</w:t>
      </w:r>
    </w:p>
    <w:p>
      <w:pPr>
        <w:pStyle w:val="ListNumber"/>
        <w:spacing w:after="120"/>
      </w:pPr>
      <w:r>
        <w:t>Ketua Program Studi menyusun visi keilmuan program studi bersama tim kurikulum, melibatkan pakar bidang ilmu dan DUDIKA, memastikan keterkaitannya eksplisit tercantum dalam dokumen kurikulum dan RPS, ditinjau ulang setiap siklus peninjauan kurikulum.</w:t>
      </w:r>
    </w:p>
    <w:p>
      <w:pPr>
        <w:pStyle w:val="ListNumber"/>
        <w:spacing w:after="120"/>
      </w:pPr>
      <w:r>
        <w:t>UJM Fakultas bersama GKM Program Studi melaksanakan root-cause analysis dan SWOT tahunan atas ketercapaian VMTS mengikuti template dan prosedur yang ditetapkan Standar Penjaminan Mutu Internal FTII, hasilnya menjadi bahan wajib RTM.</w:t>
      </w:r>
    </w:p>
    <w:p>
      <w:pPr>
        <w:spacing w:before="280" w:after="120"/>
      </w:pPr>
      <w:r>
        <w:rPr>
          <w:b/>
          <w:sz w:val="26"/>
        </w:rPr>
        <w:t>6. MEKANISME EVALUASI</w:t>
      </w:r>
    </w:p>
    <w:p>
      <w:pPr>
        <w:pStyle w:val="ListNumber"/>
        <w:spacing w:after="120"/>
      </w:pPr>
      <w:r>
        <w:t>Evaluasi ketercapaian VMTS dilakukan oleh Dekan FTII dan Ketua Program Studi paling sedikit 1 (satu) kali setiap tahun akademik berdasarkan indikator kinerja yang ditetapkan, hasilnya dituangkan dalam laporan evaluasi diri unit kerja.</w:t>
      </w:r>
    </w:p>
    <w:p>
      <w:pPr>
        <w:pStyle w:val="ListNumber"/>
        <w:spacing w:after="120"/>
      </w:pPr>
      <w:r>
        <w:t>Pelaksanaan benchmarking dievaluasi oleh Dekan FTII bersama unit kerjasama setiap akhir tahun untuk memastikan jumlah dan kualitas mitra benchmarking memenuhi ambang target (nasional dan internasional) yang ditetapkan.</w:t>
      </w:r>
    </w:p>
    <w:p>
      <w:pPr>
        <w:pStyle w:val="ListNumber"/>
        <w:spacing w:after="120"/>
      </w:pPr>
      <w:r>
        <w:t>Pelaksanaan sosialisasi VMTS dan hasil survei tingkat pemahaman dievaluasi oleh DJM bersama GKM Program Studi setiap tahun, mencakup verifikasi frekuensi sosialisasi (≥2 kali/tahun) dan capaian tingkat pemahaman terhadap ambang target.</w:t>
      </w:r>
    </w:p>
    <w:p>
      <w:pPr>
        <w:pStyle w:val="ListNumber"/>
        <w:spacing w:after="120"/>
      </w:pPr>
      <w:r>
        <w:t>Bukti pengakuan/apresiasi eksternal (lokal, nasional, internasional) diverifikasi oleh Ketua Program Studi berdasarkan dokumen bukti (piagam, sertifikat, publikasi, MoU/MoA) yang divalidasi oleh GKM Program Studi dan dilaporkan kepada Dekan FTII.</w:t>
      </w:r>
    </w:p>
    <w:p>
      <w:pPr>
        <w:pStyle w:val="ListNumber"/>
        <w:spacing w:after="120"/>
      </w:pPr>
      <w:r>
        <w:t>Audit Mutu Internal (AMI) dilaksanakan oleh DJM dan UJM Fakultas paling sedikit 1 (satu) kali per tahun untuk memastikan kesesuaian pelaksanaan seluruh indikator pada standar ini terhadap ambang yang ditetapkan, termasuk kelengkapan dokumentasi siklus PPEPP pada kelima tahap.</w:t>
      </w:r>
    </w:p>
    <w:p>
      <w:pPr>
        <w:pStyle w:val="ListNumber"/>
        <w:spacing w:after="120"/>
      </w:pPr>
      <w:r>
        <w:t>Rapat Tinjauan Manajemen (RTM) tingkat Fakultas diselenggarakan setelah setiap siklus AMI untuk membahas hasil evaluasi, capaian terhadap ambang target, dan menyusun Rencana Tindak Lanjut (RTL) yang ditargetkan selesai paling sedikit 80% pada tahun berjalan.</w:t>
      </w:r>
    </w:p>
    <w:p>
      <w:pPr>
        <w:pStyle w:val="ListNumber"/>
        <w:spacing w:after="120"/>
      </w:pPr>
      <w:r>
        <w:t>Peninjauan menyeluruh terhadap Standar VMTS dilakukan paling sedikit 1 (satu) kali setiap siklus Renstra (4-5 tahun), atau lebih cepat apabila terdapat perubahan signifikan pada kriteria LAM Teknik/LAM INFOKOM, kebijakan Permendikbudristek, atau lingkungan strategis FTII.</w:t>
      </w:r>
    </w:p>
    <w:p>
      <w:pPr>
        <w:pStyle w:val="ListNumber"/>
        <w:spacing w:after="120"/>
      </w:pPr>
      <w:r>
        <w:t>Kesesuaian visi keilmuan program studi dengan diferensiasi misi FTII dan kurikulum diverifikasi oleh GKM Program Studi setiap siklus peninjauan kurikulum, dilaporkan kepada Ketua Program Studi dan Dekan FTII.</w:t>
      </w:r>
    </w:p>
    <w:p>
      <w:pPr>
        <w:pStyle w:val="ListNumber"/>
        <w:spacing w:after="120"/>
      </w:pPr>
      <w:r>
        <w:t>Root-cause analysis dan SWOT tahunan atas ketercapaian VMTS dievaluasi oleh UJM Fakultas paling sedikit 1 (satu) kali setiap akhir tahun akademik, sesuai mekanisme yang diatur Standar Penjaminan Mutu Internal FTII, dan wajib dibahas dalam RTM.</w:t>
      </w:r>
    </w:p>
    <w:p>
      <w:pPr>
        <w:spacing w:before="280" w:after="120"/>
      </w:pPr>
      <w:r>
        <w:rPr>
          <w:b/>
          <w:sz w:val="26"/>
        </w:rPr>
        <w:t>7. DOKUMEN / BUKTI PENDUKUNG</w:t>
      </w:r>
    </w:p>
    <w:p>
      <w:pPr>
        <w:pStyle w:val="ListNumber"/>
        <w:spacing w:after="120"/>
      </w:pPr>
      <w:r>
        <w:t>Keputusan Rektor tentang penetapan Standar VMTS FTII beserta persetujuan Senat Universitas.</w:t>
      </w:r>
    </w:p>
    <w:p>
      <w:pPr>
        <w:pStyle w:val="ListNumber"/>
        <w:spacing w:after="120"/>
      </w:pPr>
      <w:r>
        <w:t>Statuta, Rencana Induk Pengembangan (RIP), Rencana Strategis (Renstra), dan Rencana Operasional (Renop) Universitas dan FTII yang menunjukkan keselarasan VMTS PT-UPPS-PS.</w:t>
      </w:r>
    </w:p>
    <w:p>
      <w:pPr>
        <w:pStyle w:val="ListNumber"/>
        <w:spacing w:after="120"/>
      </w:pPr>
      <w:r>
        <w:t>Surat Keputusan (SK) Tim Penyusun/Peninjau VMTS dan berita acara pelibatan pemangku kepentingan internal dan eksternal.</w:t>
      </w:r>
    </w:p>
    <w:p>
      <w:pPr>
        <w:pStyle w:val="ListNumber"/>
        <w:spacing w:after="120"/>
      </w:pPr>
      <w:r>
        <w:t>Dokumen analisis lingkungan internal-eksternal (SWOT) dan laporan pelaksanaan benchmarking dengan perguruan tinggi/institusi lain (nasional dan internasional), termasuk MoU/MoA pendukung.</w:t>
      </w:r>
    </w:p>
    <w:p>
      <w:pPr>
        <w:pStyle w:val="ListNumber"/>
        <w:spacing w:after="120"/>
      </w:pPr>
      <w:r>
        <w:t>Lima manual VMTS mengikuti siklus PPEPP (Manual Penetapan, Pelaksanaan, Evaluasi, Pengendalian, Peningkatan).</w:t>
      </w:r>
    </w:p>
    <w:p>
      <w:pPr>
        <w:pStyle w:val="ListNumber"/>
        <w:spacing w:after="120"/>
      </w:pPr>
      <w:r>
        <w:t>Dokumen VMTS FTII yang memuat pernyataan diferensiasi misi (teknologi informasi, industri, data-driven, digital business) serta bukti implementasinya pada seluruh program studi.</w:t>
      </w:r>
    </w:p>
    <w:p>
      <w:pPr>
        <w:pStyle w:val="ListNumber"/>
        <w:spacing w:after="120"/>
      </w:pPr>
      <w:r>
        <w:t>Laporan tahunan ketercapaian VMTS dan diferensiasi misi (setara LAKIP), beserta berita acara penyampaiannya dalam rapat kerja/RTM.</w:t>
      </w:r>
    </w:p>
    <w:p>
      <w:pPr>
        <w:pStyle w:val="ListNumber"/>
        <w:spacing w:after="120"/>
      </w:pPr>
      <w:r>
        <w:t>Dokumen bukti pengakuan/apresiasi eksternal (piagam, sertifikat, publikasi media, surat keterangan DUDIKA) pada tingkat lokal, nasional, dan internasional.</w:t>
      </w:r>
    </w:p>
    <w:p>
      <w:pPr>
        <w:pStyle w:val="ListNumber"/>
        <w:spacing w:after="120"/>
      </w:pPr>
      <w:r>
        <w:t>Dokumentasi sosialisasi VMTS (daftar hadir, materi, dokumentasi kegiatan) minimal 2 kali per tahun akademik.</w:t>
      </w:r>
    </w:p>
    <w:p>
      <w:pPr>
        <w:pStyle w:val="ListNumber"/>
        <w:spacing w:after="120"/>
      </w:pPr>
      <w:r>
        <w:t>Instrumen dan hasil survei/kuesioner tingkat pemahaman VMTS beserta data mentah responden dan laporan analisis hasil.</w:t>
      </w:r>
    </w:p>
    <w:p>
      <w:pPr>
        <w:pStyle w:val="ListNumber"/>
        <w:spacing w:after="120"/>
      </w:pPr>
      <w:r>
        <w:t>Laporan Audit Mutu Internal (AMI) dan Rencana Tindak Lanjut (RTL) atas implementasi Standar VMTS.</w:t>
      </w:r>
    </w:p>
    <w:p>
      <w:pPr>
        <w:pStyle w:val="ListNumber"/>
        <w:spacing w:after="120"/>
      </w:pPr>
      <w:r>
        <w:t>Berita Acara Rapat Tinjauan Manajemen (RTM) Fakultas terkait pembahasan capaian VMTS.</w:t>
      </w:r>
    </w:p>
    <w:p>
      <w:pPr>
        <w:pStyle w:val="ListNumber"/>
        <w:spacing w:after="120"/>
      </w:pPr>
      <w:r>
        <w:t>Dokumen evaluasi diri tahunan unit kerja/program studi dan rekapitulasi capaian kinerja fakultas.</w:t>
      </w:r>
    </w:p>
    <w:p>
      <w:pPr>
        <w:pStyle w:val="ListNumber"/>
        <w:spacing w:after="120"/>
      </w:pPr>
      <w:r>
        <w:t>Instrumen Akreditasi Program Studi LAM INFOKOM (Kriteria Unggul 2.1) dan Matriks Penilaian LED-LKPS LAM Teknik APS-AV 2025 1.0 sebagai acuan kalibrasi ambang indikator.</w:t>
      </w:r>
    </w:p>
    <w:p>
      <w:pPr>
        <w:pStyle w:val="ListNumber"/>
        <w:spacing w:after="120"/>
      </w:pPr>
      <w:r>
        <w:t>Dokumen visi keilmuan program studi yang tertaut kurikulum, beserta berita acara penyusunan/peninjauan yang melibatkan pakar bidang ilmu dan DUDIKA.</w:t>
      </w:r>
    </w:p>
    <w:p>
      <w:pPr>
        <w:pStyle w:val="ListNumber"/>
        <w:spacing w:after="120"/>
      </w:pPr>
      <w:r>
        <w:t>Dokumen root-cause analysis dan SWOT tahunan atas ketercapaian VMTS, sesuai template Standar Penjaminan Mutu Internal FTII, beserta berita acara pembahasannya dalam RTM.</w:t>
      </w:r>
    </w:p>
    <w:p/>
    <w:p>
      <w:pPr>
        <w:jc w:val="right"/>
      </w:pPr>
      <w:r>
        <w:rPr>
          <w:i/>
        </w:rPr>
        <w:t>Disusun di Semarang pada tanggal 1 Agustus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