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PROSES PkM</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dari Standar Proses PkM FTII UNISBANK (draft pembaruan), disempurnakan berdasarkan hasil pemetaan terhadap 5 dokumen rujukan (Panduan SPMI Program Sarjana dan Sarjana Terapan, Matriks Penilaian LAM Teknik APS-AV 2025 1.0, Standar Terakreditasi Unggul LAM INFOKOM, Dokumen SPMI fakultas sejenis, serta Buku Standar Proses dan Pengelolaan PkM perguruan tinggi rujukan) sebagaimana didokumentasikan pada standarprosespkm.docx. Seluruh ambang indikator kuantitatif pada dokumen ini ditetapkan setara atau melampaui skor tertinggi (skor 4) pada instrumen penilaian LAM Teknik dan kriteria Unggul LAM INFOKOM. Dokumen ini kini direstrukturisasi menjadi 3 (tiga) sub-standar terpisah — Standar Perencanaan PkM, Standar Pelaksanaan PkM, dan Standar Etika dan Pengelolaan PkM — konsisten dengan pola restrukturisasi yang telah diterapkan pada Standar Proses Penelitian, Standar Proses Pendidikan, dan Standar Masukan Penelitian/PkM Unggul FTII.</w:t>
      </w:r>
    </w:p>
    <w:p/>
    <w:p>
      <w:pPr>
        <w:spacing w:before="320" w:after="120"/>
      </w:pPr>
      <w:r>
        <w:rPr>
          <w:b/>
          <w:sz w:val="28"/>
        </w:rPr>
        <w:t>1. RASIONAL</w:t>
      </w:r>
    </w:p>
    <w:p>
      <w:pPr>
        <w:spacing w:after="120"/>
      </w:pPr>
      <w:r>
        <w:rPr>
          <w:b w:val="0"/>
          <w:i w:val="0"/>
        </w:rPr>
        <w:t>Fakultas Teknologi Informasi dan Industri (FTII) UNISBANK menetapkan Standar Proses Pengabdian kepada Masyarakat (PkM) sebagai perwujudan pencapaian Visi "Pada tahun 2035 menjadi Fakultas Teknologi Informasi dan Industri yang unggul, inovatif, adaptif dalam penerapan ilmu komputer, informatika dan industri berjiwa kewirausahaan dan berdaya saing internasional", dengan menjamin bahwa seluruh kegiatan PkM dilaksanakan secara sistematis, terencana, terukur, terdokumentasi, dan berkelanjutan sesuai kaidah ilmiah, etika, keselamatan kerja, dan arah pengembangan pada Rencana Induk PkM (RIP)/roadmap PkM fakultas dan program studi.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kesesuaian PkM dengan roadmap, kelengkapan bukti proses (review, kontrak, monev, dokumentasi luaran), keterlibatan mahasiswa dalam PkM, keselamatan kerja (K3) pelaksanaan PkM, kerja sama PkM dengan mitra eksternal, serta tindak lanjut hasil monitoring-evaluasi dan pengelolaan kelembagaan PkM — dan memenuhi deskriptor tertinggi Kriteria 4 (Relevansi PkM) LAM INFOKOM untuk status Terakreditasi Unggul.</w:t>
      </w:r>
    </w:p>
    <w:p>
      <w:pPr>
        <w:spacing w:after="120"/>
      </w:pPr>
      <w:r>
        <w:rPr>
          <w:b w:val="0"/>
          <w:i w:val="0"/>
        </w:rPr>
        <w:t>Penyusunan standar ini didasarkan pada hasil analisis kesenjangan (gap analysis) terhadap draft Standar Proses PkM FTII sebelumnya (standarprosespkm.docx), yang mengidentifikasi tujuh area prioritas penyesuaian: (a) klarifikasi dan penyatuan definisi indikator keterlibatan mahasiswa dalam PkM yang sebelumnya memiliki dua angka berbeda (20%→30% vs 5%→8%) untuk metrik yang tampak identik; (b) konversi checklist bukti proses PkM (9 unsur) dari status kualitatif "Tersedia" menjadi persentase terukur; (c) penambahan indikator kuantitatif kesesuaian PkM dengan roadmap/peta jalan; (d) penambahan syarat verifikasi keselamatan kerja (K3) dalam proses review proposal PkM; (e) kuantifikasi kerja sama PkM per kategori mitra; (f) penambahan indikator persentase tindak lanjut rekomendasi monev/AMI; dan (g) peninjauan frekuensi monev yang sebelumnya flat menjadi terukur dan bertahap. Sebaliknya, capaian yang sudah melampaui ambang rujukan — persentase kegiatan PkM yang melibatkan mahasiswa (100%) dan nol kasus pelanggaran kaidah ilmiah/etika PkM — dipertahankan dan diperkuat sebagai praktik baik. Indikator keterlibatan mahasiswa sebagai co-author pada publikasi hasil PkM diatur secara khusus pada Standar Luaran PkM FTII versi Unggul, bukan pada standar ini, agar tidak terjadi duplikasi indikator antar-standar.</w:t>
      </w:r>
    </w:p>
    <w:p>
      <w:pPr>
        <w:spacing w:after="120"/>
      </w:pPr>
      <w:r>
        <w:rPr>
          <w:b w:val="0"/>
          <w:i w:val="0"/>
        </w:rPr>
        <w:t>Melalui penerapan Standar Proses PkM versi Unggul ini, FTII UNISBANK diharapkan memiliki proses PkM yang setara dengan program studi berakreditasi Unggul, sekaligus berfungsi ganda sebagai instrumen penjaminan mutu internal (SPMI) dan instrumen kesiapan akreditasi eksternal LAM Teknik dan LAM INFOKOM.</w:t>
      </w:r>
    </w:p>
    <w:p>
      <w:pPr>
        <w:spacing w:after="120"/>
      </w:pPr>
      <w:r>
        <w:rPr>
          <w:b w:val="0"/>
          <w:i w:val="0"/>
        </w:rPr>
        <w:t>Ketentuan Lintas Sub-Standar — Root-Cause Analysis dan SWOT Tahunan: sesuai kewajiban lintas-standar yang diatur Standar Penjaminan Mutu Internal FTII versi Unggul, DJM, UJM, dan GKM wajib melaksanakan Analisis Faktor Keberhasilan dan Penghambat (root-cause analysis) serta analisis SWOT tahunan atas ketercapaian seluruh indikator pada ketiga sub-standar Proses PkM di bawah ini, sebagai bagian dari Rapat Tinjauan Manajemen (RTM) dan dasar penyusunan Rencana Tindak Lanjut (RTL) setiap siklus PPEPP.</w:t>
      </w:r>
    </w:p>
    <w:p>
      <w:pPr>
        <w:spacing w:before="320" w:after="120"/>
      </w:pPr>
      <w:r>
        <w:rPr>
          <w:b/>
          <w:sz w:val="28"/>
        </w:rPr>
        <w:t>STANDAR PELAKSANAAN PKM</w:t>
      </w:r>
    </w:p>
    <w:p>
      <w:pPr>
        <w:spacing w:before="200" w:after="80"/>
      </w:pPr>
      <w:r>
        <w:rPr>
          <w:b/>
          <w:sz w:val="25"/>
        </w:rPr>
        <w:t>1. Daftar Istilah</w:t>
      </w:r>
    </w:p>
    <w:p>
      <w:pPr>
        <w:pStyle w:val="ListNumber"/>
        <w:spacing w:after="120"/>
      </w:pPr>
      <w:r>
        <w:t>Keterlibatan Mahasiswa dalam PkM adalah partisipasi aktif mahasiswa dalam kegiatan PkM dosen sebagai bagian implementasi pembelajaran berbasis pengalaman, dihitung berdasarkan definisi dan basis perhitungan tunggal yang konsisten di seluruh dokumen turunan Standar Proses PkM.</w:t>
      </w:r>
    </w:p>
    <w:p>
      <w:pPr>
        <w:pStyle w:val="ListNumber"/>
        <w:spacing w:after="120"/>
      </w:pPr>
      <w:r>
        <w:t>Kerja Sama PkM adalah kolaborasi pelaksanaan kegiatan PkM antara FTII dengan mitra eksternal (Dunia Usaha dan Dunia Industri/DUDI, instansi pemerintah, perguruan tinggi nasional, dan perguruan tinggi internasional), dituangkan dalam MoU/MoA/dokumen kerja sama.</w:t>
      </w:r>
    </w:p>
    <w:p>
      <w:pPr>
        <w:pStyle w:val="ListNumber"/>
        <w:spacing w:after="120"/>
      </w:pPr>
      <w:r>
        <w:t>Co-Author Publikasi Hasil PkM adalah status mahasiswa sebagai penulis pendamping pada luaran ilmiah hasil kegiatan PkM, diatur secara khusus pada Standar Luaran PkM FTII versi Unggul, bukan pada standar ini.</w:t>
      </w:r>
    </w:p>
    <w:p>
      <w:pPr>
        <w:pStyle w:val="ListNumber"/>
        <w:spacing w:after="120"/>
      </w:pPr>
      <w:r>
        <w:t>Pembelajaran Berbasis Pengalaman (Experiential Learning) adalah pendekatan pembelajaran yang melibatkan mahasiswa secara langsung dalam kegiatan nyata, termasuk PkM, untuk memperkuat capaian pembelajaran lulusan.</w:t>
      </w:r>
    </w:p>
    <w:p>
      <w:pPr>
        <w:spacing w:before="200" w:after="80"/>
      </w:pPr>
      <w:r>
        <w:rPr>
          <w:b/>
          <w:sz w:val="25"/>
        </w:rPr>
        <w:t>2. Pihak Yang Bertanggung Jawab Untuk Memenuhi Standar</w:t>
      </w:r>
    </w:p>
    <w:p>
      <w:pPr>
        <w:pStyle w:val="ListNumber"/>
        <w:spacing w:after="120"/>
      </w:pPr>
      <w: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t>Pengendalian: Rektor; DJM; UJM Fakultas; Dekan FTII; Ketua Program Studi; GKM — berdasarkan hasil Monev, AMI, laporan kelengkapan bukti proses, laporan keselamatan kerja, serta laporan kerja sama PkM.</w:t>
      </w:r>
    </w:p>
    <w:p>
      <w:pPr>
        <w:pStyle w:val="ListNumber"/>
        <w:spacing w:after="120"/>
      </w:pPr>
      <w: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Pelaksanaan PkM</w:t>
      </w:r>
    </w:p>
    <w:p>
      <w:pPr>
        <w:pStyle w:val="ListNumber"/>
        <w:spacing w:after="120"/>
      </w:pPr>
      <w:r>
        <w:t>FTII wajib menjamin seluruh (100%) kegiatan PkM dosen melibatkan mahasiswa sebagai bagian dari implementasi pembelajaran berbasis pengalaman.</w:t>
      </w:r>
    </w:p>
    <w:p>
      <w:pPr>
        <w:pStyle w:val="ListNumber"/>
        <w:spacing w:after="120"/>
      </w:pPr>
      <w:r>
        <w:t>FTII wajib menjamin persentase mahasiswa program studi yang terlibat dalam PkM dosen paling sedikit 25% pada tahun pertama, meningkat menjadi paling sedikit 28% (tahun kedua) dan paling sedikit 30% (tahun ketiga), dihitung terhadap jumlah mahasiswa aktif per tahun — definisi dan basis perhitungan indikator ini WAJIB tunggal dan konsisten di seluruh dokumen turunan Standar Proses PkM, menggantikan dua angka berbeda (20%-30% dan 5%-8%) yang sebelumnya muncul pada draft.</w:t>
      </w:r>
    </w:p>
    <w:p>
      <w:pPr>
        <w:pStyle w:val="ListNumber"/>
        <w:spacing w:after="120"/>
      </w:pPr>
      <w:r>
        <w:t>Keterlibatan mahasiswa sebagai co-author pada publikasi ilmiah hasil PkM diatur secara khusus pada Standar Luaran PkM FTII versi Unggul.</w:t>
      </w:r>
    </w:p>
    <w:p>
      <w:pPr>
        <w:pStyle w:val="ListNumber"/>
        <w:spacing w:after="120"/>
      </w:pPr>
      <w:r>
        <w:t>FTII wajib mendorong dan memfasilitasi PkM kolaboratif dengan Dunia Usaha dan Dunia Industri (DUDI), instansi pemerintah, perguruan tinggi nasional, dan perguruan tinggi internasional, dengan target paling sedikit 1-2 kerja sama PkM aktif per kategori mitra per tahun, meningkat menjadi paling sedikit 2 kerja sama aktif per kategori pada tahun ketiga.</w:t>
      </w:r>
    </w:p>
    <w:p>
      <w:pPr>
        <w:pStyle w:val="ListNumber"/>
        <w:spacing w:after="120"/>
      </w:pPr>
      <w:r>
        <w:t>*FTII wajib menjamin keberlanjutan PkM (PkM sustainability), yaitu persentase topik/tema PkM dosen yang berkelanjutan lintas tahun mengikuti RIP/roadmap PkM (multi-tahun atau kelanjutan mitra yang sama) paling sedikit 40% pada tahun pertama, meningkat menjadi paling sedikit 60% pada tahun ketiga, dibuktikan melalui keterkaitan tema PkM dengan kegiatan PkM sebelumnya pada roadmap dan/atau mitra yang sama.</w:t>
      </w:r>
    </w:p>
    <w:p>
      <w:pPr>
        <w:spacing w:before="200" w:after="80"/>
      </w:pPr>
      <w:r>
        <w:rPr>
          <w:b/>
          <w:sz w:val="25"/>
        </w:rPr>
        <w:t>4. Strategi Pencapaian Standar</w:t>
      </w:r>
    </w:p>
    <w:p>
      <w:pPr>
        <w:pStyle w:val="ListNumber"/>
        <w:spacing w:after="120"/>
      </w:pPr>
      <w:r>
        <w:t>Rektor menetapkan kebijakan Standar Pelaksanaan PkM FTII sebagai bagian dari SPMI Universitas, dengan ambang indikator disetarakan pada skor tertinggi instrumen LAM Teknik dan kriteria Unggul LAM INFOKOM.</w:t>
      </w:r>
    </w:p>
    <w:p>
      <w:pPr>
        <w:pStyle w:val="ListNumber"/>
        <w:spacing w:after="120"/>
      </w:pPr>
      <w:r>
        <w:t>Ketua Program Studi menjamin pelibatan mahasiswa pada seluruh kegiatan PkM dosen serta memantau persentase mahasiswa program studi yang terlibat menuju target 25%-&gt;30%, menggunakan satu definisi dan basis perhitungan yang konsisten di seluruh dokumen turunan.</w:t>
      </w:r>
    </w:p>
    <w:p>
      <w:pPr>
        <w:pStyle w:val="ListNumber"/>
        <w:spacing w:after="120"/>
      </w:pPr>
      <w:r>
        <w:t>Fakultas dan Program Studi memperluas kerja sama PkM dengan DUDI, instansi pemerintah, dan perguruan tinggi nasional/internasional melalui MoU/MoA, ditargetkan minimal 1-2 kerja sama aktif per kategori per tahun.</w:t>
      </w:r>
    </w:p>
    <w:p>
      <w:pPr>
        <w:pStyle w:val="ListNumber"/>
        <w:spacing w:after="120"/>
      </w:pPr>
      <w:r>
        <w:t>*Ketua Program Studi bersama DPPMP memantau dan melaporkan keberlanjutan tema/mitra PkM dosen lintas tahun sesuai RIP/roadmap PkM, mendorong pengajuan PkM lanjutan (multi-year PkM) melalui skema hibah internal dan eksternal.</w:t>
      </w:r>
    </w:p>
    <w:p>
      <w:pPr>
        <w:spacing w:before="200" w:after="80"/>
      </w:pPr>
      <w:r>
        <w:rPr>
          <w:b/>
          <w:sz w:val="25"/>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Persentase kegiatan PkM yang melibatkan mahasiswa [IKU]</w:t>
            </w:r>
          </w:p>
        </w:tc>
        <w:tc>
          <w:tcPr>
            <w:tcW w:type="dxa" w:w="1234"/>
          </w:tcPr>
          <w:p>
            <w:r/>
            <w:r>
              <w:rPr>
                <w:b w:val="0"/>
                <w:sz w:val="19"/>
              </w:rPr>
              <w:t>%</w:t>
            </w:r>
          </w:p>
        </w:tc>
        <w:tc>
          <w:tcPr>
            <w:tcW w:type="dxa" w:w="1234"/>
          </w:tcPr>
          <w:p>
            <w:r/>
            <w:r>
              <w:rPr>
                <w:b w:val="0"/>
                <w:sz w:val="19"/>
              </w:rPr>
              <w:t>≥25 (R1); ≥50 (R2); ≥30-60 (R4)</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2</w:t>
            </w:r>
          </w:p>
        </w:tc>
        <w:tc>
          <w:tcPr>
            <w:tcW w:type="dxa" w:w="1234"/>
          </w:tcPr>
          <w:p>
            <w:r/>
            <w:r>
              <w:rPr>
                <w:b w:val="0"/>
                <w:sz w:val="19"/>
              </w:rPr>
              <w:t>Persentase mahasiswa terlibat dalam PkM dosen [IKU]</w:t>
            </w:r>
          </w:p>
        </w:tc>
        <w:tc>
          <w:tcPr>
            <w:tcW w:type="dxa" w:w="1234"/>
          </w:tcPr>
          <w:p>
            <w:r/>
            <w:r>
              <w:rPr>
                <w:b w:val="0"/>
                <w:sz w:val="19"/>
              </w:rPr>
              <w:t>%</w:t>
            </w:r>
          </w:p>
        </w:tc>
        <w:tc>
          <w:tcPr>
            <w:tcW w:type="dxa" w:w="1234"/>
          </w:tcPr>
          <w:p>
            <w:r/>
            <w:r>
              <w:rPr>
                <w:b w:val="0"/>
                <w:sz w:val="19"/>
              </w:rPr>
              <w:t>≥10-25 (R4); ≥25 (R5)</w:t>
            </w:r>
          </w:p>
        </w:tc>
        <w:tc>
          <w:tcPr>
            <w:tcW w:type="dxa" w:w="1234"/>
          </w:tcPr>
          <w:p>
            <w:r/>
            <w:r>
              <w:rPr>
                <w:b w:val="0"/>
                <w:sz w:val="19"/>
              </w:rPr>
              <w:t>25</w:t>
            </w:r>
          </w:p>
        </w:tc>
        <w:tc>
          <w:tcPr>
            <w:tcW w:type="dxa" w:w="1234"/>
          </w:tcPr>
          <w:p>
            <w:r/>
            <w:r>
              <w:rPr>
                <w:b w:val="0"/>
                <w:sz w:val="19"/>
              </w:rPr>
              <w:t>28</w:t>
            </w:r>
          </w:p>
        </w:tc>
        <w:tc>
          <w:tcPr>
            <w:tcW w:type="dxa" w:w="1234"/>
          </w:tcPr>
          <w:p>
            <w:r/>
            <w:r>
              <w:rPr>
                <w:b w:val="0"/>
                <w:sz w:val="19"/>
              </w:rPr>
              <w:t>30</w:t>
            </w:r>
          </w:p>
        </w:tc>
      </w:tr>
      <w:tr>
        <w:tc>
          <w:tcPr>
            <w:tcW w:type="dxa" w:w="1234"/>
          </w:tcPr>
          <w:p>
            <w:r/>
            <w:r>
              <w:rPr>
                <w:b w:val="0"/>
                <w:sz w:val="19"/>
              </w:rPr>
              <w:t>3</w:t>
            </w:r>
          </w:p>
        </w:tc>
        <w:tc>
          <w:tcPr>
            <w:tcW w:type="dxa" w:w="1234"/>
          </w:tcPr>
          <w:p>
            <w:r/>
            <w:r>
              <w:rPr>
                <w:b w:val="0"/>
                <w:sz w:val="19"/>
              </w:rPr>
              <w:t>Kerja sama PkM aktif per kategori mitra (DUDI/pemerintah/PT nasional/PT internasional) [IKT - baru]</w:t>
            </w:r>
          </w:p>
        </w:tc>
        <w:tc>
          <w:tcPr>
            <w:tcW w:type="dxa" w:w="1234"/>
          </w:tcPr>
          <w:p>
            <w:r/>
            <w:r>
              <w:rPr>
                <w:b w:val="0"/>
                <w:sz w:val="19"/>
              </w:rPr>
              <w:t>Kerja sama/kategori/tahun (min)</w:t>
            </w:r>
          </w:p>
        </w:tc>
        <w:tc>
          <w:tcPr>
            <w:tcW w:type="dxa" w:w="1234"/>
          </w:tcPr>
          <w:p>
            <w:r/>
            <w:r>
              <w:rPr>
                <w:b w:val="0"/>
                <w:sz w:val="19"/>
              </w:rPr>
              <w:t>≥1-2 (pola R2)</w:t>
            </w:r>
          </w:p>
        </w:tc>
        <w:tc>
          <w:tcPr>
            <w:tcW w:type="dxa" w:w="1234"/>
          </w:tcPr>
          <w:p>
            <w:r/>
            <w:r>
              <w:rPr>
                <w:b w:val="0"/>
                <w:sz w:val="19"/>
              </w:rPr>
              <w:t>1</w:t>
            </w:r>
          </w:p>
        </w:tc>
        <w:tc>
          <w:tcPr>
            <w:tcW w:type="dxa" w:w="1234"/>
          </w:tcPr>
          <w:p>
            <w:r/>
            <w:r>
              <w:rPr>
                <w:b w:val="0"/>
                <w:sz w:val="19"/>
              </w:rPr>
              <w:t>1</w:t>
            </w:r>
          </w:p>
        </w:tc>
        <w:tc>
          <w:tcPr>
            <w:tcW w:type="dxa" w:w="1234"/>
          </w:tcPr>
          <w:p>
            <w:r/>
            <w:r>
              <w:rPr>
                <w:b w:val="0"/>
                <w:sz w:val="19"/>
              </w:rPr>
              <w:t>2</w:t>
            </w:r>
          </w:p>
        </w:tc>
      </w:tr>
      <w:tr>
        <w:tc>
          <w:tcPr>
            <w:tcW w:type="dxa" w:w="1234"/>
          </w:tcPr>
          <w:p>
            <w:r/>
            <w:r>
              <w:rPr>
                <w:sz w:val="19"/>
              </w:rPr>
              <w:t>*4</w:t>
            </w:r>
          </w:p>
        </w:tc>
        <w:tc>
          <w:tcPr>
            <w:tcW w:type="dxa" w:w="1234"/>
          </w:tcPr>
          <w:p>
            <w:r/>
            <w:r>
              <w:rPr>
                <w:sz w:val="19"/>
              </w:rPr>
              <w:t>Keberlanjutan PkM (PkM sustainability) lintas tahun sesuai RIP/roadmap [IKU - baru]</w:t>
            </w:r>
          </w:p>
        </w:tc>
        <w:tc>
          <w:tcPr>
            <w:tcW w:type="dxa" w:w="1234"/>
          </w:tcPr>
          <w:p>
            <w:r/>
            <w:r>
              <w:rPr>
                <w:sz w:val="19"/>
              </w:rPr>
              <w:t>%</w:t>
            </w:r>
          </w:p>
        </w:tc>
        <w:tc>
          <w:tcPr>
            <w:tcW w:type="dxa" w:w="1234"/>
          </w:tcPr>
          <w:p>
            <w:r/>
            <w:r>
              <w:rPr>
                <w:sz w:val="19"/>
              </w:rPr>
              <w:t>≥40-60 (target internal FTII, selaras unsur C.4.C LAM INFOKOM 2.1)</w:t>
            </w:r>
          </w:p>
        </w:tc>
        <w:tc>
          <w:tcPr>
            <w:tcW w:type="dxa" w:w="1234"/>
          </w:tcPr>
          <w:p>
            <w:r/>
            <w:r>
              <w:rPr>
                <w:sz w:val="19"/>
              </w:rPr>
              <w:t>40</w:t>
            </w:r>
          </w:p>
        </w:tc>
        <w:tc>
          <w:tcPr>
            <w:tcW w:type="dxa" w:w="1234"/>
          </w:tcPr>
          <w:p>
            <w:r/>
            <w:r>
              <w:rPr>
                <w:sz w:val="19"/>
              </w:rPr>
              <w:t>50</w:t>
            </w:r>
          </w:p>
        </w:tc>
        <w:tc>
          <w:tcPr>
            <w:tcW w:type="dxa" w:w="1234"/>
          </w:tcPr>
          <w:p>
            <w:r/>
            <w:r>
              <w:rPr>
                <w:sz w:val="19"/>
              </w:rPr>
              <w:t>60</w:t>
            </w:r>
          </w:p>
        </w:tc>
      </w:tr>
    </w:tbl>
    <w:p/>
    <w:p>
      <w:pPr/>
      <w:r>
        <w:rPr>
          <w:b/>
          <w:sz w:val="28"/>
        </w:rPr>
        <w:t>STANDAR PENILAIAN PKM</w:t>
      </w:r>
    </w:p>
    <w:p>
      <w:pPr/>
      <w:r>
        <w:rPr>
          <w:b/>
        </w:rPr>
        <w:t>1. Daftar Istilah</w:t>
      </w:r>
    </w:p>
    <w:p>
      <w:pPr>
        <w:pStyle w:val="ListBullet"/>
      </w:pPr>
      <w:r>
        <w:t>Penilaian PkM adalah proses penilaian yang dilakukan mulai dari perencanaan, pelaksanaan, sampai pelaporan PkM secara edukatif, objektif, akuntabel, dan transparan.</w:t>
      </w:r>
    </w:p>
    <w:p>
      <w:pPr>
        <w:pStyle w:val="ListBullet"/>
      </w:pPr>
      <w:r>
        <w:t>Reviewer/Penilai PkM adalah dosen dan/atau pakar yang ditugaskan untuk menilai kelayakan proposal, memantau pelaksanaan, dan menilai hasil PkM sesuai bidang keahliannya.</w:t>
      </w:r>
    </w:p>
    <w:p>
      <w:pPr>
        <w:pStyle w:val="ListBullet"/>
      </w:pPr>
      <w:r>
        <w:t>Instrumen Penilaian adalah pedoman/rubrik penilaian yang memuat kriteria dan bobot penilaian sesuai dengan skema/kategori kegiatan.</w:t>
      </w:r>
    </w:p>
    <w:p>
      <w:pPr>
        <w:pStyle w:val="ListBullet"/>
      </w:pPr>
      <w:r>
        <w:t>Laporan Kemajuan dan Laporan Akhir adalah dokumen pertanggungjawaban substansi dan penggunaan anggaran yang dinilai oleh reviewer sesuai jadwal yang ditetapkan.</w:t>
      </w:r>
    </w:p>
    <w:p>
      <w:pPr/>
      <w:r>
        <w:rPr>
          <w:b/>
        </w:rPr>
        <w:t>2. Pihak Yang Bertanggung Jawab Untuk Memenuhi Standar</w:t>
      </w:r>
    </w:p>
    <w:p>
      <w:pPr>
        <w:pStyle w:val="ListBullet"/>
      </w:pPr>
      <w:r>
        <w:t>Rektor, dalam menetapkan kebijakan sistem penilaian.</w:t>
      </w:r>
    </w:p>
    <w:p>
      <w:pPr>
        <w:pStyle w:val="ListBullet"/>
      </w:pPr>
      <w:r>
        <w:t>Direktorat Penelitian, Pengabdian kepada Masyarakat dan Publikasi (DPPMP), dalam penyelenggaraan proses penilaian proposal, monitoring, dan hasil PkM.</w:t>
      </w:r>
    </w:p>
    <w:p>
      <w:pPr>
        <w:pStyle w:val="ListBullet"/>
      </w:pPr>
      <w:r>
        <w:t>Dekan FTII, dalam pemantauan pelaksanaan penilaian di tingkat fakultas.</w:t>
      </w:r>
    </w:p>
    <w:p>
      <w:pPr>
        <w:pStyle w:val="ListBullet"/>
      </w:pPr>
      <w:r>
        <w:t>Ketua Program Studi, dalam verifikasi kesesuaian hasil penilaian PkM dosen program studi.</w:t>
      </w:r>
    </w:p>
    <w:p>
      <w:pPr>
        <w:pStyle w:val="ListBullet"/>
      </w:pPr>
      <w:r>
        <w:t>Reviewer internal/eksternal, dalam pelaksanaan penilaian proposal, monitoring, dan hasil sesuai instrumen yang ditetapkan.</w:t>
      </w:r>
    </w:p>
    <w:p>
      <w:pPr>
        <w:pStyle w:val="ListBullet"/>
      </w:pPr>
      <w:r>
        <w:t>Gugus Kendali Mutu (GKM) Program Studi, dalam validasi kelengkapan dokumen dan hasil penilaian setiap semester.</w:t>
      </w:r>
    </w:p>
    <w:p>
      <w:pPr/>
      <w:r>
        <w:rPr>
          <w:b/>
        </w:rPr>
        <w:t>3. Pernyataan Isi Standar Penilaian PkM</w:t>
      </w:r>
    </w:p>
    <w:p>
      <w:pPr>
        <w:pStyle w:val="ListNumber"/>
      </w:pPr>
      <w:r>
        <w:t>FTII wajib menetapkan dan menerapkan instrumen penilaian PkM yang memenuhi unsur edukatif, objektif, akuntabel, dan transparan sesuai Permendikbudristek Nomor 53 Tahun 2023.</w:t>
      </w:r>
    </w:p>
    <w:p>
      <w:pPr>
        <w:pStyle w:val="ListNumber"/>
      </w:pPr>
      <w:r>
        <w:t>FTII wajib menugaskan reviewer internal dan/atau eksternal yang memiliki kualifikasi dan kompetensi sesuai bidang PkM yang dinilai.</w:t>
      </w:r>
    </w:p>
    <w:p>
      <w:pPr>
        <w:pStyle w:val="ListNumber"/>
      </w:pPr>
      <w:r>
        <w:t>FTII wajib melaksanakan penilaian proposal PkM sebelum pendanaan diberikan, mencakup relevansi, metodologi, dan kelayakan anggaran.</w:t>
      </w:r>
    </w:p>
    <w:p>
      <w:pPr>
        <w:pStyle w:val="ListNumber"/>
      </w:pPr>
      <w:r>
        <w:t>FTII wajib melaksanakan monitoring dan evaluasi (monev) pelaksanaan PkM paling sedikit 1 (satu) kali setiap periode kegiatan berjalan.</w:t>
      </w:r>
    </w:p>
    <w:p>
      <w:pPr>
        <w:pStyle w:val="ListNumber"/>
      </w:pPr>
      <w:r>
        <w:t>FTII wajib menilai laporan kemajuan dan laporan akhir PkM berdasarkan kesesuaian capaian dengan proposal dan luaran yang dijanjikan.</w:t>
      </w:r>
    </w:p>
    <w:p>
      <w:pPr>
        <w:pStyle w:val="ListNumber"/>
      </w:pPr>
      <w:r>
        <w:t>FTII wajib mendokumentasikan seluruh hasil penilaian PkM secara transparan dan dapat diakses oleh pihak yang berkepentingan.</w:t>
      </w:r>
    </w:p>
    <w:p>
      <w:pPr>
        <w:pStyle w:val="ListNumber"/>
      </w:pPr>
      <w:r>
        <w:t>*FTII wajib menindaklanjuti hasil penilaian PkM sebagai dasar perbaikan mutu dan keberlanjutan pendanaan pada periode berikutnya.</w:t>
      </w:r>
    </w:p>
    <w:p>
      <w:pPr/>
      <w:r>
        <w:rPr>
          <w:b/>
        </w:rPr>
        <w:t>4. Strategi Pencapaian Standar</w:t>
      </w:r>
    </w:p>
    <w:p>
      <w:pPr>
        <w:pStyle w:val="ListNumber"/>
      </w:pPr>
      <w:r>
        <w:t>DPPMP menyusun dan menerbitkan instrumen/rubrik penilaian PkM berbasis prinsip edukatif, objektif, akuntabel, dan transparan.</w:t>
      </w:r>
    </w:p>
    <w:p>
      <w:pPr>
        <w:pStyle w:val="ListNumber"/>
      </w:pPr>
      <w:r>
        <w:t>DPPMP menyusun basis data reviewer internal/eksternal sesuai rumpun keilmuan dan menugaskannya secara berimbang.</w:t>
      </w:r>
    </w:p>
    <w:p>
      <w:pPr>
        <w:pStyle w:val="ListNumber"/>
      </w:pPr>
      <w:r>
        <w:t>DPPMP menjadwalkan dan melaksanakan penilaian proposal, monitoring pelaksanaan, dan penilaian laporan akhir PkM setiap periode kegiatan.</w:t>
      </w:r>
    </w:p>
    <w:p>
      <w:pPr>
        <w:pStyle w:val="ListNumber"/>
      </w:pPr>
      <w:r>
        <w:t>DPPMP mempublikasikan hasil penilaian melalui sistem informasi terintegrasi agar dapat diakses dosen dan pimpinan program studi.</w:t>
      </w:r>
    </w:p>
    <w:p>
      <w:pPr>
        <w:pStyle w:val="ListNumber"/>
      </w:pPr>
      <w:r>
        <w:t>Dekan dan Ketua Program Studi menindaklanjuti hasil penilaian sebagai bahan evaluasi dan perbaikan mutu pada siklus berikutnya.</w:t>
      </w:r>
    </w:p>
    <w:p>
      <w:pPr/>
      <w:r>
        <w:rPr>
          <w:b/>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No</w:t>
            </w:r>
          </w:p>
        </w:tc>
        <w:tc>
          <w:tcPr>
            <w:tcW w:type="dxa" w:w="1234"/>
          </w:tcPr>
          <w:p>
            <w:r>
              <w:t>Indikator (IKU/IKT)</w:t>
            </w:r>
          </w:p>
        </w:tc>
        <w:tc>
          <w:tcPr>
            <w:tcW w:type="dxa" w:w="1234"/>
          </w:tcPr>
          <w:p>
            <w:r>
              <w:t>Satuan</w:t>
            </w:r>
          </w:p>
        </w:tc>
        <w:tc>
          <w:tcPr>
            <w:tcW w:type="dxa" w:w="1234"/>
          </w:tcPr>
          <w:p>
            <w:r>
              <w:t>Ambang Rujukan (skor 4)</w:t>
            </w:r>
          </w:p>
        </w:tc>
        <w:tc>
          <w:tcPr>
            <w:tcW w:type="dxa" w:w="1234"/>
          </w:tcPr>
          <w:p>
            <w:r>
              <w:t>Target 2024/25</w:t>
            </w:r>
          </w:p>
        </w:tc>
        <w:tc>
          <w:tcPr>
            <w:tcW w:type="dxa" w:w="1234"/>
          </w:tcPr>
          <w:p>
            <w:r>
              <w:t>Target 2025/26</w:t>
            </w:r>
          </w:p>
        </w:tc>
        <w:tc>
          <w:tcPr>
            <w:tcW w:type="dxa" w:w="1234"/>
          </w:tcPr>
          <w:p>
            <w:r>
              <w:t>Target 2026/27</w:t>
            </w:r>
          </w:p>
        </w:tc>
      </w:tr>
      <w:tr>
        <w:tc>
          <w:tcPr>
            <w:tcW w:type="dxa" w:w="1234"/>
          </w:tcPr>
          <w:p>
            <w:r>
              <w:t>1</w:t>
            </w:r>
          </w:p>
        </w:tc>
        <w:tc>
          <w:tcPr>
            <w:tcW w:type="dxa" w:w="1234"/>
          </w:tcPr>
          <w:p>
            <w:r>
              <w:t>Tersedia instrumen/rubrik penilaian PkM yang diterapkan secara konsisten</w:t>
            </w:r>
          </w:p>
        </w:tc>
        <w:tc>
          <w:tcPr>
            <w:tcW w:type="dxa" w:w="1234"/>
          </w:tcPr>
          <w:p>
            <w:r>
              <w:t>Status</w:t>
            </w:r>
          </w:p>
        </w:tc>
        <w:tc>
          <w:tcPr>
            <w:tcW w:type="dxa" w:w="1234"/>
          </w:tcPr>
          <w:p>
            <w:r>
              <w:t>Tersedia</w:t>
            </w:r>
          </w:p>
        </w:tc>
        <w:tc>
          <w:tcPr>
            <w:tcW w:type="dxa" w:w="1234"/>
          </w:tcPr>
          <w:p>
            <w:r>
              <w:t>Tersedia</w:t>
            </w:r>
          </w:p>
        </w:tc>
        <w:tc>
          <w:tcPr>
            <w:tcW w:type="dxa" w:w="1234"/>
          </w:tcPr>
          <w:p>
            <w:r>
              <w:t>Tersedia</w:t>
            </w:r>
          </w:p>
        </w:tc>
        <w:tc>
          <w:tcPr>
            <w:tcW w:type="dxa" w:w="1234"/>
          </w:tcPr>
          <w:p>
            <w:r>
              <w:t>Tersedia</w:t>
            </w:r>
          </w:p>
        </w:tc>
      </w:tr>
      <w:tr>
        <w:tc>
          <w:tcPr>
            <w:tcW w:type="dxa" w:w="1234"/>
          </w:tcPr>
          <w:p>
            <w:r>
              <w:t>2</w:t>
            </w:r>
          </w:p>
        </w:tc>
        <w:tc>
          <w:tcPr>
            <w:tcW w:type="dxa" w:w="1234"/>
          </w:tcPr>
          <w:p>
            <w:r>
              <w:t>Persentase proposal PkM yang dinilai reviewer sebelum pendanaan</w:t>
            </w:r>
          </w:p>
        </w:tc>
        <w:tc>
          <w:tcPr>
            <w:tcW w:type="dxa" w:w="1234"/>
          </w:tcPr>
          <w:p>
            <w:r>
              <w:t>%</w:t>
            </w:r>
          </w:p>
        </w:tc>
        <w:tc>
          <w:tcPr>
            <w:tcW w:type="dxa" w:w="1234"/>
          </w:tcPr>
          <w:p>
            <w:r>
              <w:t>100</w:t>
            </w:r>
          </w:p>
        </w:tc>
        <w:tc>
          <w:tcPr>
            <w:tcW w:type="dxa" w:w="1234"/>
          </w:tcPr>
          <w:p>
            <w:r>
              <w:t>100</w:t>
            </w:r>
          </w:p>
        </w:tc>
        <w:tc>
          <w:tcPr>
            <w:tcW w:type="dxa" w:w="1234"/>
          </w:tcPr>
          <w:p>
            <w:r>
              <w:t>100</w:t>
            </w:r>
          </w:p>
        </w:tc>
        <w:tc>
          <w:tcPr>
            <w:tcW w:type="dxa" w:w="1234"/>
          </w:tcPr>
          <w:p>
            <w:r>
              <w:t>100</w:t>
            </w:r>
          </w:p>
        </w:tc>
      </w:tr>
      <w:tr>
        <w:tc>
          <w:tcPr>
            <w:tcW w:type="dxa" w:w="1234"/>
          </w:tcPr>
          <w:p>
            <w:r>
              <w:t>3</w:t>
            </w:r>
          </w:p>
        </w:tc>
        <w:tc>
          <w:tcPr>
            <w:tcW w:type="dxa" w:w="1234"/>
          </w:tcPr>
          <w:p>
            <w:r>
              <w:t>Persentase kegiatan PkM yang dimonitoring dan dievaluasi paling sedikit 1 kali</w:t>
            </w:r>
          </w:p>
        </w:tc>
        <w:tc>
          <w:tcPr>
            <w:tcW w:type="dxa" w:w="1234"/>
          </w:tcPr>
          <w:p>
            <w:r>
              <w:t>%</w:t>
            </w:r>
          </w:p>
        </w:tc>
        <w:tc>
          <w:tcPr>
            <w:tcW w:type="dxa" w:w="1234"/>
          </w:tcPr>
          <w:p>
            <w:r>
              <w:t>100</w:t>
            </w:r>
          </w:p>
        </w:tc>
        <w:tc>
          <w:tcPr>
            <w:tcW w:type="dxa" w:w="1234"/>
          </w:tcPr>
          <w:p>
            <w:r>
              <w:t>100</w:t>
            </w:r>
          </w:p>
        </w:tc>
        <w:tc>
          <w:tcPr>
            <w:tcW w:type="dxa" w:w="1234"/>
          </w:tcPr>
          <w:p>
            <w:r>
              <w:t>100</w:t>
            </w:r>
          </w:p>
        </w:tc>
        <w:tc>
          <w:tcPr>
            <w:tcW w:type="dxa" w:w="1234"/>
          </w:tcPr>
          <w:p>
            <w:r>
              <w:t>100</w:t>
            </w:r>
          </w:p>
        </w:tc>
      </w:tr>
      <w:tr>
        <w:tc>
          <w:tcPr>
            <w:tcW w:type="dxa" w:w="1234"/>
          </w:tcPr>
          <w:p>
            <w:r>
              <w:t>4</w:t>
            </w:r>
          </w:p>
        </w:tc>
        <w:tc>
          <w:tcPr>
            <w:tcW w:type="dxa" w:w="1234"/>
          </w:tcPr>
          <w:p>
            <w:r>
              <w:t>Persentase laporan akhir PkM yang dinilai tepat waktu</w:t>
            </w:r>
          </w:p>
        </w:tc>
        <w:tc>
          <w:tcPr>
            <w:tcW w:type="dxa" w:w="1234"/>
          </w:tcPr>
          <w:p>
            <w:r>
              <w:t>%</w:t>
            </w:r>
          </w:p>
        </w:tc>
        <w:tc>
          <w:tcPr>
            <w:tcW w:type="dxa" w:w="1234"/>
          </w:tcPr>
          <w:p>
            <w:r>
              <w:t>≥90</w:t>
            </w:r>
          </w:p>
        </w:tc>
        <w:tc>
          <w:tcPr>
            <w:tcW w:type="dxa" w:w="1234"/>
          </w:tcPr>
          <w:p>
            <w:r>
              <w:t>90</w:t>
            </w:r>
          </w:p>
        </w:tc>
        <w:tc>
          <w:tcPr>
            <w:tcW w:type="dxa" w:w="1234"/>
          </w:tcPr>
          <w:p>
            <w:r>
              <w:t>95</w:t>
            </w:r>
          </w:p>
        </w:tc>
        <w:tc>
          <w:tcPr>
            <w:tcW w:type="dxa" w:w="1234"/>
          </w:tcPr>
          <w:p>
            <w:r>
              <w:t>100</w:t>
            </w:r>
          </w:p>
        </w:tc>
      </w:tr>
    </w:tbl>
    <w:p>
      <w:pPr/>
      <w:r>
        <w:rPr>
          <w:b/>
          <w:sz w:val="28"/>
        </w:rPr>
        <w:t>STANDAR PENGELOLAAN PKM</w:t>
      </w:r>
    </w:p>
    <w:p>
      <w:pPr>
        <w:spacing w:before="160" w:after="80"/>
      </w:pPr>
      <w:r>
        <w:rPr>
          <w:b/>
          <w:sz w:val="23"/>
        </w:rPr>
        <w:t>1. Daftar Istilah</w:t>
      </w:r>
    </w:p>
    <w:p>
      <w:pPr>
        <w:spacing w:after="120"/>
      </w:pPr>
      <w:r>
        <w:rPr>
          <w:b w:val="0"/>
          <w:i w:val="0"/>
        </w:rPr>
        <w:t>Rencana Strategis (Renstra) PkM adalah dokumen perencanaan jangka menengah yang memuat arah kebijakan, sasaran, dan program PkM FTII/Universitas.</w:t>
      </w:r>
    </w:p>
    <w:p>
      <w:pPr>
        <w:spacing w:after="120"/>
      </w:pPr>
      <w:r>
        <w:rPr>
          <w:b w:val="0"/>
          <w:i w:val="0"/>
        </w:rPr>
        <w:t>Roadmap/Peta Jalan PkM adalah dokumen yang memayungi tema PkM dosen dan mahasiswa program studi, memuat kesesuaian pelaksanaan dengan peta jalan dan evaluasi berkala.</w:t>
      </w:r>
    </w:p>
    <w:p>
      <w:pPr>
        <w:spacing w:after="120"/>
      </w:pPr>
      <w:r>
        <w:rPr>
          <w:b w:val="0"/>
          <w:i w:val="0"/>
        </w:rPr>
        <w:t>Buku Panduan PkM adalah dokumen yang memuat kebijakan, skema PkM, kualifikasi pelaksana, mekanisme pendanaan, pelaksanaan, monitoring, evaluasi, dan pelaporan PkM.</w:t>
      </w:r>
    </w:p>
    <w:p>
      <w:pPr>
        <w:spacing w:after="120"/>
      </w:pPr>
      <w:r>
        <w:rPr>
          <w:b w:val="0"/>
          <w:i w:val="0"/>
        </w:rPr>
        <w:t>Siklus PPEPP adalah singkatan dari Penetapan, Pelaksanaan, Evaluasi, Pengendalian, dan Peningkatan standar, menjadi kerangka pengendalian mutu berkelanjutan Standar Masukan PkM.</w:t>
      </w:r>
    </w:p>
    <w:p>
      <w:pPr>
        <w:spacing w:after="120"/>
      </w:pPr>
      <w:r>
        <w:rPr>
          <w:b w:val="0"/>
          <w:i w:val="0"/>
        </w:rPr>
        <w:t>Audit Mutu Internal (AMI) adalah kegiatan evaluasi sistematis, independen, dan terdokumentasi untuk menentukan tingkat kesesuaian pelaksanaan Standar Masukan PkM.</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160" w:after="80"/>
      </w:pPr>
      <w:r>
        <w:rPr>
          <w:b/>
          <w:sz w:val="23"/>
        </w:rPr>
        <w:t>2. Pihak Yang Bertanggung Jawab Untuk Memenuhi Standar</w:t>
      </w:r>
    </w:p>
    <w:p>
      <w:pPr>
        <w:pStyle w:val="ListBullet"/>
        <w:spacing w:after="80"/>
      </w:pPr>
      <w:r>
        <w:t>Rektor, dalam menetapkan kebijakan Standar Masukan PkM dan Renstra PkM Universitas.</w:t>
      </w:r>
    </w:p>
    <w:p>
      <w:pPr>
        <w:pStyle w:val="ListBullet"/>
        <w:spacing w:after="80"/>
      </w:pPr>
      <w:r>
        <w:t>Direktorat Penelitian, Pengabdian kepada Masyarakat dan Publikasi (DPPMP), dalam penyusunan roadmap PkM, Buku Panduan PkM, serta pelaksanaan monitoring-evaluasi.</w:t>
      </w:r>
    </w:p>
    <w:p>
      <w:pPr>
        <w:pStyle w:val="ListBullet"/>
        <w:spacing w:after="80"/>
      </w:pPr>
      <w:r>
        <w:t>Dekan FTII dan Ketua Program Studi, dalam penyusunan roadmap PkM program studi dan pemantauan pelaksanaannya.</w:t>
      </w:r>
    </w:p>
    <w:p>
      <w:pPr>
        <w:pStyle w:val="ListBullet"/>
        <w:spacing w:after="80"/>
      </w:pPr>
      <w:r>
        <w:t>Direktorat Jaminan Mutu (DJM)/Unit Jaminan Mutu (UJM) Fakultas/Gugus Kendali Mutu (GKM), dalam pelaksanaan Audit Mutu Internal (AMI), Rapat Tinjauan Manajemen (RTM), dan tindak lanjut evaluasi.</w:t>
      </w:r>
    </w:p>
    <w:p>
      <w:pPr>
        <w:spacing w:before="160" w:after="80"/>
      </w:pPr>
      <w:r>
        <w:rPr>
          <w:b/>
          <w:sz w:val="23"/>
        </w:rPr>
        <w:t>3. Pernyataan Isi Standar Pengelolaan PkM</w:t>
      </w:r>
    </w:p>
    <w:p>
      <w:pPr>
        <w:pStyle w:val="ListNumber"/>
        <w:spacing w:after="120"/>
      </w:pPr>
      <w:r>
        <w:t>FTII wajib memiliki dan menerapkan Standar Masukan PkM yang ditetapkan melalui keputusan Rektor sebagai acuan penyediaan sumber daya PkM.</w:t>
      </w:r>
    </w:p>
    <w:p>
      <w:pPr>
        <w:pStyle w:val="ListNumber"/>
        <w:spacing w:after="120"/>
      </w:pPr>
      <w:r>
        <w:t>FTII wajib memiliki Rencana Strategis (Renstra) PkM dan roadmap/peta jalan PkM program studi yang memuat sekurang-kurangnya 4 (empat) unsur konkret: peta jalan yang memayungi tema PkM dosen dan mahasiswa, pelaksanaan kegiatan PkM sesuai peta jalan, evaluasi berkala kesesuaian pelaksanaan dengan roadmap, dan pemanfaatan hasil evaluasi untuk penyempurnaan roadmap.</w:t>
      </w:r>
    </w:p>
    <w:p>
      <w:pPr>
        <w:pStyle w:val="ListNumber"/>
        <w:spacing w:after="120"/>
      </w:pPr>
      <w:r>
        <w:t>FTII wajib menjamin persentase kegiatan PkM yang selaras dengan roadmap paling sedikit 90%, meningkat menuju 100%.</w:t>
      </w:r>
    </w:p>
    <w:p>
      <w:pPr>
        <w:pStyle w:val="ListNumber"/>
        <w:spacing w:after="120"/>
      </w:pPr>
      <w:r>
        <w:t>FTII wajib menyediakan Buku Panduan PkM yang memuat kebijakan, skema PkM, kualifikasi pelaksana, mekanisme pendanaan, pelaksanaan, monitoring, evaluasi, dan pelaporan PkM, serta memastikan aksesibilitasnya bagi seluruh sivitas akademika melalui sistem informasi.</w:t>
      </w:r>
    </w:p>
    <w:p>
      <w:pPr>
        <w:pStyle w:val="ListNumber"/>
        <w:spacing w:after="120"/>
      </w:pPr>
      <w:r>
        <w:t>FTII wajib mengukur dan meningkatkan tingkat kepuasan dosen, mahasiswa, dan mitra PkM terhadap sarana-prasarana dan layanan PkM paling sedikit 80%, meningkat menuju paling sedikit 95%.</w:t>
      </w:r>
    </w:p>
    <w:p>
      <w:pPr>
        <w:pStyle w:val="ListNumber"/>
        <w:spacing w:after="120"/>
      </w:pPr>
      <w:r>
        <w:t>FTII wajib melaksanakan monitoring dan evaluasi, Audit Mutu Internal (AMI), menyusun Rencana Tindak Lanjut (RTL), dan menerapkan siklus Penetapan-Pelaksanaan-Evaluasi-Pengendalian-Peningkatan (PPEPP) secara berkelanjutan terhadap seluruh komponen Standar Masukan PkM.</w:t>
      </w:r>
    </w:p>
    <w:p>
      <w:pPr>
        <w:spacing w:before="160" w:after="80"/>
      </w:pPr>
      <w:r>
        <w:rPr>
          <w:b/>
          <w:sz w:val="23"/>
        </w:rPr>
        <w:t>4. Strategi Pencapaian Standar</w:t>
      </w:r>
    </w:p>
    <w:p>
      <w:pPr>
        <w:pStyle w:val="ListNumber"/>
        <w:spacing w:after="120"/>
      </w:pPr>
      <w:r>
        <w:t>Rektor menetapkan kebijakan Standar Pengelolaan PkM sebagai bagian dari SPMI Universitas, dengan ambang indikator disetarakan pada skor tertinggi instrumen LAM Teknik dan kriteria Unggul LAM INFOKOM.</w:t>
      </w:r>
    </w:p>
    <w:p>
      <w:pPr>
        <w:pStyle w:val="ListNumber"/>
        <w:spacing w:after="120"/>
      </w:pPr>
      <w:r>
        <w:t>DPPMP menyusun dan memperbarui Renstra PkM serta roadmap PkM program studi yang memuat 4 unsur wajib (peta jalan dosen-mahasiswa, pelaksanaan sesuai roadmap, evaluasi berkala, pemanfaatan hasil evaluasi), ditinjau setiap siklus Renstra, dengan target kesesuaian kegiatan PkM terhadap roadmap menuju 100%.</w:t>
      </w:r>
    </w:p>
    <w:p>
      <w:pPr>
        <w:pStyle w:val="ListNumber"/>
        <w:spacing w:after="120"/>
      </w:pPr>
      <w:r>
        <w:t>DPPMP menyusun dan mengembangkan Buku Panduan PkM yang memuat kebijakan, skema, kualifikasi pelaksana, mekanisme pendanaan, pelaksanaan, monitoring, evaluasi, dan pelaporan PkM, serta memastikan aksesibilitasnya melalui Sistem Informasi PkM.</w:t>
      </w:r>
    </w:p>
    <w:p>
      <w:pPr>
        <w:pStyle w:val="ListNumber"/>
        <w:spacing w:after="120"/>
      </w:pPr>
      <w:r>
        <w:t>Fakultas dan DPPMP melaksanakan survei kepuasan dosen, mahasiswa, dan mitra PkM secara berkala, ditargetkan meningkat dari 80-85% menuju 95%.</w:t>
      </w:r>
    </w:p>
    <w:p>
      <w:pPr>
        <w:pStyle w:val="ListNumber"/>
        <w:spacing w:after="120"/>
      </w:pPr>
      <w:r>
        <w:t>Direktorat Jaminan Mutu (DJM), Unit Jaminan Mutu (UJM), dan Gugus Kendali Mutu (GKM) melaksanakan monitoring, evaluasi, dan Audit Mutu Internal (AMI) atas seluruh indikator Standar Masukan PkM secara berkala, serta menyusun Rencana Tindak Lanjut (RTL) sebagai bagian dari siklus PPEPP.</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Ketersediaan Renstra PkM dan roadmap PkM memuat 4 unsur [IKU]</w:t>
            </w:r>
          </w:p>
        </w:tc>
        <w:tc>
          <w:tcPr>
            <w:tcW w:type="dxa" w:w="1234"/>
          </w:tcPr>
          <w:p>
            <w:r/>
            <w:r>
              <w:rPr>
                <w:b w:val="0"/>
                <w:sz w:val="19"/>
              </w:rPr>
              <w:t>Status</w:t>
            </w:r>
          </w:p>
        </w:tc>
        <w:tc>
          <w:tcPr>
            <w:tcW w:type="dxa" w:w="1234"/>
          </w:tcPr>
          <w:p>
            <w:r/>
            <w:r>
              <w:rPr>
                <w:b w:val="0"/>
                <w:sz w:val="19"/>
              </w:rPr>
              <w:t>4 unsur (R1/R2)</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w:t>
            </w:r>
          </w:p>
        </w:tc>
        <w:tc>
          <w:tcPr>
            <w:tcW w:type="dxa" w:w="1234"/>
          </w:tcPr>
          <w:p>
            <w:r/>
            <w:r>
              <w:rPr>
                <w:b w:val="0"/>
                <w:sz w:val="19"/>
              </w:rPr>
              <w:t>Persentase kegiatan PkM yang selaras dengan roadmap [IKU]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Ketersediaan Buku Panduan PkM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16</w:t>
            </w:r>
          </w:p>
        </w:tc>
        <w:tc>
          <w:tcPr>
            <w:tcW w:type="dxa" w:w="1234"/>
          </w:tcPr>
          <w:p>
            <w:r/>
            <w:r>
              <w:rPr>
                <w:b w:val="0"/>
                <w:sz w:val="19"/>
              </w:rPr>
              <w:t>Persentase kepuasan dosen dan mahasiswa terhadap sarana-prasarana dan layanan PkM [IKU]</w:t>
            </w:r>
          </w:p>
        </w:tc>
        <w:tc>
          <w:tcPr>
            <w:tcW w:type="dxa" w:w="1234"/>
          </w:tcPr>
          <w:p>
            <w:r/>
            <w:r>
              <w:rPr>
                <w:b w:val="0"/>
                <w:sz w:val="19"/>
              </w:rPr>
              <w:t>%</w:t>
            </w:r>
          </w:p>
        </w:tc>
        <w:tc>
          <w:tcPr>
            <w:tcW w:type="dxa" w:w="1234"/>
          </w:tcPr>
          <w:p>
            <w:r/>
            <w:r>
              <w:rPr>
                <w:b w:val="0"/>
                <w:sz w:val="19"/>
              </w:rPr>
              <w:t>- (praktik unggulan FTII)</w:t>
            </w:r>
          </w:p>
        </w:tc>
        <w:tc>
          <w:tcPr>
            <w:tcW w:type="dxa" w:w="1234"/>
          </w:tcPr>
          <w:p>
            <w:r/>
            <w:r>
              <w:rPr>
                <w:b w:val="0"/>
                <w:sz w:val="19"/>
              </w:rPr>
              <w:t>85</w:t>
            </w:r>
          </w:p>
        </w:tc>
        <w:tc>
          <w:tcPr>
            <w:tcW w:type="dxa" w:w="1234"/>
          </w:tcPr>
          <w:p>
            <w:r/>
            <w:r>
              <w:rPr>
                <w:b w:val="0"/>
                <w:sz w:val="19"/>
              </w:rPr>
              <w:t>90</w:t>
            </w:r>
          </w:p>
        </w:tc>
        <w:tc>
          <w:tcPr>
            <w:tcW w:type="dxa" w:w="1234"/>
          </w:tcPr>
          <w:p>
            <w:r/>
            <w:r>
              <w:rPr>
                <w:b w:val="0"/>
                <w:sz w:val="19"/>
              </w:rPr>
              <w:t>95</w:t>
            </w:r>
          </w:p>
        </w:tc>
      </w:tr>
      <w:tr>
        <w:tc>
          <w:tcPr>
            <w:tcW w:type="dxa" w:w="1234"/>
          </w:tcPr>
          <w:p>
            <w:r/>
            <w:r>
              <w:rPr>
                <w:b w:val="0"/>
                <w:sz w:val="19"/>
              </w:rPr>
              <w:t>17</w:t>
            </w:r>
          </w:p>
        </w:tc>
        <w:tc>
          <w:tcPr>
            <w:tcW w:type="dxa" w:w="1234"/>
          </w:tcPr>
          <w:p>
            <w:r/>
            <w:r>
              <w:rPr>
                <w:b w:val="0"/>
                <w:sz w:val="19"/>
              </w:rPr>
              <w:t>Persentase kepuasan mitra PkM terhadap layanan PkM [IKU]</w:t>
            </w:r>
          </w:p>
        </w:tc>
        <w:tc>
          <w:tcPr>
            <w:tcW w:type="dxa" w:w="1234"/>
          </w:tcPr>
          <w:p>
            <w:r/>
            <w:r>
              <w:rPr>
                <w:b w:val="0"/>
                <w:sz w:val="19"/>
              </w:rPr>
              <w:t>%</w:t>
            </w:r>
          </w:p>
        </w:tc>
        <w:tc>
          <w:tcPr>
            <w:tcW w:type="dxa" w:w="1234"/>
          </w:tcPr>
          <w:p>
            <w:r/>
            <w:r>
              <w:rPr>
                <w:b w:val="0"/>
                <w:sz w:val="19"/>
              </w:rPr>
              <w:t>- (praktik unggulan FTII)</w:t>
            </w:r>
          </w:p>
        </w:tc>
        <w:tc>
          <w:tcPr>
            <w:tcW w:type="dxa" w:w="1234"/>
          </w:tcPr>
          <w:p>
            <w:r/>
            <w:r>
              <w:rPr>
                <w:b w:val="0"/>
                <w:sz w:val="19"/>
              </w:rPr>
              <w:t>85</w:t>
            </w:r>
          </w:p>
        </w:tc>
        <w:tc>
          <w:tcPr>
            <w:tcW w:type="dxa" w:w="1234"/>
          </w:tcPr>
          <w:p>
            <w:r/>
            <w:r>
              <w:rPr>
                <w:b w:val="0"/>
                <w:sz w:val="19"/>
              </w:rPr>
              <w:t>90</w:t>
            </w:r>
          </w:p>
        </w:tc>
        <w:tc>
          <w:tcPr>
            <w:tcW w:type="dxa" w:w="1234"/>
          </w:tcPr>
          <w:p>
            <w:r/>
            <w:r>
              <w:rPr>
                <w:b w:val="0"/>
                <w:sz w:val="19"/>
              </w:rPr>
              <w:t>95</w:t>
            </w:r>
          </w:p>
        </w:tc>
      </w:tr>
      <w:tr>
        <w:tc>
          <w:tcPr>
            <w:tcW w:type="dxa" w:w="1234"/>
          </w:tcPr>
          <w:p>
            <w:r/>
            <w:r>
              <w:rPr>
                <w:b w:val="0"/>
                <w:sz w:val="19"/>
              </w:rPr>
              <w:t>18</w:t>
            </w:r>
          </w:p>
        </w:tc>
        <w:tc>
          <w:tcPr>
            <w:tcW w:type="dxa" w:w="1234"/>
          </w:tcPr>
          <w:p>
            <w:r/>
            <w:r>
              <w:rPr>
                <w:b w:val="0"/>
                <w:sz w:val="19"/>
              </w:rPr>
              <w:t>Frekuensi monitoring, evaluasi, dan AMI atas standar ini [IKT]</w:t>
            </w:r>
          </w:p>
        </w:tc>
        <w:tc>
          <w:tcPr>
            <w:tcW w:type="dxa" w:w="1234"/>
          </w:tcPr>
          <w:p>
            <w:r/>
            <w:r>
              <w:rPr>
                <w:b w:val="0"/>
                <w:sz w:val="19"/>
              </w:rPr>
              <w:t>Kali/tahun</w:t>
            </w:r>
          </w:p>
        </w:tc>
        <w:tc>
          <w:tcPr>
            <w:tcW w:type="dxa" w:w="1234"/>
          </w:tcPr>
          <w:p>
            <w:r/>
            <w:r>
              <w:rPr>
                <w:b w:val="0"/>
                <w:sz w:val="19"/>
              </w:rPr>
              <w:t>≥1 (praktik baik referensi)</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bl>
    <w:p/>
    <w:p>
      <w:pPr/>
      <w:r>
        <w:rPr>
          <w:b/>
          <w:sz w:val="28"/>
        </w:rPr>
        <w:t>Ketentuan Etika PkM (Tambahan)</w:t>
      </w:r>
    </w:p>
    <w:p>
      <w:pPr>
        <w:spacing w:before="200" w:after="80"/>
      </w:pPr>
      <w:r>
        <w:rPr>
          <w:b/>
          <w:sz w:val="25"/>
        </w:rPr>
        <w:t>1. Daftar Istilah</w:t>
      </w:r>
    </w:p>
    <w:p>
      <w:pPr>
        <w:pStyle w:val="ListNumber"/>
        <w:spacing w:after="120"/>
      </w:pPr>
      <w:r>
        <w:t>Etika PkM adalah kaidah ilmiah, akademik, hukum, dan norma sosial yang wajib dipatuhi dalam perencanaan, pelaksanaan, dan pelaporan kegiatan PkM.</w:t>
      </w:r>
    </w:p>
    <w:p>
      <w:pPr>
        <w:pStyle w:val="ListNumber"/>
        <w:spacing w:after="120"/>
      </w:pPr>
      <w:r>
        <w:t>Keselamatan, Kesehatan Kerja, dan Keamanan (K3) Pelaksanaan PkM adalah jaminan perlindungan bagi pelaksana, mahasiswa, masyarakat sasaran, dan lingkungan dari risiko kecelakaan atau insiden selama kegiatan PkM berlangsung.</w:t>
      </w:r>
    </w:p>
    <w:p>
      <w:pPr>
        <w:pStyle w:val="ListNumber"/>
        <w:spacing w:after="120"/>
      </w:pPr>
      <w:r>
        <w:t>Legalitas Penugasan PkM adalah kelengkapan dokumen resmi (Surat Tugas/SK/kontrak/dokumen kerja sama) yang menjadi dasar sah pelaksanaan kegiatan PkM.</w:t>
      </w:r>
    </w:p>
    <w:p>
      <w:pPr>
        <w:pStyle w:val="ListNumber"/>
        <w:spacing w:after="120"/>
      </w:pPr>
      <w:r>
        <w:t>Monitoring dan Evaluasi (Monev) Pengelolaan PkM adalah kegiatan pemantauan dan penilaian berkala terhadap tata kelola kelembagaan PkM, terpisah dari monev proses pelaksanaan kegiatan PkM itu sendiri.</w:t>
      </w:r>
    </w:p>
    <w:p>
      <w:pPr>
        <w:pStyle w:val="ListNumber"/>
        <w:spacing w:after="120"/>
      </w:pPr>
      <w:r>
        <w:t>Siklus PPEPP adalah singkatan dari Penetapan, Pelaksanaan, Evaluasi, Pengendalian, dan Peningkatan standar, menjadi kerangka pengendalian mutu berkelanjutan atas Standar Proses PkM.</w:t>
      </w:r>
    </w:p>
    <w:p>
      <w:pPr>
        <w:pStyle w:val="ListNumber"/>
        <w:spacing w:after="120"/>
      </w:pPr>
      <w:r>
        <w:t>Audit Mutu Internal (AMI) adalah kegiatan evaluasi sistematis, independen, dan terdokumentasi untuk menentukan tingkat kesesuaian pelaksanaan Standar Proses PkM terhadap ambang yang ditetapkan.</w:t>
      </w:r>
    </w:p>
    <w:p>
      <w:pPr>
        <w:pStyle w:val="ListNumber"/>
        <w:spacing w:after="120"/>
      </w:pPr>
      <w:r>
        <w:t>Rencana Tindak Lanjut (RTL) adalah dokumen rencana perbaikan yang disusun berdasarkan hasil Monev dan AMI untuk menindaklanjuti temuan/rekomendasi yang belum tercapai.</w:t>
      </w:r>
    </w:p>
    <w:p>
      <w:pPr>
        <w:spacing w:before="200" w:after="80"/>
      </w:pPr>
      <w:r>
        <w:rPr>
          <w:b/>
          <w:sz w:val="25"/>
        </w:rPr>
        <w:t>2. Pihak Yang Bertanggung Jawab Untuk Memenuhi Standar</w:t>
      </w:r>
    </w:p>
    <w:p>
      <w:pPr>
        <w:pStyle w:val="ListNumber"/>
        <w:spacing w:after="120"/>
      </w:pPr>
      <w: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t>Pengendalian: Rektor; DJM; UJM Fakultas; Dekan FTII; Ketua Program Studi; GKM — berdasarkan hasil Monev, AMI, laporan kelengkapan bukti proses, laporan keselamatan kerja, serta laporan kerja sama PkM.</w:t>
      </w:r>
    </w:p>
    <w:p>
      <w:pPr>
        <w:pStyle w:val="ListNumber"/>
        <w:spacing w:after="120"/>
      </w:pPr>
      <w: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Etika dan Pengelolaan PkM</w:t>
      </w:r>
    </w:p>
    <w:p>
      <w:pPr>
        <w:pStyle w:val="ListNumber"/>
        <w:spacing w:after="120"/>
      </w:pPr>
      <w:r>
        <w:t>FTII wajib menjamin nol (0) kasus pelanggaran terhadap kaidah ilmiah, etika akademik, hukum, maupun norma sosial dalam pelaksanaan PkM pada seluruh periode penerapan standar.</w:t>
      </w:r>
    </w:p>
    <w:p>
      <w:pPr>
        <w:pStyle w:val="ListNumber"/>
        <w:spacing w:after="120"/>
      </w:pPr>
      <w:r>
        <w:t>FTII wajib menetapkan bahwa setiap proposal PkM wajib lolos penilaian terkait standar mutu, keselamatan kerja, kesehatan, kenyamanan, dan keamanan bagi pelaksana, masyarakat sasaran, dan lingkungan, sebagai syarat mutlak sebelum kegiatan PkM dilaksanakan.</w:t>
      </w:r>
    </w:p>
    <w:p>
      <w:pPr>
        <w:pStyle w:val="ListNumber"/>
        <w:spacing w:after="120"/>
      </w:pPr>
      <w:r>
        <w:t>FTII wajib menjamin nol (0) kejadian kecelakaan kerja dan insiden keselamatan-keamanan (K3) pelaksanaan PkM bagi pelaksana, mahasiswa, masyarakat sasaran, dan lingkungan pada seluruh periode penerapan standar.</w:t>
      </w:r>
    </w:p>
    <w:p>
      <w:pPr>
        <w:pStyle w:val="ListNumber"/>
        <w:spacing w:after="120"/>
      </w:pPr>
      <w:r>
        <w:t>Setiap kegiatan PkM wajib memiliki legalitas penugasan (Surat Tugas/SK/kontrak/dokumen kerja sama) yang lengkap dan terdokumentasi.</w:t>
      </w:r>
    </w:p>
    <w:p>
      <w:pPr>
        <w:pStyle w:val="ListNumber"/>
        <w:spacing w:after="120"/>
      </w:pPr>
      <w:r>
        <w:t>FTII wajib melaksanakan monitoring dan evaluasi proses PkM paling sedikit satu kali per tahun, dan monitoring dan evaluasi pengelolaan kelembagaan PkM paling sedikit satu kali per tahun secara terpisah.</w:t>
      </w:r>
    </w:p>
    <w:p>
      <w:pPr>
        <w:pStyle w:val="ListNumber"/>
        <w:spacing w:after="120"/>
      </w:pPr>
      <w:r>
        <w:t>FTII wajib menjamin persentase rekomendasi hasil monitoring-evaluasi dan Audit Mutu Internal (AMI) PkM yang ditindaklanjuti paling sedikit 70% pada tahun pertama, meningkat menjadi paling sedikit 95% pada tahun ketiga.</w:t>
      </w:r>
    </w:p>
    <w:p>
      <w:pPr>
        <w:pStyle w:val="ListNumber"/>
        <w:spacing w:after="120"/>
      </w:pPr>
      <w:r>
        <w:t>FTII wajib melaksanakan Audit Mutu Internal (AMI), menyusun Rencana Tindak Lanjut (RTL), dan menerapkan siklus Penetapan-Pelaksanaan-Evaluasi-Pengendalian-Peningkatan (PPEPP) secara berkelanjutan terhadap seluruh komponen Standar Proses PkM.</w:t>
      </w:r>
    </w:p>
    <w:p>
      <w:pPr>
        <w:spacing w:before="200" w:after="80"/>
      </w:pPr>
      <w:r>
        <w:rPr>
          <w:b/>
          <w:sz w:val="25"/>
        </w:rPr>
        <w:t>4. Strategi Pencapaian Standar</w:t>
      </w:r>
    </w:p>
    <w:p>
      <w:pPr>
        <w:pStyle w:val="ListNumber"/>
        <w:spacing w:after="120"/>
      </w:pPr>
      <w:r>
        <w:t>Rektor menetapkan kebijakan Standar Etika dan Pengelolaan PkM FTII sebagai bagian dari SPMI Universitas, dengan ambang indikator disetarakan pada skor tertinggi instrumen LAM Teknik dan kriteria Unggul LAM INFOKOM.</w:t>
      </w:r>
    </w:p>
    <w:p>
      <w:pPr>
        <w:pStyle w:val="ListNumber"/>
        <w:spacing w:after="120"/>
      </w:pPr>
      <w:r>
        <w:t>DPPMP menyusun dan menerapkan mekanisme verifikasi keselamatan kerja (K3) sebagai bagian wajib proses review proposal PkM, bekerja sama dengan komisi etik/reviewer, untuk menjaga nol kecelakaan kerja dan insiden K3.</w:t>
      </w:r>
    </w:p>
    <w:p>
      <w:pPr>
        <w:pStyle w:val="ListNumber"/>
        <w:spacing w:after="120"/>
      </w:pPr>
      <w:r>
        <w:t>DPPMP menyusun dan menyosialisasikan pedoman etika PkM, dengan pemantauan berkelanjutan untuk menjaga nol kasus pelanggaran kaidah ilmiah.</w:t>
      </w:r>
    </w:p>
    <w:p>
      <w:pPr>
        <w:pStyle w:val="ListNumber"/>
        <w:spacing w:after="120"/>
      </w:pPr>
      <w:r>
        <w:t>DJM dan UJM melaksanakan monitoring dan evaluasi proses PkM serta pengelolaan PkM masing-masing paling sedikit satu kali per tahun secara terpisah, dan memantau persentase tindak lanjut rekomendasi menuju 95%.</w:t>
      </w:r>
    </w:p>
    <w:p>
      <w:pPr>
        <w:pStyle w:val="ListNumber"/>
        <w:spacing w:after="120"/>
      </w:pPr>
      <w:r>
        <w:t>Direktorat Jaminan Mutu (DJM), Unit Jaminan Mutu (UJM), dan Gugus Kendali Mutu (GKM) melaksanakan Audit Mutu Internal (AMI) atas seluruh indikator Standar Proses PkM secara berkala, serta menyusun Rencana Tindak Lanjut (RTL) sebagai bagian dari siklus PPEPP.</w:t>
      </w:r>
    </w:p>
    <w:p>
      <w:pPr>
        <w:spacing w:before="200" w:after="80"/>
      </w:pPr>
      <w:r>
        <w:rPr>
          <w:b/>
          <w:sz w:val="25"/>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Kasus pelanggaran kaidah ilmiah/etika PkM [IKU]</w:t>
            </w:r>
          </w:p>
        </w:tc>
        <w:tc>
          <w:tcPr>
            <w:tcW w:type="dxa" w:w="1234"/>
          </w:tcPr>
          <w:p>
            <w:r/>
            <w:r>
              <w:rPr>
                <w:b w:val="0"/>
                <w:sz w:val="19"/>
              </w:rPr>
              <w:t>Kasus</w:t>
            </w:r>
          </w:p>
        </w:tc>
        <w:tc>
          <w:tcPr>
            <w:tcW w:type="dxa" w:w="1234"/>
          </w:tcPr>
          <w:p>
            <w:r/>
            <w:r>
              <w:rPr>
                <w:b w:val="0"/>
                <w:sz w:val="19"/>
              </w:rPr>
              <w:t>0 (praktik universal SPMI)</w:t>
            </w:r>
          </w:p>
        </w:tc>
        <w:tc>
          <w:tcPr>
            <w:tcW w:type="dxa" w:w="1234"/>
          </w:tcPr>
          <w:p>
            <w:r/>
            <w:r>
              <w:rPr>
                <w:b w:val="0"/>
                <w:sz w:val="19"/>
              </w:rPr>
              <w:t>0</w:t>
            </w:r>
          </w:p>
        </w:tc>
        <w:tc>
          <w:tcPr>
            <w:tcW w:type="dxa" w:w="1234"/>
          </w:tcPr>
          <w:p>
            <w:r/>
            <w:r>
              <w:rPr>
                <w:b w:val="0"/>
                <w:sz w:val="19"/>
              </w:rPr>
              <w:t>0</w:t>
            </w:r>
          </w:p>
        </w:tc>
        <w:tc>
          <w:tcPr>
            <w:tcW w:type="dxa" w:w="1234"/>
          </w:tcPr>
          <w:p>
            <w:r/>
            <w:r>
              <w:rPr>
                <w:b w:val="0"/>
                <w:sz w:val="19"/>
              </w:rPr>
              <w:t>0</w:t>
            </w:r>
          </w:p>
        </w:tc>
      </w:tr>
      <w:tr>
        <w:tc>
          <w:tcPr>
            <w:tcW w:type="dxa" w:w="1234"/>
          </w:tcPr>
          <w:p>
            <w:r/>
            <w:r>
              <w:rPr>
                <w:b w:val="0"/>
                <w:sz w:val="19"/>
              </w:rPr>
              <w:t>2</w:t>
            </w:r>
          </w:p>
        </w:tc>
        <w:tc>
          <w:tcPr>
            <w:tcW w:type="dxa" w:w="1234"/>
          </w:tcPr>
          <w:p>
            <w:r/>
            <w:r>
              <w:rPr>
                <w:b w:val="0"/>
                <w:sz w:val="19"/>
              </w:rPr>
              <w:t>Verifikasi K3 sebagai syarat lolos proposal PkM [IKU - baru]</w:t>
            </w:r>
          </w:p>
        </w:tc>
        <w:tc>
          <w:tcPr>
            <w:tcW w:type="dxa" w:w="1234"/>
          </w:tcPr>
          <w:p>
            <w:r/>
            <w:r>
              <w:rPr>
                <w:b w:val="0"/>
                <w:sz w:val="19"/>
              </w:rPr>
              <w:t>%</w:t>
            </w:r>
          </w:p>
        </w:tc>
        <w:tc>
          <w:tcPr>
            <w:tcW w:type="dxa" w:w="1234"/>
          </w:tcPr>
          <w:p>
            <w:r/>
            <w:r>
              <w:rPr>
                <w:b w:val="0"/>
                <w:sz w:val="19"/>
              </w:rPr>
              <w:t>wajib (R1/R5)</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Kejadian kecelakaan kerja/insiden K3 pelaksanaan PkM [IKU - baru]</w:t>
            </w:r>
          </w:p>
        </w:tc>
        <w:tc>
          <w:tcPr>
            <w:tcW w:type="dxa" w:w="1234"/>
          </w:tcPr>
          <w:p>
            <w:r/>
            <w:r>
              <w:rPr>
                <w:b w:val="0"/>
                <w:sz w:val="19"/>
              </w:rPr>
              <w:t>Kejadian</w:t>
            </w:r>
          </w:p>
        </w:tc>
        <w:tc>
          <w:tcPr>
            <w:tcW w:type="dxa" w:w="1234"/>
          </w:tcPr>
          <w:p>
            <w:r/>
            <w:r>
              <w:rPr>
                <w:b w:val="0"/>
                <w:sz w:val="19"/>
              </w:rPr>
              <w:t>0 (praktik baik R1/R5)</w:t>
            </w:r>
          </w:p>
        </w:tc>
        <w:tc>
          <w:tcPr>
            <w:tcW w:type="dxa" w:w="1234"/>
          </w:tcPr>
          <w:p>
            <w:r/>
            <w:r>
              <w:rPr>
                <w:b w:val="0"/>
                <w:sz w:val="19"/>
              </w:rPr>
              <w:t>0</w:t>
            </w:r>
          </w:p>
        </w:tc>
        <w:tc>
          <w:tcPr>
            <w:tcW w:type="dxa" w:w="1234"/>
          </w:tcPr>
          <w:p>
            <w:r/>
            <w:r>
              <w:rPr>
                <w:b w:val="0"/>
                <w:sz w:val="19"/>
              </w:rPr>
              <w:t>0</w:t>
            </w:r>
          </w:p>
        </w:tc>
        <w:tc>
          <w:tcPr>
            <w:tcW w:type="dxa" w:w="1234"/>
          </w:tcPr>
          <w:p>
            <w:r/>
            <w:r>
              <w:rPr>
                <w:b w:val="0"/>
                <w:sz w:val="19"/>
              </w:rPr>
              <w:t>0</w:t>
            </w:r>
          </w:p>
        </w:tc>
      </w:tr>
      <w:tr>
        <w:tc>
          <w:tcPr>
            <w:tcW w:type="dxa" w:w="1234"/>
          </w:tcPr>
          <w:p>
            <w:r/>
            <w:r>
              <w:rPr>
                <w:b w:val="0"/>
                <w:sz w:val="19"/>
              </w:rPr>
              <w:t>4</w:t>
            </w:r>
          </w:p>
        </w:tc>
        <w:tc>
          <w:tcPr>
            <w:tcW w:type="dxa" w:w="1234"/>
          </w:tcPr>
          <w:p>
            <w:r/>
            <w:r>
              <w:rPr>
                <w:b w:val="0"/>
                <w:sz w:val="19"/>
              </w:rPr>
              <w:t>Frekuensi monev proses PkM [IKU]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5</w:t>
            </w:r>
          </w:p>
        </w:tc>
        <w:tc>
          <w:tcPr>
            <w:tcW w:type="dxa" w:w="1234"/>
          </w:tcPr>
          <w:p>
            <w:r/>
            <w:r>
              <w:rPr>
                <w:b w:val="0"/>
                <w:sz w:val="19"/>
              </w:rPr>
              <w:t>Frekuensi monev pengelolaan PkM [IKU]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6</w:t>
            </w:r>
          </w:p>
        </w:tc>
        <w:tc>
          <w:tcPr>
            <w:tcW w:type="dxa" w:w="1234"/>
          </w:tcPr>
          <w:p>
            <w:r/>
            <w:r>
              <w:rPr>
                <w:b w:val="0"/>
                <w:sz w:val="19"/>
              </w:rPr>
              <w:t>Persentase rekomendasi monev/AMI PkM yang ditindaklanjuti [IKU - baru]</w:t>
            </w:r>
          </w:p>
        </w:tc>
        <w:tc>
          <w:tcPr>
            <w:tcW w:type="dxa" w:w="1234"/>
          </w:tcPr>
          <w:p>
            <w:r/>
            <w:r>
              <w:rPr>
                <w:b w:val="0"/>
                <w:sz w:val="19"/>
              </w:rPr>
              <w:t>%</w:t>
            </w:r>
          </w:p>
        </w:tc>
        <w:tc>
          <w:tcPr>
            <w:tcW w:type="dxa" w:w="1234"/>
          </w:tcPr>
          <w:p>
            <w:r/>
            <w:r>
              <w:rPr>
                <w:b w:val="0"/>
                <w:sz w:val="19"/>
              </w:rPr>
              <w:t>≥70-95 (R4)</w:t>
            </w:r>
          </w:p>
        </w:tc>
        <w:tc>
          <w:tcPr>
            <w:tcW w:type="dxa" w:w="1234"/>
          </w:tcPr>
          <w:p>
            <w:r/>
            <w:r>
              <w:rPr>
                <w:b w:val="0"/>
                <w:sz w:val="19"/>
              </w:rPr>
              <w:t>70</w:t>
            </w:r>
          </w:p>
        </w:tc>
        <w:tc>
          <w:tcPr>
            <w:tcW w:type="dxa" w:w="1234"/>
          </w:tcPr>
          <w:p>
            <w:r/>
            <w:r>
              <w:rPr>
                <w:b w:val="0"/>
                <w:sz w:val="19"/>
              </w:rPr>
              <w:t>85</w:t>
            </w:r>
          </w:p>
        </w:tc>
        <w:tc>
          <w:tcPr>
            <w:tcW w:type="dxa" w:w="1234"/>
          </w:tcPr>
          <w:p>
            <w:r/>
            <w:r>
              <w:rPr>
                <w:b w:val="0"/>
                <w:sz w:val="19"/>
              </w:rPr>
              <w:t>95</w:t>
            </w:r>
          </w:p>
        </w:tc>
      </w:tr>
      <w:tr>
        <w:tc>
          <w:tcPr>
            <w:tcW w:type="dxa" w:w="1234"/>
          </w:tcPr>
          <w:p>
            <w:r/>
            <w:r>
              <w:rPr>
                <w:b w:val="0"/>
                <w:sz w:val="19"/>
              </w:rPr>
              <w:t>7</w:t>
            </w:r>
          </w:p>
        </w:tc>
        <w:tc>
          <w:tcPr>
            <w:tcW w:type="dxa" w:w="1234"/>
          </w:tcPr>
          <w:p>
            <w:r/>
            <w:r>
              <w:rPr>
                <w:b w:val="0"/>
                <w:sz w:val="19"/>
              </w:rPr>
              <w:t>Ketersediaan dokumen Audit Mutu Internal (AMI) Standar Proses PkM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bl>
    <w:p/>
    <w:p>
      <w:pPr>
        <w:spacing w:before="320" w:after="120"/>
      </w:pPr>
      <w:r>
        <w:rPr>
          <w:b/>
          <w:sz w:val="28"/>
        </w:rPr>
        <w:t>DOKUMEN TERKAIT PELAKSANAAN STANDAR</w:t>
      </w:r>
    </w:p>
    <w:p>
      <w:pPr>
        <w:pStyle w:val="ListNumber"/>
        <w:spacing w:after="120"/>
      </w:pPr>
      <w:r>
        <w:t>Dokumen kebijakan dan penetapan Standar Proses PkM FTII (Surat Keputusan Rektor).</w:t>
      </w:r>
    </w:p>
    <w:p>
      <w:pPr>
        <w:pStyle w:val="ListNumber"/>
        <w:spacing w:after="120"/>
      </w:pPr>
      <w:r>
        <w:t>Dokumen Rencana Induk PkM (RIP)/roadmap PkM fakultas dan program studi beserta bukti sosialisasi.</w:t>
      </w:r>
    </w:p>
    <w:p>
      <w:pPr>
        <w:pStyle w:val="ListNumber"/>
        <w:spacing w:after="120"/>
      </w:pPr>
      <w:r>
        <w:t>Checklist dan dokumentasi bukti proses PkM (tata cara review, instrumen penilaian, legalitas reviewer, hasil review, legalitas penugasan/kerja sama, kontrak, berita acara monev, laporan AMI, dokumentasi luaran).</w:t>
      </w:r>
    </w:p>
    <w:p>
      <w:pPr>
        <w:pStyle w:val="ListNumber"/>
        <w:spacing w:after="120"/>
      </w:pPr>
      <w:r>
        <w:t>Dokumen pemetaan judul PkM terhadap roadmap/RIP per tahun akademik.</w:t>
      </w:r>
    </w:p>
    <w:p>
      <w:pPr>
        <w:pStyle w:val="ListNumber"/>
        <w:spacing w:after="120"/>
      </w:pPr>
      <w:r>
        <w:t>Dokumen keterlibatan mahasiswa dalam PkM dosen (daftar judul dan daftar mahasiswa terlibat).</w:t>
      </w:r>
    </w:p>
    <w:p>
      <w:pPr>
        <w:pStyle w:val="ListNumber"/>
        <w:spacing w:after="120"/>
      </w:pPr>
      <w:r>
        <w:t>Dokumen verifikasi keselamatan kerja (K3) pada proposal PkM dan laporan insiden (jika ada).</w:t>
      </w:r>
    </w:p>
    <w:p>
      <w:pPr>
        <w:pStyle w:val="ListNumber"/>
        <w:spacing w:after="120"/>
      </w:pPr>
      <w:r>
        <w:t>Dokumen kerja sama PkM (MoU/MoA) dengan DUDI, instansi pemerintah, dan perguruan tinggi nasional/internasional beserta laporan kegiatan.</w:t>
      </w:r>
    </w:p>
    <w:p>
      <w:pPr>
        <w:pStyle w:val="ListNumber"/>
        <w:spacing w:after="120"/>
      </w:pPr>
      <w:r>
        <w:t>Dokumen etika PkM dan laporan pelanggaran (jika ada).</w:t>
      </w:r>
    </w:p>
    <w:p>
      <w:pPr>
        <w:pStyle w:val="ListNumber"/>
        <w:spacing w:after="120"/>
      </w:pPr>
      <w:r>
        <w:t>Laporan Monitoring dan Evaluasi (Monev) proses PkM dan pengelolaan PkM, beserta rekap persentase tindak lanjut rekomendasi.</w:t>
      </w:r>
    </w:p>
    <w:p>
      <w:pPr>
        <w:pStyle w:val="ListNumber"/>
        <w:spacing w:after="120"/>
      </w:pPr>
      <w:r>
        <w:t>Laporan Audit Mutu Internal (AMI) dan Berita Acara Rapat Tinjauan Manajemen (RTM) atas Standar Proses PkM.</w:t>
      </w:r>
    </w:p>
    <w:p>
      <w:pPr>
        <w:pStyle w:val="ListNumber"/>
        <w:spacing w:after="120"/>
      </w:pPr>
      <w:r>
        <w:t>Rencana Tindak Lanjut (RTL) hasil evaluasi dan AMI periode berjalan.</w:t>
      </w:r>
    </w:p>
    <w:p>
      <w:pPr>
        <w:pStyle w:val="ListNumber"/>
        <w:spacing w:after="120"/>
      </w:pPr>
      <w:r>
        <w:t>Dokumen pemetaan gap Standar Proses PkM terhadap 5 dokumen rujukan (standarprosespkm.docx).</w:t>
      </w:r>
    </w:p>
    <w:p>
      <w:pPr>
        <w:pStyle w:val="ListNumber"/>
        <w:spacing w:after="120"/>
      </w:pPr>
      <w:r>
        <w:t>Dokumen root-cause analysis dan SWOT tahunan atas Standar Proses PkM, sesuai template Standar Penjaminan Mutu Internal FTII, beserta berita acara pembahasannya dalam RTM.</w:t>
      </w:r>
    </w:p>
    <w:p>
      <w:pPr>
        <w:spacing w:before="320" w:after="120"/>
      </w:pPr>
      <w:r>
        <w:rPr>
          <w:b/>
          <w:sz w:val="28"/>
        </w:rPr>
        <w:t>REFERENSI</w:t>
      </w:r>
    </w:p>
    <w:p>
      <w:pPr>
        <w:pStyle w:val="ListNumber"/>
        <w:spacing w:after="120"/>
      </w:pPr>
      <w:r>
        <w:t>Undang-Undang Republik Indonesia Nomor 12 Tahun 2012 tentang Pendidikan Tinggi.</w:t>
      </w:r>
    </w:p>
    <w:p>
      <w:pPr>
        <w:pStyle w:val="ListNumber"/>
        <w:spacing w:after="120"/>
      </w:pPr>
      <w:r>
        <w:t>Peraturan Pemerintah Republik Indonesia Nomor 4 Tahun 2014 tentang Penyelenggaraan Pendidikan Tinggi dan Pengelolaan Perguruan Tinggi.</w:t>
      </w:r>
    </w:p>
    <w:p>
      <w:pPr>
        <w:pStyle w:val="ListNumber"/>
        <w:spacing w:after="120"/>
      </w:pPr>
      <w:r>
        <w:t>Peraturan Menteri Pendidikan, Kebudayaan, Riset, dan Teknologi Republik Indonesia Nomor 53 Tahun 2023 tentang Penjaminan Mutu Pendidikan Tinggi.</w:t>
      </w:r>
    </w:p>
    <w:p>
      <w:pPr>
        <w:pStyle w:val="ListNumber"/>
        <w:spacing w:after="120"/>
      </w:pPr>
      <w:r>
        <w:t>Matriks Penilaian Laporan Evaluasi Diri dan Laporan Kinerja Program Studi LAM Teknik APS-AV 2025 1.0.</w:t>
      </w:r>
    </w:p>
    <w:p>
      <w:pPr>
        <w:pStyle w:val="ListNumber"/>
        <w:spacing w:after="120"/>
      </w:pPr>
      <w:r>
        <w:t>Kriteria Terakreditasi Unggul 2.1 LAM INFOKOM.</w:t>
      </w:r>
    </w:p>
    <w:p>
      <w:pPr>
        <w:pStyle w:val="ListNumber"/>
        <w:spacing w:after="120"/>
      </w:pPr>
      <w:r>
        <w:t>Peraturan Lembaga Akreditasi Mandiri Informatika dan Komputer Nomor 11/PERLAM/MA/LAM-INFOKOM/X/2025 tentang Instrumen Akreditasi Program Studi 2.1 Lingkup Informatika dan Komputer.</w:t>
      </w:r>
    </w:p>
    <w:p>
      <w:pPr>
        <w:pStyle w:val="ListNumber"/>
        <w:spacing w:after="120"/>
      </w:pPr>
      <w:r>
        <w:t>Rencana Strategis (Renstra) Universitas Stikubank (UNISBANK) Semarang.</w:t>
      </w:r>
    </w:p>
    <w:p>
      <w:pPr>
        <w:pStyle w:val="ListNumber"/>
        <w:spacing w:after="120"/>
      </w:pPr>
      <w:r>
        <w:t>Standar Penjaminan Mutu Internal FTII Universitas Stikubank (UNISBANK) Semarang versi Unggul.</w:t>
      </w:r>
    </w:p>
    <w:p>
      <w:pPr>
        <w:pStyle w:val="ListNumber"/>
        <w:spacing w:after="120"/>
      </w:pPr>
      <w:r>
        <w:t>Standar Masukan PkM dan Standar Luaran PkM FTII Universitas Stikubank (UNISBANK) Semarang versi Unggul.</w:t>
      </w:r>
    </w:p>
    <w:p>
      <w:pPr>
        <w:pStyle w:val="ListNumber"/>
        <w:spacing w:after="120"/>
      </w:pPr>
      <w:r>
        <w:t>Dokumen pemetaan gap Standar Proses PkM FTII terhadap 5 dokumen rujukan (standarprosespkm.docx).</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