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PEMETAAN STANDAR LUARAN PENDIDIKAN</w:t>
      </w:r>
    </w:p>
    <w:p>
      <w:pPr>
        <w:jc w:val="center"/>
      </w:pPr>
      <w:r>
        <w:rPr>
          <w:b/>
          <w:sz w:val="24"/>
        </w:rPr>
        <w:t>Fakultas Teknologi Informasi dan Industri (FTII) UNISBANK terhadap 5 Dokumen Rujukan Eksternal</w:t>
      </w:r>
    </w:p>
    <w:p/>
    <w:p>
      <w:pPr>
        <w:pStyle w:val="Heading2"/>
      </w:pPr>
      <w:r>
        <w:rPr>
          <w:b/>
          <w:sz w:val="24"/>
        </w:rPr>
        <w:t>A. DOKUMEN YANG DIBANDINGKAN</w:t>
      </w:r>
    </w:p>
    <w:tbl>
      <w:tblPr>
        <w:tblStyle w:val="TableGrid"/>
        <w:tblW w:type="auto" w:w="0"/>
        <w:jc w:val="center"/>
        <w:tblLook w:firstColumn="1" w:firstRow="1" w:lastColumn="0" w:lastRow="0" w:noHBand="0" w:noVBand="1" w:val="04A0"/>
      </w:tblPr>
      <w:tblGrid>
        <w:gridCol w:w="2880"/>
        <w:gridCol w:w="2880"/>
        <w:gridCol w:w="2880"/>
      </w:tblGrid>
      <w:tr>
        <w:tc>
          <w:tcPr>
            <w:tcW w:type="dxa" w:w="850"/>
            <w:shd w:val="clear" w:color="auto" w:fill="D9D9D9"/>
          </w:tcPr>
          <w:p>
            <w:r>
              <w:rPr>
                <w:b/>
                <w:sz w:val="17"/>
              </w:rPr>
              <w:t>Kode</w:t>
            </w:r>
          </w:p>
        </w:tc>
        <w:tc>
          <w:tcPr>
            <w:tcW w:type="dxa" w:w="5102"/>
            <w:shd w:val="clear" w:color="auto" w:fill="D9D9D9"/>
          </w:tcPr>
          <w:p>
            <w:r>
              <w:rPr>
                <w:b/>
                <w:sz w:val="17"/>
              </w:rPr>
              <w:t>Dokumen</w:t>
            </w:r>
          </w:p>
        </w:tc>
        <w:tc>
          <w:tcPr>
            <w:tcW w:type="dxa" w:w="3685"/>
            <w:shd w:val="clear" w:color="auto" w:fill="D9D9D9"/>
          </w:tcPr>
          <w:p>
            <w:r>
              <w:rPr>
                <w:b/>
                <w:sz w:val="17"/>
              </w:rPr>
              <w:t>Sumber / Institusi</w:t>
            </w:r>
          </w:p>
        </w:tc>
      </w:tr>
      <w:tr>
        <w:tc>
          <w:tcPr>
            <w:tcW w:type="dxa" w:w="850"/>
          </w:tcPr>
          <w:p>
            <w:r>
              <w:rPr>
                <w:sz w:val="17"/>
              </w:rPr>
              <w:t>FTII</w:t>
            </w:r>
          </w:p>
        </w:tc>
        <w:tc>
          <w:tcPr>
            <w:tcW w:type="dxa" w:w="5102"/>
          </w:tcPr>
          <w:p>
            <w:r>
              <w:rPr>
                <w:sz w:val="17"/>
              </w:rPr>
              <w:t>Standar Luaran Pendidikan FTII UNISBANK (efektif 5 Desember 2024)</w:t>
            </w:r>
          </w:p>
        </w:tc>
        <w:tc>
          <w:tcPr>
            <w:tcW w:type="dxa" w:w="3685"/>
          </w:tcPr>
          <w:p>
            <w:r>
              <w:rPr>
                <w:sz w:val="17"/>
              </w:rPr>
              <w:t>Fakultas Teknologi Informasi dan Industri, Universitas Stikubank (UNISBANK) Semarang — Google Doc yang dipetakan</w:t>
            </w:r>
          </w:p>
        </w:tc>
      </w:tr>
      <w:tr>
        <w:tc>
          <w:tcPr>
            <w:tcW w:type="dxa" w:w="850"/>
          </w:tcPr>
          <w:p>
            <w:r>
              <w:rPr>
                <w:sz w:val="17"/>
              </w:rPr>
              <w:t>R1</w:t>
            </w:r>
          </w:p>
        </w:tc>
        <w:tc>
          <w:tcPr>
            <w:tcW w:type="dxa" w:w="5102"/>
          </w:tcPr>
          <w:p>
            <w:r>
              <w:rPr>
                <w:sz w:val="17"/>
              </w:rPr>
              <w:t>Dokumen Panduan SPMI Program Sarjana dan Sarjana Terapan - 2024</w:t>
            </w:r>
          </w:p>
        </w:tc>
        <w:tc>
          <w:tcPr>
            <w:tcW w:type="dxa" w:w="3685"/>
          </w:tcPr>
          <w:p>
            <w:r>
              <w:rPr>
                <w:sz w:val="17"/>
              </w:rPr>
              <w:t>perguruan tinggi rujukan R1 — memuat prinsip OBE, keselarasan CPL/PLO/ILO/ELO lintas lembaga akreditasi (AUN-QA, IABEE, ASIIN, FIBAA)</w:t>
            </w:r>
          </w:p>
        </w:tc>
      </w:tr>
      <w:tr>
        <w:tc>
          <w:tcPr>
            <w:tcW w:type="dxa" w:w="850"/>
          </w:tcPr>
          <w:p>
            <w:r>
              <w:rPr>
                <w:sz w:val="17"/>
              </w:rPr>
              <w:t>R2</w:t>
            </w:r>
          </w:p>
        </w:tc>
        <w:tc>
          <w:tcPr>
            <w:tcW w:type="dxa" w:w="5102"/>
          </w:tcPr>
          <w:p>
            <w:r>
              <w:rPr>
                <w:sz w:val="17"/>
              </w:rPr>
              <w:t>Matriks Penilaian Laporan Evaluasi Diri dan Laporan Kinerja Program Studi - Program Sarjana (APS-AV 2025 1.0)</w:t>
            </w:r>
          </w:p>
        </w:tc>
        <w:tc>
          <w:tcPr>
            <w:tcW w:type="dxa" w:w="3685"/>
          </w:tcPr>
          <w:p>
            <w:r>
              <w:rPr>
                <w:sz w:val="17"/>
              </w:rPr>
              <w:t>Lembaga Akreditasi Mandiri Teknik (LAM Teknik)</w:t>
            </w:r>
          </w:p>
        </w:tc>
      </w:tr>
      <w:tr>
        <w:tc>
          <w:tcPr>
            <w:tcW w:type="dxa" w:w="850"/>
          </w:tcPr>
          <w:p>
            <w:r>
              <w:rPr>
                <w:sz w:val="17"/>
              </w:rPr>
              <w:t>R3</w:t>
            </w:r>
          </w:p>
        </w:tc>
        <w:tc>
          <w:tcPr>
            <w:tcW w:type="dxa" w:w="5102"/>
          </w:tcPr>
          <w:p>
            <w:r>
              <w:rPr>
                <w:sz w:val="17"/>
              </w:rPr>
              <w:t>Standar untuk Memperoleh Status Terakreditasi Unggul bagi Program Studi yang Tercakup dalam LAM INFOKOM</w:t>
            </w:r>
          </w:p>
        </w:tc>
        <w:tc>
          <w:tcPr>
            <w:tcW w:type="dxa" w:w="3685"/>
          </w:tcPr>
          <w:p>
            <w:r>
              <w:rPr>
                <w:sz w:val="17"/>
              </w:rPr>
              <w:t>Lembaga Akreditasi Mandiri Informatika dan Komputer (LAM INFOKOM) — Lampiran Peraturan BAN-PT No. 39 Tahun 2025</w:t>
            </w:r>
          </w:p>
        </w:tc>
      </w:tr>
      <w:tr>
        <w:tc>
          <w:tcPr>
            <w:tcW w:type="dxa" w:w="850"/>
          </w:tcPr>
          <w:p>
            <w:r>
              <w:rPr>
                <w:sz w:val="17"/>
              </w:rPr>
              <w:t>R4</w:t>
            </w:r>
          </w:p>
        </w:tc>
        <w:tc>
          <w:tcPr>
            <w:tcW w:type="dxa" w:w="5102"/>
          </w:tcPr>
          <w:p>
            <w:r>
              <w:rPr>
                <w:sz w:val="17"/>
              </w:rPr>
              <w:t>Standar Profil Lulusan &amp; Standar Kompetensi Lulusan (Dokumen SPMI lengkap, 171 halaman)</w:t>
            </w:r>
          </w:p>
        </w:tc>
        <w:tc>
          <w:tcPr>
            <w:tcW w:type="dxa" w:w="3685"/>
          </w:tcPr>
          <w:p>
            <w:r>
              <w:rPr>
                <w:sz w:val="17"/>
              </w:rPr>
              <w:t>Fakultas Ilmu Komputer, perguruan tinggi rujukan R4</w:t>
            </w:r>
          </w:p>
        </w:tc>
      </w:tr>
      <w:tr>
        <w:tc>
          <w:tcPr>
            <w:tcW w:type="dxa" w:w="850"/>
          </w:tcPr>
          <w:p>
            <w:r>
              <w:rPr>
                <w:sz w:val="17"/>
              </w:rPr>
              <w:t>R5</w:t>
            </w:r>
          </w:p>
        </w:tc>
        <w:tc>
          <w:tcPr>
            <w:tcW w:type="dxa" w:w="5102"/>
          </w:tcPr>
          <w:p>
            <w:r>
              <w:rPr>
                <w:sz w:val="17"/>
              </w:rPr>
              <w:t>Standar Kompetensi Lulusan</w:t>
            </w:r>
          </w:p>
        </w:tc>
        <w:tc>
          <w:tcPr>
            <w:tcW w:type="dxa" w:w="3685"/>
          </w:tcPr>
          <w:p>
            <w:r>
              <w:rPr>
                <w:sz w:val="17"/>
              </w:rPr>
              <w:t>Lembaga Penjaminan Mutu, perguruan tinggi rujukan R5</w:t>
            </w:r>
          </w:p>
        </w:tc>
      </w:tr>
    </w:tbl>
    <w:p/>
    <w:p>
      <w:r>
        <w:rPr>
          <w:b w:val="0"/>
          <w:i/>
          <w:sz w:val="18"/>
        </w:rPr>
        <w:t>Catatan metodologis: pemetaan disusun berdasarkan ekstraksi teks langsung dari kelima dokumen rujukan (bukan ringkasan pihak ketiga) dan dari isi lengkap dokumen Standar Luaran Pendidikan FTII (31 pernyataan standar, 17 Indikator Kinerja Utama/IKU, 4 Indikator Kinerja Tambahan/IKT, 37 strategi pencapaian). Kutipan pada tabel di bawah diringkas dari teks asli masing-masing dokumen.</w:t>
      </w:r>
    </w:p>
    <w:p>
      <w:r>
        <w:br w:type="page"/>
      </w:r>
    </w:p>
    <w:p>
      <w:pPr>
        <w:pStyle w:val="Heading2"/>
      </w:pPr>
      <w:r>
        <w:rPr>
          <w:b/>
          <w:sz w:val="24"/>
        </w:rPr>
        <w:t>B. PEMETAAN PER TEMA STANDAR</w:t>
      </w:r>
    </w:p>
    <w:p>
      <w:r>
        <w:rPr>
          <w:b/>
          <w:sz w:val="23"/>
        </w:rPr>
        <w:t>Tema 1. Kebijakan Profil Lulusan, CPL, dan CPMK</w:t>
      </w:r>
    </w:p>
    <w:p>
      <w:r>
        <w:rPr>
          <w:b/>
          <w:sz w:val="19"/>
        </w:rPr>
        <w:t xml:space="preserve">Ketentuan FTII UNISBANK: </w:t>
      </w:r>
      <w:r>
        <w:rPr>
          <w:sz w:val="19"/>
        </w:rPr>
        <w:t>FTII wajib memiliki kebijakan profil lulusan, bahan kajian, CPL, dan CPMK selaras VMTS; setiap program studi wajib menyusun/menetapkan/melaksanakan/meninjau profil lulusan, CPL, CPMK, kurikulum secara berkala; menginformasikan CPL-CPMK ke mahasiswa; serta memastikan 100% mata kuliah memiliki pemetaan CPL-CPMK terdokumentasi.</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R1</w:t>
            </w:r>
          </w:p>
        </w:tc>
        <w:tc>
          <w:tcPr>
            <w:tcW w:type="dxa" w:w="6803"/>
          </w:tcPr>
          <w:p>
            <w:r>
              <w:rPr>
                <w:sz w:val="17"/>
              </w:rPr>
              <w:t>Standar #1 'Standar Kompetensi Lulusan': 1.1 SKL dan deskripsi CPL, 1.2 Reformulasi CPL, 1.3 Tahapan perumusan CPL. Standar #2 'Standar Isi Pembelajaran': 2.1 Standar isi mengacu CPL, 2.3 Kesesuaian bahan kajian/MK/struktur MK untuk meraih CPL. CPL/PLO/ILO/ELO ditegaskan sebagai standar rujukan utama lintas lembaga akreditasi (AUN-QA, IABEE, ASIIN, FIBAA).</w:t>
            </w:r>
          </w:p>
        </w:tc>
      </w:tr>
      <w:tr>
        <w:tc>
          <w:tcPr>
            <w:tcW w:type="dxa" w:w="2835"/>
          </w:tcPr>
          <w:p>
            <w:r>
              <w:rPr>
                <w:sz w:val="17"/>
              </w:rPr>
              <w:t>R2 (LAM Teknik)</w:t>
            </w:r>
          </w:p>
        </w:tc>
        <w:tc>
          <w:tcPr>
            <w:tcW w:type="dxa" w:w="6803"/>
          </w:tcPr>
          <w:p>
            <w:r>
              <w:rPr>
                <w:sz w:val="17"/>
              </w:rPr>
              <w:t>Butir No.13 'Profil lulusan dan CPL': profil lulusan mempertimbangkan visi UPPS/keilmuan, kebutuhan pengguna, sumber daya, kepentingan lokal-nasional-global; kesesuaian CPL dinilai atas 4 unsur (kebutuhan pengguna, perkembangan iptek/industri, daya saing global, pengukuran/tinjauan rutin).</w:t>
            </w:r>
          </w:p>
        </w:tc>
      </w:tr>
      <w:tr>
        <w:tc>
          <w:tcPr>
            <w:tcW w:type="dxa" w:w="2835"/>
          </w:tcPr>
          <w:p>
            <w:r>
              <w:rPr>
                <w:sz w:val="17"/>
              </w:rPr>
              <w:t>R3 (LAM INFOKOM)</w:t>
            </w:r>
          </w:p>
        </w:tc>
        <w:tc>
          <w:tcPr>
            <w:tcW w:type="dxa" w:w="6803"/>
          </w:tcPr>
          <w:p>
            <w:r>
              <w:rPr>
                <w:sz w:val="17"/>
              </w:rPr>
              <w:t>Butir 2.1.B: kebijakan, standar, indikator isi pembelajaran &amp; rancangan kurikulum outcome-based education mencakup soft dan hard competence (memenuhi KKNI level 6), ditetapkan PT serta melibatkan pemangku kepentingan.</w:t>
            </w:r>
          </w:p>
        </w:tc>
      </w:tr>
      <w:tr>
        <w:tc>
          <w:tcPr>
            <w:tcW w:type="dxa" w:w="2835"/>
          </w:tcPr>
          <w:p>
            <w:r>
              <w:rPr>
                <w:sz w:val="17"/>
              </w:rPr>
              <w:t>R4</w:t>
            </w:r>
          </w:p>
        </w:tc>
        <w:tc>
          <w:tcPr>
            <w:tcW w:type="dxa" w:w="6803"/>
          </w:tcPr>
          <w:p>
            <w:r>
              <w:rPr>
                <w:sz w:val="17"/>
              </w:rPr>
              <w:t>Standar Profil Lulusan: rasional, pernyataan standar, IKU/IKT (persentase prodi menerapkan Standar Isi Pembelajaran ≥90%→100%; frekuensi peninjauan kurikulum ≥1x/siklus 4 tahun melibatkan stakeholder).</w:t>
            </w:r>
          </w:p>
        </w:tc>
      </w:tr>
      <w:tr>
        <w:tc>
          <w:tcPr>
            <w:tcW w:type="dxa" w:w="2835"/>
          </w:tcPr>
          <w:p>
            <w:r>
              <w:rPr>
                <w:sz w:val="17"/>
              </w:rPr>
              <w:t>R5</w:t>
            </w:r>
          </w:p>
        </w:tc>
        <w:tc>
          <w:tcPr>
            <w:tcW w:type="dxa" w:w="6803"/>
          </w:tcPr>
          <w:p>
            <w:r>
              <w:rPr>
                <w:sz w:val="17"/>
              </w:rPr>
              <w:t>Pasal 1-6 Pernyataan Isi Standar: Rektor menetapkan kompetensi umum; Dekan/Kaprodi menyusun profil lulusan &amp; CPL memperhatikan visi-misi, KKNI, IPTEK, kebutuhan DUDIKA, ranah keilmuan, kurikulum sejenis; CPL mencakup penguasaan IPTEK/keterampilan spesifik, kecakapan umum, kesiapan kerja/studi lanjut/sertifikasi, berpikir mandiri-kritis-belajar sepanjang hayat; melibatkan pemangku kepentingan/DUDIKA.</w:t>
            </w:r>
          </w:p>
        </w:tc>
      </w:tr>
    </w:tbl>
    <w:p>
      <w:r>
        <w:rPr>
          <w:b/>
          <w:sz w:val="19"/>
        </w:rPr>
        <w:t xml:space="preserve">Analisis Kesesuaian: </w:t>
      </w:r>
      <w:r>
        <w:rPr>
          <w:i/>
          <w:sz w:val="19"/>
        </w:rPr>
        <w:t>SELARAS PENUH dengan seluruh 5 rujukan — seluruhnya menempatkan penyusunan profil lulusan dan CPL berbasis OBE dengan pelibatan pemangku kepentingan sebagai fondasi utama. Nilai lebih FTII: menetapkan target kuantitatif eksplisit '100% mata kuliah memiliki pemetaan CPL-CPMK terdokumentasi' sebagai KPI, sementara R1/R4/R5 umumnya menyatakan kepatuhan kualitatif ('memiliki dokumen') tanpa ambang persentase mata kuliah yang eksplisit.</w:t>
      </w:r>
    </w:p>
    <w:p/>
    <w:p>
      <w:r>
        <w:rPr>
          <w:b/>
          <w:sz w:val="23"/>
        </w:rPr>
        <w:t>Tema 2. Ketercapaian CPMK dan CPL (Target Persentase Mahasiswa)</w:t>
      </w:r>
    </w:p>
    <w:p>
      <w:r>
        <w:rPr>
          <w:b/>
          <w:sz w:val="19"/>
        </w:rPr>
        <w:t xml:space="preserve">Ketentuan FTII UNISBANK: </w:t>
      </w:r>
      <w:r>
        <w:rPr>
          <w:sz w:val="19"/>
        </w:rPr>
        <w:t>Persentase mahasiswa mencapai nilai minimal CPMK: 70% (2024-25) naik ke 80% (2026-27); ketercapaian CPL berdasarkan agregasi CPMK juga 70%→80%; 100% mata kuliah memiliki pemetaan CPL-CPMK.</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R1</w:t>
            </w:r>
          </w:p>
        </w:tc>
        <w:tc>
          <w:tcPr>
            <w:tcW w:type="dxa" w:w="6803"/>
          </w:tcPr>
          <w:p>
            <w:r>
              <w:rPr>
                <w:sz w:val="17"/>
              </w:rPr>
              <w:t>Standar #4 Penilaian Pembelajaran, sub 4.5 'Evaluasi ketercapaian CPL' — mekanisme evaluasi disebutkan namun ambang persentase numerik tidak eksplisit tercantum pada bagian yang diekstrak.</w:t>
            </w:r>
          </w:p>
        </w:tc>
      </w:tr>
      <w:tr>
        <w:tc>
          <w:tcPr>
            <w:tcW w:type="dxa" w:w="2835"/>
          </w:tcPr>
          <w:p>
            <w:r>
              <w:rPr>
                <w:sz w:val="17"/>
              </w:rPr>
              <w:t>R2 (LAM Teknik)</w:t>
            </w:r>
          </w:p>
        </w:tc>
        <w:tc>
          <w:tcPr>
            <w:tcW w:type="dxa" w:w="6803"/>
          </w:tcPr>
          <w:p>
            <w:r>
              <w:rPr>
                <w:sz w:val="17"/>
              </w:rPr>
              <w:t>Butir No.14 menilai kesesuaian/tinjauan CPL secara skor bertingkat 0-4 berdasarkan cakupan kriteria kualitatif, bukan ambang persentase mahasiswa yang mencapai nilai minimal CPMK.</w:t>
            </w:r>
          </w:p>
        </w:tc>
      </w:tr>
      <w:tr>
        <w:tc>
          <w:tcPr>
            <w:tcW w:type="dxa" w:w="2835"/>
          </w:tcPr>
          <w:p>
            <w:r>
              <w:rPr>
                <w:sz w:val="17"/>
              </w:rPr>
              <w:t>R3 (LAM INFOKOM)</w:t>
            </w:r>
          </w:p>
        </w:tc>
        <w:tc>
          <w:tcPr>
            <w:tcW w:type="dxa" w:w="6803"/>
          </w:tcPr>
          <w:p>
            <w:r>
              <w:rPr>
                <w:sz w:val="17"/>
              </w:rPr>
              <w:t>Dinilai dengan skala deskriptif bertingkat ('memenuhi aspek 1/2/3/4') berjenjang Sarjana s.d. Doktor, bukan angka persentase tunggal seperti FTII.</w:t>
            </w:r>
          </w:p>
        </w:tc>
      </w:tr>
      <w:tr>
        <w:tc>
          <w:tcPr>
            <w:tcW w:type="dxa" w:w="2835"/>
          </w:tcPr>
          <w:p>
            <w:r>
              <w:rPr>
                <w:sz w:val="17"/>
              </w:rPr>
              <w:t>R4</w:t>
            </w:r>
          </w:p>
        </w:tc>
        <w:tc>
          <w:tcPr>
            <w:tcW w:type="dxa" w:w="6803"/>
          </w:tcPr>
          <w:p>
            <w:r>
              <w:rPr>
                <w:sz w:val="17"/>
              </w:rPr>
              <w:t>Tidak ditemukan indikator numerik spesifik ketercapaian CPMK/CPL per mahasiswa — fokus pada persentase prodi yang menerapkan standar, bukan performa capaian individual mahasiswa.</w:t>
            </w:r>
          </w:p>
        </w:tc>
      </w:tr>
      <w:tr>
        <w:tc>
          <w:tcPr>
            <w:tcW w:type="dxa" w:w="2835"/>
          </w:tcPr>
          <w:p>
            <w:r>
              <w:rPr>
                <w:sz w:val="17"/>
              </w:rPr>
              <w:t>R5</w:t>
            </w:r>
          </w:p>
        </w:tc>
        <w:tc>
          <w:tcPr>
            <w:tcW w:type="dxa" w:w="6803"/>
          </w:tcPr>
          <w:p>
            <w:r>
              <w:rPr>
                <w:sz w:val="17"/>
              </w:rPr>
              <w:t>Pasal 7 Isi Standar &amp; Bab 5 No.7: program studi memastikan analisis pemenuhan CPL diukur metode sahih, mencakup keserbacakupan/kedalaman/kebermanfaatan dan peningkatan dari waktu ke waktu — tanpa ambang persentase eksplisit seperti 70-80% FTII.</w:t>
            </w:r>
          </w:p>
        </w:tc>
      </w:tr>
    </w:tbl>
    <w:p>
      <w:r>
        <w:rPr>
          <w:b/>
          <w:sz w:val="19"/>
        </w:rPr>
        <w:t xml:space="preserve">Analisis Kesesuaian: </w:t>
      </w:r>
      <w:r>
        <w:rPr>
          <w:i/>
          <w:sz w:val="19"/>
        </w:rPr>
        <w:t>FTII UNISBANK LEBIH TERUKUR secara kuantitatif dibanding kelima rujukan — menetapkan ambang persentase eksplisit (70%→80%) untuk ketercapaian CPMK dan CPL, sedangkan seluruh rujukan hanya mensyaratkan keberadaan mekanisme pengukuran tanpa ambang angka yang identik. Ini merupakan praktik baik (best practice) FTII, namun perlu dicatat bahwa angka 70-80% tampaknya kebijakan internal Unisbank sendiri, bukan turunan langsung dari salah satu dari 5 dokumen rujukan ini.</w:t>
      </w:r>
    </w:p>
    <w:p/>
    <w:p>
      <w:r>
        <w:rPr>
          <w:b/>
          <w:sz w:val="23"/>
        </w:rPr>
        <w:t>Tema 3. Struktur Kompetensi Lulusan (Sikap, Pengetahuan, Keterampilan Umum &amp; Khusus - KKNI Level 6)</w:t>
      </w:r>
    </w:p>
    <w:p>
      <w:r>
        <w:rPr>
          <w:b/>
          <w:sz w:val="19"/>
        </w:rPr>
        <w:t xml:space="preserve">Ketentuan FTII UNISBANK: </w:t>
      </w:r>
      <w:r>
        <w:rPr>
          <w:sz w:val="19"/>
        </w:rPr>
        <w:t>Kompetensi lulusan program sarjana wajib mencakup unsur sikap, pengetahuan, keterampilan umum, dan keterampilan khusus sesuai KKNI Level 6; disusun mengacu asosiasi program studi sejenis, perkembangan keilmuan, kebutuhan DUDIKA.</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R1</w:t>
            </w:r>
          </w:p>
        </w:tc>
        <w:tc>
          <w:tcPr>
            <w:tcW w:type="dxa" w:w="6803"/>
          </w:tcPr>
          <w:p>
            <w:r>
              <w:rPr>
                <w:sz w:val="17"/>
              </w:rPr>
              <w:t>Merujuk CPL sebagai standar pertama SN Dikti; struktur rinci sikap/pengetahuan/KU/KK tidak diuraikan ulang pada bagian yang diekstrak (merujuk definisi baku SN Dikti).</w:t>
            </w:r>
          </w:p>
        </w:tc>
      </w:tr>
      <w:tr>
        <w:tc>
          <w:tcPr>
            <w:tcW w:type="dxa" w:w="2835"/>
          </w:tcPr>
          <w:p>
            <w:r>
              <w:rPr>
                <w:sz w:val="17"/>
              </w:rPr>
              <w:t>R2 (LAM Teknik)</w:t>
            </w:r>
          </w:p>
        </w:tc>
        <w:tc>
          <w:tcPr>
            <w:tcW w:type="dxa" w:w="6803"/>
          </w:tcPr>
          <w:p>
            <w:r>
              <w:rPr>
                <w:sz w:val="17"/>
              </w:rPr>
              <w:t>Butir No.14: versi spesifik disiplin teknik — konsep rekayasa terapan, kemampuan teknis &amp; adaptasi standar keteknikan/teknologi baru, keterampilan komunikasi &amp; kerja tim, kepatuhan etika profesi (berorientasi keilmuan Teknik, bukan struktur generik SN-Dikti).</w:t>
            </w:r>
          </w:p>
        </w:tc>
      </w:tr>
      <w:tr>
        <w:tc>
          <w:tcPr>
            <w:tcW w:type="dxa" w:w="2835"/>
          </w:tcPr>
          <w:p>
            <w:r>
              <w:rPr>
                <w:sz w:val="17"/>
              </w:rPr>
              <w:t>R3 (LAM INFOKOM)</w:t>
            </w:r>
          </w:p>
        </w:tc>
        <w:tc>
          <w:tcPr>
            <w:tcW w:type="dxa" w:w="6803"/>
          </w:tcPr>
          <w:p>
            <w:r>
              <w:rPr>
                <w:sz w:val="17"/>
              </w:rPr>
              <w:t>Butir 2.1.B menyebut eksplisit 'soft dan hard competence (memenuhi KKNI level 6)' — sangat selaras dengan pernyataan FTII.</w:t>
            </w:r>
          </w:p>
        </w:tc>
      </w:tr>
      <w:tr>
        <w:tc>
          <w:tcPr>
            <w:tcW w:type="dxa" w:w="2835"/>
          </w:tcPr>
          <w:p>
            <w:r>
              <w:rPr>
                <w:sz w:val="17"/>
              </w:rPr>
              <w:t>R4</w:t>
            </w:r>
          </w:p>
        </w:tc>
        <w:tc>
          <w:tcPr>
            <w:tcW w:type="dxa" w:w="6803"/>
          </w:tcPr>
          <w:p>
            <w:r>
              <w:rPr>
                <w:sz w:val="17"/>
              </w:rPr>
              <w:t>Tidak merinci struktur sikap/pengetahuan/KU/KK secara eksplisit pada bagian yang diekstrak; berfokus pada IKU/IKT kepatuhan prosedural.</w:t>
            </w:r>
          </w:p>
        </w:tc>
      </w:tr>
      <w:tr>
        <w:tc>
          <w:tcPr>
            <w:tcW w:type="dxa" w:w="2835"/>
          </w:tcPr>
          <w:p>
            <w:r>
              <w:rPr>
                <w:sz w:val="17"/>
              </w:rPr>
              <w:t>R5</w:t>
            </w:r>
          </w:p>
        </w:tc>
        <w:tc>
          <w:tcPr>
            <w:tcW w:type="dxa" w:w="6803"/>
          </w:tcPr>
          <w:p>
            <w:r>
              <w:rPr>
                <w:sz w:val="17"/>
              </w:rPr>
              <w:t>Bab 2 Definisi No.4-8: definisi Sikap, Pengetahuan, Keterampilan, Keterampilan Umum, Keterampilan Khusus — identik persis dengan definisi standar nasional yang dirujuk FTII.</w:t>
            </w:r>
          </w:p>
        </w:tc>
      </w:tr>
    </w:tbl>
    <w:p>
      <w:r>
        <w:rPr>
          <w:b/>
          <w:sz w:val="19"/>
        </w:rPr>
        <w:t>Analisis Kesesuaian: Struktur 4 unsur kompetensi FTII IDENTIK dengan definisi R5 dan SELARAS dengan R3 (LAM INFOKOM, eksplisit menyebut KKNI level 6). R2 (LAM Teknik) memakai rumusan spesifik keilmuan Teknik yang perlu disesuaikan bila diadaptasi untuk Program Studi Sistem Informasi (bukan Teknik murni) — bukan gap, melainkan perbedaan konteks bidang ilmu.</w:t>
      </w:r>
      <w:r>
        <w:rPr>
          <w:i/>
          <w:sz w:val="19"/>
        </w:rPr>
      </w:r>
    </w:p>
    <w:p/>
    <w:p>
      <w:r>
        <w:rPr>
          <w:b/>
          <w:sz w:val="23"/>
        </w:rPr>
        <w:t>Tema 4. Kelulusan Tepat Waktu</w:t>
      </w:r>
    </w:p>
    <w:p>
      <w:r>
        <w:rPr>
          <w:b/>
          <w:sz w:val="19"/>
        </w:rPr>
        <w:t xml:space="preserve">Ketentuan FTII UNISBANK: </w:t>
      </w:r>
      <w:r>
        <w:rPr>
          <w:sz w:val="19"/>
        </w:rPr>
        <w:t>Persentase kelulusan tepat waktu paling sedikit 55% (2023/24), naik menjadi 60% (2024/25 s.d. 2026/27).</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R2 (LAM Teknik)</w:t>
            </w:r>
          </w:p>
        </w:tc>
        <w:tc>
          <w:tcPr>
            <w:tcW w:type="dxa" w:w="6803"/>
          </w:tcPr>
          <w:p>
            <w:r>
              <w:rPr>
                <w:sz w:val="17"/>
              </w:rPr>
              <w:t>Butir No.45: skor sempurna (4) dicapai jika PTW ≥ 50%; skor menurun linear di bawah itu. Ambang skor maksimal LAM Teknik = 50%.</w:t>
            </w:r>
          </w:p>
        </w:tc>
      </w:tr>
      <w:tr>
        <w:tc>
          <w:tcPr>
            <w:tcW w:type="dxa" w:w="2835"/>
          </w:tcPr>
          <w:p>
            <w:r>
              <w:rPr>
                <w:sz w:val="17"/>
              </w:rPr>
              <w:t>R5</w:t>
            </w:r>
          </w:p>
        </w:tc>
        <w:tc>
          <w:tcPr>
            <w:tcW w:type="dxa" w:w="6803"/>
          </w:tcPr>
          <w:p>
            <w:r>
              <w:rPr>
                <w:sz w:val="17"/>
              </w:rPr>
              <w:t>Bab 5 No.16: minimal 50% untuk program Doktor/Magister/Sarjana; minimal 70% untuk Sarjana Terapan/Diploma Tiga.</w:t>
            </w:r>
          </w:p>
        </w:tc>
      </w:tr>
      <w:tr>
        <w:tc>
          <w:tcPr>
            <w:tcW w:type="dxa" w:w="2835"/>
          </w:tcPr>
          <w:p>
            <w:r>
              <w:rPr>
                <w:sz w:val="17"/>
              </w:rPr>
              <w:t>R1, R3, R4</w:t>
            </w:r>
          </w:p>
        </w:tc>
        <w:tc>
          <w:tcPr>
            <w:tcW w:type="dxa" w:w="6803"/>
          </w:tcPr>
          <w:p>
            <w:r>
              <w:rPr>
                <w:sz w:val="17"/>
              </w:rPr>
              <w:t>Tidak ditemukan ambang persentase eksplisit pada bagian yang diekstrak dari ketiga dokumen ini.</w:t>
            </w:r>
          </w:p>
        </w:tc>
      </w:tr>
    </w:tbl>
    <w:p>
      <w:r>
        <w:rPr>
          <w:b/>
          <w:sz w:val="19"/>
        </w:rPr>
        <w:t>Analisis Kesesuaian: Target FTII (55-60%) SUDAH MELAMPAUI ambang skor sempurna LAM Teknik (50%) dan ambang minimal R5 untuk program Sarjana (50%) — konsisten dengan tujuan peningkatan mutu berkelanjutan. FTII berada di bawah standar R5 untuk Sarjana Terapan (70%), namun hal ini relevan hanya jika FTII menaungi program Sarjana Terapan; untuk program Sarjana (S1) murni, target FTII sudah sesuai atau melampaui rujukan.</w:t>
      </w:r>
      <w:r>
        <w:rPr>
          <w:i/>
          <w:sz w:val="19"/>
        </w:rPr>
      </w:r>
    </w:p>
    <w:p/>
    <w:p>
      <w:r>
        <w:rPr>
          <w:b/>
          <w:sz w:val="23"/>
        </w:rPr>
        <w:t>Tema 5. Rata-rata Lama Studi</w:t>
      </w:r>
    </w:p>
    <w:p>
      <w:r>
        <w:rPr>
          <w:b/>
          <w:sz w:val="19"/>
        </w:rPr>
        <w:t xml:space="preserve">Ketentuan FTII UNISBANK: </w:t>
      </w:r>
      <w:r>
        <w:rPr>
          <w:sz w:val="19"/>
        </w:rPr>
        <w:t>Rata-rata lama studi lulusan program sarjana tidak melebihi masa tempuh kurikulum empat tahun.</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R2 (LAM Teknik)</w:t>
            </w:r>
          </w:p>
        </w:tc>
        <w:tc>
          <w:tcPr>
            <w:tcW w:type="dxa" w:w="6803"/>
          </w:tcPr>
          <w:p>
            <w:r>
              <w:rPr>
                <w:sz w:val="17"/>
              </w:rPr>
              <w:t>Butir No.44: skor sempurna (4) jika 3,5 &lt; Masa Studi ≤ 4,5 tahun.</w:t>
            </w:r>
          </w:p>
        </w:tc>
      </w:tr>
      <w:tr>
        <w:tc>
          <w:tcPr>
            <w:tcW w:type="dxa" w:w="2835"/>
          </w:tcPr>
          <w:p>
            <w:r>
              <w:rPr>
                <w:sz w:val="17"/>
              </w:rPr>
              <w:t>R5</w:t>
            </w:r>
          </w:p>
        </w:tc>
        <w:tc>
          <w:tcPr>
            <w:tcW w:type="dxa" w:w="6803"/>
          </w:tcPr>
          <w:p>
            <w:r>
              <w:rPr>
                <w:sz w:val="17"/>
              </w:rPr>
              <w:t>Bab 5 No.15: rata-rata masa studi Sarjana dan Sarjana Terapan 3,5-4,5 tahun.</w:t>
            </w:r>
          </w:p>
        </w:tc>
      </w:tr>
    </w:tbl>
    <w:p>
      <w:r>
        <w:rPr>
          <w:b/>
          <w:sz w:val="19"/>
        </w:rPr>
        <w:t xml:space="preserve">Analisis Kesesuaian: </w:t>
      </w:r>
      <w:r>
        <w:rPr>
          <w:i/>
          <w:sz w:val="19"/>
        </w:rPr>
        <w:t>SELARAS PENUH — target 4 tahun FTII berada tepat di tengah rentang skor sempurna R2 dan ambang R5 (3,5-4,5 tahun). Tidak ada gap.</w:t>
      </w:r>
    </w:p>
    <w:p/>
    <w:p>
      <w:r>
        <w:rPr>
          <w:b/>
          <w:sz w:val="23"/>
        </w:rPr>
        <w:t>Tema 6. Rata-rata IPK Lulusan</w:t>
      </w:r>
    </w:p>
    <w:p>
      <w:r>
        <w:rPr>
          <w:b/>
          <w:sz w:val="19"/>
        </w:rPr>
        <w:t xml:space="preserve">Ketentuan FTII UNISBANK: </w:t>
      </w:r>
      <w:r>
        <w:rPr>
          <w:sz w:val="19"/>
        </w:rPr>
        <w:t>Rata-rata IPK lulusan meningkat dari 3,0 (2023/24) menjadi 3,2 (2024/25), 3,3 (2025/26 dan 2026/27).</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R2 (LAM Teknik)</w:t>
            </w:r>
          </w:p>
        </w:tc>
        <w:tc>
          <w:tcPr>
            <w:tcW w:type="dxa" w:w="6803"/>
          </w:tcPr>
          <w:p>
            <w:r>
              <w:rPr>
                <w:sz w:val="17"/>
              </w:rPr>
              <w:t>Butir No.42: skor sempurna (4) jika Rata-rata IPK ≥ 3,25.</w:t>
            </w:r>
          </w:p>
        </w:tc>
      </w:tr>
      <w:tr>
        <w:tc>
          <w:tcPr>
            <w:tcW w:type="dxa" w:w="2835"/>
          </w:tcPr>
          <w:p>
            <w:r>
              <w:rPr>
                <w:sz w:val="17"/>
              </w:rPr>
              <w:t>R4</w:t>
            </w:r>
          </w:p>
        </w:tc>
        <w:tc>
          <w:tcPr>
            <w:tcW w:type="dxa" w:w="6803"/>
          </w:tcPr>
          <w:p>
            <w:r>
              <w:rPr>
                <w:sz w:val="17"/>
              </w:rPr>
              <w:t>IKU No.5: Rata-rata IPK lulusan D3/S1 ≥ 3,00, S2 ≥ 3,25 — identik persis dengan target awal FTII (3,0).</w:t>
            </w:r>
          </w:p>
        </w:tc>
      </w:tr>
      <w:tr>
        <w:tc>
          <w:tcPr>
            <w:tcW w:type="dxa" w:w="2835"/>
          </w:tcPr>
          <w:p>
            <w:r>
              <w:rPr>
                <w:sz w:val="17"/>
              </w:rPr>
              <w:t>R5</w:t>
            </w:r>
          </w:p>
        </w:tc>
        <w:tc>
          <w:tcPr>
            <w:tcW w:type="dxa" w:w="6803"/>
          </w:tcPr>
          <w:p>
            <w:r>
              <w:rPr>
                <w:sz w:val="17"/>
              </w:rPr>
              <w:t>Bab 5 No.8: rata-rata IPK minimal 3,25 untuk Diploma/Sarjana/Sarjana Terapan.</w:t>
            </w:r>
          </w:p>
        </w:tc>
      </w:tr>
    </w:tbl>
    <w:p>
      <w:r>
        <w:rPr>
          <w:b/>
          <w:sz w:val="19"/>
        </w:rPr>
        <w:t xml:space="preserve">Analisis Kesesuaian: </w:t>
      </w:r>
      <w:r>
        <w:rPr>
          <w:i/>
          <w:sz w:val="19"/>
        </w:rPr>
        <w:t>Target awal FTII (3,0, tahun 2023/24) berada DI BAWAH ambang skor sempurna R2 dan ambang minimal R5 (3,25), namun IDENTIK dengan ambang minimal R4 (3,00 untuk S1). Pada tahun terakhir (2026/27, target 3,3), FTII sudah MELAMPAUI ambang R2 dan R5 (3,25). Kesimpulan: roadmap peningkatan bertahap FTII wajar dan pada akhirnya melampaui rujukan, bukan gap permanen.</w:t>
      </w:r>
    </w:p>
    <w:p/>
    <w:p>
      <w:r>
        <w:rPr>
          <w:b/>
          <w:sz w:val="23"/>
        </w:rPr>
        <w:t>Tema 7. Waktu Tunggu Lulusan Memperoleh Pekerjaan Pertama</w:t>
      </w:r>
    </w:p>
    <w:p>
      <w:r>
        <w:rPr>
          <w:b/>
          <w:sz w:val="19"/>
        </w:rPr>
        <w:t xml:space="preserve">Ketentuan FTII UNISBANK: </w:t>
      </w:r>
      <w:r>
        <w:rPr>
          <w:sz w:val="19"/>
        </w:rPr>
        <w:t>Rata-rata waktu tunggu tidak melebihi 6 bulan (2024/25), menurun menjadi 5 bulan (2025/26), 4 bulan (2026/27... sesuai tabel: 3 bulan pada 2026/27).</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R2 (LAM Teknik)</w:t>
            </w:r>
          </w:p>
        </w:tc>
        <w:tc>
          <w:tcPr>
            <w:tcW w:type="dxa" w:w="6803"/>
          </w:tcPr>
          <w:p>
            <w:r>
              <w:rPr>
                <w:sz w:val="17"/>
              </w:rPr>
              <w:t>Butir No.49: skor sempurna (4) jika Waktu Tunggu ≤ 3 bulan (dari populasi responden lulusan minimal 30%).</w:t>
            </w:r>
          </w:p>
        </w:tc>
      </w:tr>
      <w:tr>
        <w:tc>
          <w:tcPr>
            <w:tcW w:type="dxa" w:w="2835"/>
          </w:tcPr>
          <w:p>
            <w:r>
              <w:rPr>
                <w:sz w:val="17"/>
              </w:rPr>
              <w:t>R5</w:t>
            </w:r>
          </w:p>
        </w:tc>
        <w:tc>
          <w:tcPr>
            <w:tcW w:type="dxa" w:w="6803"/>
          </w:tcPr>
          <w:p>
            <w:r>
              <w:rPr>
                <w:sz w:val="17"/>
              </w:rPr>
              <w:t>Bab 5 No.19: waktu tunggu lulusan kurang dari 6 bulan.</w:t>
            </w:r>
          </w:p>
        </w:tc>
      </w:tr>
    </w:tbl>
    <w:p>
      <w:r>
        <w:rPr>
          <w:b/>
          <w:sz w:val="19"/>
        </w:rPr>
        <w:t xml:space="preserve">Analisis Kesesuaian: </w:t>
      </w:r>
      <w:r>
        <w:rPr>
          <w:i/>
          <w:sz w:val="19"/>
        </w:rPr>
        <w:t>SELARAS DAN PROGRESIF — target awal FTII (6 bulan) identik dengan ambang R5, dan target akhir FTII (3 bulan pada 2026/27) mencapai persis ambang skor sempurna R2. Tidak ada gap; roadmap FTII konsisten menuju level tertinggi kedua rujukan.</w:t>
      </w:r>
    </w:p>
    <w:p/>
    <w:p>
      <w:r>
        <w:rPr>
          <w:b/>
          <w:sz w:val="23"/>
        </w:rPr>
        <w:t>Tema 8. Persentase Kesesuaian Bidang Kerja (PBS)</w:t>
      </w:r>
    </w:p>
    <w:p>
      <w:r>
        <w:rPr>
          <w:b/>
          <w:sz w:val="19"/>
        </w:rPr>
        <w:t xml:space="preserve">Ketentuan FTII UNISBANK: </w:t>
      </w:r>
      <w:r>
        <w:rPr>
          <w:sz w:val="19"/>
        </w:rPr>
        <w:t>Persentase kesesuaian bidang kerja lulusan dengan bidang keilmuan program studi: 50% (2023/24-2024/25), naik menjadi 55% (2025/26-2026/27).</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R2 (LAM Teknik)</w:t>
            </w:r>
          </w:p>
        </w:tc>
        <w:tc>
          <w:tcPr>
            <w:tcW w:type="dxa" w:w="6803"/>
          </w:tcPr>
          <w:p>
            <w:r>
              <w:rPr>
                <w:sz w:val="17"/>
              </w:rPr>
              <w:t>Butir No.50: skor sempurna (4) jika Kesesuaian Bidang Kerja (KBK) ≥ 60%.</w:t>
            </w:r>
          </w:p>
        </w:tc>
      </w:tr>
      <w:tr>
        <w:tc>
          <w:tcPr>
            <w:tcW w:type="dxa" w:w="2835"/>
          </w:tcPr>
          <w:p>
            <w:r>
              <w:rPr>
                <w:sz w:val="17"/>
              </w:rPr>
              <w:t>R5</w:t>
            </w:r>
          </w:p>
        </w:tc>
        <w:tc>
          <w:tcPr>
            <w:tcW w:type="dxa" w:w="6803"/>
          </w:tcPr>
          <w:p>
            <w:r>
              <w:rPr>
                <w:sz w:val="17"/>
              </w:rPr>
              <w:t>Bab 5 No.20: kesesuaian bidang kerja minimal 60% untuk program Magister dan Sarjana.</w:t>
            </w:r>
          </w:p>
        </w:tc>
      </w:tr>
    </w:tbl>
    <w:p>
      <w:r>
        <w:rPr>
          <w:b/>
          <w:sz w:val="19"/>
        </w:rPr>
        <w:t>Analisis Kesesuaian: GAP TERIDENTIFIKASI — target akhir FTII (55%, 2026/27) masih DI BAWAH ambang skor sempurna R2 maupun ambang minimal R5 (keduanya 60%). Ini salah satu dari sedikit area di mana target FTII berada di bawah kedua rujukan pembanding; direkomendasikan menaikkan target jangka menengah FTII menuju ≥60% agar setara dengan standar akreditasi LAM Teknik dan R5.</w:t>
      </w:r>
      <w:r>
        <w:rPr>
          <w:i/>
          <w:sz w:val="19"/>
        </w:rPr>
      </w:r>
    </w:p>
    <w:p/>
    <w:p>
      <w:r>
        <w:rPr>
          <w:b/>
          <w:sz w:val="23"/>
        </w:rPr>
        <w:t>Tema 9. Lulusan Bekerja Tingkat Nasional/Internasional</w:t>
      </w:r>
    </w:p>
    <w:p>
      <w:r>
        <w:rPr>
          <w:b/>
          <w:sz w:val="19"/>
        </w:rPr>
        <w:t xml:space="preserve">Ketentuan FTII UNISBANK: </w:t>
      </w:r>
      <w:r>
        <w:rPr>
          <w:sz w:val="19"/>
        </w:rPr>
        <w:t>Persentase lulusan bekerja tingkat nasional maupun internasional: 25% (2023/24-2024/25), naik menjadi 30% (2025/26-2026/27).</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R2 (LAM Teknik)</w:t>
            </w:r>
          </w:p>
        </w:tc>
        <w:tc>
          <w:tcPr>
            <w:tcW w:type="dxa" w:w="6803"/>
          </w:tcPr>
          <w:p>
            <w:r>
              <w:rPr>
                <w:sz w:val="17"/>
              </w:rPr>
              <w:t>Butir No.51: ambang skor sempurna internasional (a) = 5%, nasional (b) = 20% — dinilai terpisah per kategori, bukan gabungan tunggal.</w:t>
            </w:r>
          </w:p>
        </w:tc>
      </w:tr>
      <w:tr>
        <w:tc>
          <w:tcPr>
            <w:tcW w:type="dxa" w:w="2835"/>
          </w:tcPr>
          <w:p>
            <w:r>
              <w:rPr>
                <w:sz w:val="17"/>
              </w:rPr>
              <w:t>R5</w:t>
            </w:r>
          </w:p>
        </w:tc>
        <w:tc>
          <w:tcPr>
            <w:tcW w:type="dxa" w:w="6803"/>
          </w:tcPr>
          <w:p>
            <w:r>
              <w:rPr>
                <w:sz w:val="17"/>
              </w:rPr>
              <w:t>Bab 5 No.21-22: lulusan bekerja tingkat internasional/multinasional minimal 5%; tingkat nasional atau wirausaha berizin minimal 20%.</w:t>
            </w:r>
          </w:p>
        </w:tc>
      </w:tr>
    </w:tbl>
    <w:p>
      <w:r>
        <w:rPr>
          <w:b/>
          <w:sz w:val="19"/>
        </w:rPr>
        <w:t xml:space="preserve">Analisis Kesesuaian: </w:t>
      </w:r>
      <w:r>
        <w:rPr>
          <w:i/>
          <w:sz w:val="19"/>
        </w:rPr>
        <w:t>SELARAS — jumlah ambang gabungan R2/R5 (internasional 5% + nasional 20% = 25%) IDENTIK dengan target awal FTII (25%), dan target akhir FTII (30%) sudah melampaui jumlah tersebut. Catatan metodologis: FTII menggabungkan kategori nasional+internasional menjadi satu angka, sedangkan R2 dan R5 memisahkan keduanya dengan ambang berbeda — disarankan FTII memecah datanya per kategori agar dapat diverifikasi langsung terhadap kedua rujukan saat penyusunan borang akreditasi.</w:t>
      </w:r>
    </w:p>
    <w:p/>
    <w:p>
      <w:r>
        <w:rPr>
          <w:b/>
          <w:sz w:val="23"/>
        </w:rPr>
        <w:t>Tema 10. Kepuasan Pengguna Lulusan</w:t>
      </w:r>
    </w:p>
    <w:p>
      <w:r>
        <w:rPr>
          <w:b/>
          <w:sz w:val="19"/>
        </w:rPr>
        <w:t xml:space="preserve">Ketentuan FTII UNISBANK: </w:t>
      </w:r>
      <w:r>
        <w:rPr>
          <w:sz w:val="19"/>
        </w:rPr>
        <w:t>Tingkat kepuasan pengguna lulusan minimal 80% (2023/24), naik menjadi 83% (2024/25), 85% (2025/26), 90% (2026/27).</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R2 (LAM Teknik)</w:t>
            </w:r>
          </w:p>
        </w:tc>
        <w:tc>
          <w:tcPr>
            <w:tcW w:type="dxa" w:w="6803"/>
          </w:tcPr>
          <w:p>
            <w:r>
              <w:rPr>
                <w:sz w:val="17"/>
              </w:rPr>
              <w:t>Butir No.52: dihitung dengan rumus skor 7 aspek berbasis proporsi jawaban 'sangat baik/baik/cukup/kurang' (skala 0-4), BUKAN persentase kepuasan tunggal.</w:t>
            </w:r>
          </w:p>
        </w:tc>
      </w:tr>
      <w:tr>
        <w:tc>
          <w:tcPr>
            <w:tcW w:type="dxa" w:w="2835"/>
          </w:tcPr>
          <w:p>
            <w:r>
              <w:rPr>
                <w:sz w:val="17"/>
              </w:rPr>
              <w:t>R5</w:t>
            </w:r>
          </w:p>
        </w:tc>
        <w:tc>
          <w:tcPr>
            <w:tcW w:type="dxa" w:w="6803"/>
          </w:tcPr>
          <w:p>
            <w:r>
              <w:rPr>
                <w:sz w:val="17"/>
              </w:rPr>
              <w:t>Bab 5 No.23: dinilai atas 7 aspek (etika, keahlian bidang ilmu, bahasa asing, TI, komunikasi, kerja sama tim, pengembangan diri), masing-masing minimal 85%.</w:t>
            </w:r>
          </w:p>
        </w:tc>
      </w:tr>
    </w:tbl>
    <w:p>
      <w:r>
        <w:rPr>
          <w:b/>
          <w:sz w:val="19"/>
        </w:rPr>
        <w:t xml:space="preserve">Analisis Kesesuaian: </w:t>
      </w:r>
      <w:r>
        <w:rPr>
          <w:i/>
          <w:sz w:val="19"/>
        </w:rPr>
        <w:t>Target awal FTII (80%) berada DI BAWAH ambang R5 (85%), namun target 2025/26 (85%) sudah SETARA, dan target akhir 2026/27 (90%) MELAMPAUI R5. Catatan metodologis: R2 menggunakan metode skor terbobot 7 aspek (bukan persentase langsung) — FTII perlu memastikan instrumen surveinya kompatibel dengan format penilaian LAM Teknik (skala sangat baik/baik/cukup/kurang) agar dapat dikonversi saat pelaporan akreditasi.</w:t>
      </w:r>
    </w:p>
    <w:p/>
    <w:p>
      <w:r>
        <w:rPr>
          <w:b/>
          <w:sz w:val="23"/>
        </w:rPr>
        <w:t>Tema 11. Prestasi Mahasiswa Akademik dan Non-Akademik</w:t>
      </w:r>
    </w:p>
    <w:p>
      <w:r>
        <w:rPr>
          <w:b/>
          <w:sz w:val="19"/>
        </w:rPr>
        <w:t xml:space="preserve">Ketentuan FTII UNISBANK: </w:t>
      </w:r>
      <w:r>
        <w:rPr>
          <w:sz w:val="19"/>
        </w:rPr>
        <w:t>FTII mendorong peningkatan jumlah prestasi mahasiswa akademik dan non-akademik tingkat lokal/nasional/internasional: target 25 (2023/24-2024/25) naik menjadi 30 (2025/26-2026/27) prestasi per tahun (angka absolut, gabungan seluruh tingkat).</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R2 (LAM Teknik)</w:t>
            </w:r>
          </w:p>
        </w:tc>
        <w:tc>
          <w:tcPr>
            <w:tcW w:type="dxa" w:w="6803"/>
          </w:tcPr>
          <w:p>
            <w:r>
              <w:rPr>
                <w:sz w:val="17"/>
              </w:rPr>
              <w:t>Butir No.43: dihitung sebagai RASIO jumlah prestasi internasional/nasional/wilayah terhadap jumlah mahasiswa (NM), dengan ambang skor sempurna a=0,2% (internasional), b=2% (nasional), c=4% (wilayah/lokal) — metode berbasis proporsi terhadap populasi, bukan angka absolut.</w:t>
            </w:r>
          </w:p>
        </w:tc>
      </w:tr>
      <w:tr>
        <w:tc>
          <w:tcPr>
            <w:tcW w:type="dxa" w:w="2835"/>
          </w:tcPr>
          <w:p>
            <w:r>
              <w:rPr>
                <w:sz w:val="17"/>
              </w:rPr>
              <w:t>R4</w:t>
            </w:r>
          </w:p>
        </w:tc>
        <w:tc>
          <w:tcPr>
            <w:tcW w:type="dxa" w:w="6803"/>
          </w:tcPr>
          <w:p>
            <w:r>
              <w:rPr>
                <w:sz w:val="17"/>
              </w:rPr>
              <w:t>IKU No.7-8: jumlah prestasi akademik ≥1→3 dan non-akademik ≥2→6 per program studi dalam 3 tahun terakhir — angka absolut PER PRODI, beda skala dengan FTII yang mengagregasi di tingkat fakultas per tahun.</w:t>
            </w:r>
          </w:p>
        </w:tc>
      </w:tr>
      <w:tr>
        <w:tc>
          <w:tcPr>
            <w:tcW w:type="dxa" w:w="2835"/>
          </w:tcPr>
          <w:p>
            <w:r>
              <w:rPr>
                <w:sz w:val="17"/>
              </w:rPr>
              <w:t>R5</w:t>
            </w:r>
          </w:p>
        </w:tc>
        <w:tc>
          <w:tcPr>
            <w:tcW w:type="dxa" w:w="6803"/>
          </w:tcPr>
          <w:p>
            <w:r>
              <w:rPr>
                <w:sz w:val="17"/>
              </w:rPr>
              <w:t>Bab 5 No.9-14: persentase prestasi akademik/non-akademik per tingkat (internasional/nasional/lokal) terhadap jumlah mahasiswa, mis. akademik internasional minimal 0,1% untuk Sarjana — metode serupa R2 (rasio populasi).</w:t>
            </w:r>
          </w:p>
        </w:tc>
      </w:tr>
    </w:tbl>
    <w:p>
      <w:r>
        <w:rPr>
          <w:b/>
          <w:sz w:val="19"/>
        </w:rPr>
        <w:t xml:space="preserve">Analisis Kesesuaian: </w:t>
      </w:r>
      <w:r>
        <w:rPr>
          <w:i/>
          <w:sz w:val="19"/>
        </w:rPr>
        <w:t>GAP METODOLOGIS — FTII menggunakan satuan 'jumlah mahasiswa berprestasi per tahun' (angka absolut, gabungan seluruh tingkat), sedangkan 3 dari 5 rujukan (R2, R4, R5) memakai RASIO/persentase per tingkat (internasional/nasional/lokal) terhadap populasi mahasiswa atau per program studi. Tanpa mengetahui total populasi mahasiswa FTII, target 25-35/tahun tidak dapat langsung diverifikasi kesetaraannya dengan ambang R2/R5. REKOMENDASI: pecah target prestasi FTII menjadi proporsi per tingkat (internasional/nasional/lokal) terhadap jumlah mahasiswa, agar terukur dan dapat dibandingkan langsung saat penyusunan LKPS/LED akreditasi LAM Teknik maupun LAM INFOKOM.</w:t>
      </w:r>
    </w:p>
    <w:p/>
    <w:p>
      <w:r>
        <w:rPr>
          <w:b/>
          <w:sz w:val="23"/>
        </w:rPr>
        <w:t>Tema 12. Sertifikasi Kompetensi (Nasional/Internasional/Kewirausahaan)</w:t>
      </w:r>
    </w:p>
    <w:p>
      <w:r>
        <w:rPr>
          <w:b/>
          <w:sz w:val="19"/>
        </w:rPr>
        <w:t xml:space="preserve">Ketentuan FTII UNISBANK: </w:t>
      </w:r>
      <w:r>
        <w:rPr>
          <w:sz w:val="19"/>
        </w:rPr>
        <w:t>FTII menargetkan 20-35 mahasiswa/alumni memperoleh sertifikasi kompetensi nasional/internasional per tahun (naik bertahap), serta menyediakan program sertifikasi kompetensi kewirausahaan bagi mahasiswa (angka absolut).</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R5</w:t>
            </w:r>
          </w:p>
        </w:tc>
        <w:tc>
          <w:tcPr>
            <w:tcW w:type="dxa" w:w="6803"/>
          </w:tcPr>
          <w:p>
            <w:r>
              <w:rPr>
                <w:sz w:val="17"/>
              </w:rPr>
              <w:t>Bab 5 No.27: lulusan dengan sertifikasi kompetensi minimal 50% dari jumlah lulusan (PERSENTASE, bukan angka absolut).</w:t>
            </w:r>
          </w:p>
        </w:tc>
      </w:tr>
      <w:tr>
        <w:tc>
          <w:tcPr>
            <w:tcW w:type="dxa" w:w="2835"/>
          </w:tcPr>
          <w:p>
            <w:r>
              <w:rPr>
                <w:sz w:val="17"/>
              </w:rPr>
              <w:t>R1, R2, R3, R4</w:t>
            </w:r>
          </w:p>
        </w:tc>
        <w:tc>
          <w:tcPr>
            <w:tcW w:type="dxa" w:w="6803"/>
          </w:tcPr>
          <w:p>
            <w:r>
              <w:rPr>
                <w:sz w:val="17"/>
              </w:rPr>
              <w:t>Tidak ditemukan indikator sertifikasi kompetensi kuantitatif yang eksplisit pada bagian yang berhasil diekstrak dari keempat dokumen ini (dimungkinkan termuat pada bagian lain dokumen yang tidak tercakup ekstraksi, khususnya R2 yang memiliki 56 kriteria total).</w:t>
            </w:r>
          </w:p>
        </w:tc>
      </w:tr>
    </w:tbl>
    <w:p>
      <w:r>
        <w:rPr>
          <w:b/>
          <w:sz w:val="19"/>
        </w:rPr>
        <w:t>Analisis Kesesuaian: GAP METODOLOGIS sama seperti Tema 11 — FTII memakai angka absolut (20-35 orang/tahun) sedangkan R5 memakai persentase dari total lulusan (50%). Tanpa data jumlah lulusan/tahun FTII, kesetaraan target tidak dapat dipastikan. REKOMENDASI: konversi target sertifikasi FTII menjadi persentase dari jumlah lulusan per tahun agar dapat dibandingkan langsung dengan ambang 50% R5.</w:t>
      </w:r>
      <w:r>
        <w:rPr>
          <w:i/>
          <w:sz w:val="19"/>
        </w:rPr>
      </w:r>
    </w:p>
    <w:p/>
    <w:p>
      <w:r>
        <w:rPr>
          <w:b/>
          <w:sz w:val="23"/>
        </w:rPr>
        <w:t>Tema 13. Tracer Study</w:t>
      </w:r>
    </w:p>
    <w:p>
      <w:r>
        <w:rPr>
          <w:b/>
          <w:sz w:val="19"/>
        </w:rPr>
        <w:t xml:space="preserve">Ketentuan FTII UNISBANK: </w:t>
      </w:r>
      <w:r>
        <w:rPr>
          <w:sz w:val="19"/>
        </w:rPr>
        <w:t>FTII dan Program Studi wajib melakukan tracer study secara berkala untuk memperoleh data masa tunggu kerja, kesesuaian bidang kerja, dan pengembangan karier lulusan (tidak dirinci menjadi aspek-aspek terpisah pada dokumen yang diringkas).</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R2 (LAM Teknik)</w:t>
            </w:r>
          </w:p>
        </w:tc>
        <w:tc>
          <w:tcPr>
            <w:tcW w:type="dxa" w:w="6803"/>
          </w:tcPr>
          <w:p>
            <w:r>
              <w:rPr>
                <w:sz w:val="17"/>
              </w:rPr>
              <w:t>Butir No.48: skor sempurna (4) memerlukan tracer study mencakup PERSIS 5 ASPEK: (1) terkoordinasi tingkat perguruan tinggi; (2) dilakukan reguler tiap tahun dan terdokumentasi; (3) kuesioner mencakup seluruh pertanyaan inti tracer study DIKTI; (4) ditargetkan pada seluruh populasi (lulusan TS-2 s.d. TS-1); (5) hasil disosialisasikan dan digunakan untuk pengembangan kurikulum dan pembelajaran.</w:t>
            </w:r>
          </w:p>
        </w:tc>
      </w:tr>
      <w:tr>
        <w:tc>
          <w:tcPr>
            <w:tcW w:type="dxa" w:w="2835"/>
          </w:tcPr>
          <w:p>
            <w:r>
              <w:rPr>
                <w:sz w:val="17"/>
              </w:rPr>
              <w:t>R5</w:t>
            </w:r>
          </w:p>
        </w:tc>
        <w:tc>
          <w:tcPr>
            <w:tcW w:type="dxa" w:w="6803"/>
          </w:tcPr>
          <w:p>
            <w:r>
              <w:rPr>
                <w:sz w:val="17"/>
              </w:rPr>
              <w:t>Bab 5 No.18: 5 aspek IDENTIK persis dengan R2 (terkoordinasi tingkat universitas, reguler tahunan terdokumentasi, kuesioner mencakup pertanyaan inti tracer study Dikti, target seluruh populasi, hasil disosialisasikan untuk pengembangan kurikulum/pembelajaran).</w:t>
            </w:r>
          </w:p>
        </w:tc>
      </w:tr>
    </w:tbl>
    <w:p>
      <w:r>
        <w:rPr>
          <w:b/>
          <w:sz w:val="19"/>
        </w:rPr>
        <w:t>Analisis Kesesuaian: GAP DOKUMENTASI — dokumen Standar Luaran Pendidikan FTII menyatakan kewajiban tracer study secara umum, namun BELUM merinci kelima aspek yang secara eksplisit dan identik dirumuskan oleh R2 (LAM Teknik) dan R5 sebagai syarat skor maksimal akreditasi. REKOMENDASI PRIORITAS: tambahkan rincian ke-5 aspek tracer study tersebut secara eksplisit ke dalam dokumen Standar Luaran Pendidikan FTII maupun ke pedoman pelaksanaan tracer study tingkat fakultas, agar pelaksanaan tracer study FTII otomatis memenuhi kriteria skor tertinggi saat diakreditasi LAM Teknik/LAM INFOKOM.</w:t>
      </w:r>
      <w:r>
        <w:rPr>
          <w:i/>
          <w:sz w:val="19"/>
        </w:rPr>
      </w:r>
    </w:p>
    <w:p/>
    <w:p>
      <w:r>
        <w:rPr>
          <w:b/>
          <w:sz w:val="23"/>
        </w:rPr>
        <w:t>Tema 14. Monitoring, Evaluasi, Audit Mutu Internal (AMI), dan Siklus PPEPP</w:t>
      </w:r>
    </w:p>
    <w:p>
      <w:r>
        <w:rPr>
          <w:b/>
          <w:sz w:val="19"/>
        </w:rPr>
        <w:t xml:space="preserve">Ketentuan FTII UNISBANK: </w:t>
      </w:r>
      <w:r>
        <w:rPr>
          <w:sz w:val="19"/>
        </w:rPr>
        <w:t>FTII wajib melaksanakan monitoring dan evaluasi ketercapaian profil lulusan/CPL/CPMK/IPK/lama studi/kelulusan tepat waktu secara berkala, melaksanakan AMI, menyusun RTL, dan menerapkan siklus PPEPP secara berkelanjutan.</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D9D9D9"/>
          </w:tcPr>
          <w:p>
            <w:r>
              <w:rPr>
                <w:b/>
                <w:sz w:val="17"/>
              </w:rPr>
              <w:t>Dokumen Rujukan</w:t>
            </w:r>
          </w:p>
        </w:tc>
        <w:tc>
          <w:tcPr>
            <w:tcW w:type="dxa" w:w="6803"/>
            <w:shd w:val="clear" w:color="auto" w:fill="D9D9D9"/>
          </w:tcPr>
          <w:p>
            <w:r>
              <w:rPr>
                <w:b/>
                <w:sz w:val="17"/>
              </w:rPr>
              <w:t>Ketentuan / Indikator Terkait</w:t>
            </w:r>
          </w:p>
        </w:tc>
      </w:tr>
      <w:tr>
        <w:tc>
          <w:tcPr>
            <w:tcW w:type="dxa" w:w="2835"/>
          </w:tcPr>
          <w:p>
            <w:r>
              <w:rPr>
                <w:sz w:val="17"/>
              </w:rPr>
              <w:t>R1</w:t>
            </w:r>
          </w:p>
        </w:tc>
        <w:tc>
          <w:tcPr>
            <w:tcW w:type="dxa" w:w="6803"/>
          </w:tcPr>
          <w:p>
            <w:r>
              <w:rPr>
                <w:sz w:val="17"/>
              </w:rPr>
              <w:t>Seluruh standar Panduan SPMI Program Sarjana (R1) mengikuti siklus tertutup PDCA/OBE yang diadopsi dari AUN-QA, IABEE, ASIIN, dan FIBAA sebagai praktik best-practice internasional.</w:t>
            </w:r>
          </w:p>
        </w:tc>
      </w:tr>
      <w:tr>
        <w:tc>
          <w:tcPr>
            <w:tcW w:type="dxa" w:w="2835"/>
          </w:tcPr>
          <w:p>
            <w:r>
              <w:rPr>
                <w:sz w:val="17"/>
              </w:rPr>
              <w:t>R2 (LAM Teknik)</w:t>
            </w:r>
          </w:p>
        </w:tc>
        <w:tc>
          <w:tcPr>
            <w:tcW w:type="dxa" w:w="6803"/>
          </w:tcPr>
          <w:p>
            <w:r>
              <w:rPr>
                <w:sz w:val="17"/>
              </w:rPr>
              <w:t>Kriteria VII 'Sistem Penjaminan Mutu' (butir No.53-56): keberadaan unit penjaminan mutu, ketersediaan perangkat SPMI, keterlaksanaan SPMI dan AMI, evaluasi ketercapaian/ketidaktercapaian kinerja UPPS — dinilai berjenjang skor 0-4 berdasarkan kelengkapan aspek.</w:t>
            </w:r>
          </w:p>
        </w:tc>
      </w:tr>
      <w:tr>
        <w:tc>
          <w:tcPr>
            <w:tcW w:type="dxa" w:w="2835"/>
          </w:tcPr>
          <w:p>
            <w:r>
              <w:rPr>
                <w:sz w:val="17"/>
              </w:rPr>
              <w:t>R3 (LAM INFOKOM)</w:t>
            </w:r>
          </w:p>
        </w:tc>
        <w:tc>
          <w:tcPr>
            <w:tcW w:type="dxa" w:w="6803"/>
          </w:tcPr>
          <w:p>
            <w:r>
              <w:rPr>
                <w:sz w:val="17"/>
              </w:rPr>
              <w:t>Seluruh 6 Kriteria (termasuk Kriteria 1 'Budaya Mutu') dinilai melalui pendekatan siklus PPEPP berjenjang skor deskriptif.</w:t>
            </w:r>
          </w:p>
        </w:tc>
      </w:tr>
      <w:tr>
        <w:tc>
          <w:tcPr>
            <w:tcW w:type="dxa" w:w="2835"/>
          </w:tcPr>
          <w:p>
            <w:r>
              <w:rPr>
                <w:sz w:val="17"/>
              </w:rPr>
              <w:t>R4</w:t>
            </w:r>
          </w:p>
        </w:tc>
        <w:tc>
          <w:tcPr>
            <w:tcW w:type="dxa" w:w="6803"/>
          </w:tcPr>
          <w:p>
            <w:r>
              <w:rPr>
                <w:sz w:val="17"/>
              </w:rPr>
              <w:t>Setiap standar (Profil Lulusan, Kompetensi Lulusan, dst.) memiliki bagian 'Mekanisme Evaluasi' eksplisit: monitoring GPM Fakultas tahunan, AMI, rapat tinjauan manajemen fakultas.</w:t>
            </w:r>
          </w:p>
        </w:tc>
      </w:tr>
      <w:tr>
        <w:tc>
          <w:tcPr>
            <w:tcW w:type="dxa" w:w="2835"/>
          </w:tcPr>
          <w:p>
            <w:r>
              <w:rPr>
                <w:sz w:val="17"/>
              </w:rPr>
              <w:t>R5</w:t>
            </w:r>
          </w:p>
        </w:tc>
        <w:tc>
          <w:tcPr>
            <w:tcW w:type="dxa" w:w="6803"/>
          </w:tcPr>
          <w:p>
            <w:r>
              <w:rPr>
                <w:sz w:val="17"/>
              </w:rPr>
              <w:t>Bab 6 Strategi Pencapaian No.8-10: evaluasi dan peningkatan standar melalui 'siklus kaizen'/continuous quality improvement, manajemen pengendalian tiap akhir kurun kurikulum, pelaksanaan AMI.</w:t>
            </w:r>
          </w:p>
        </w:tc>
      </w:tr>
    </w:tbl>
    <w:p>
      <w:r>
        <w:rPr>
          <w:b/>
          <w:sz w:val="19"/>
        </w:rPr>
        <w:t xml:space="preserve">Analisis Kesesuaian: </w:t>
      </w:r>
      <w:r>
        <w:rPr>
          <w:i/>
          <w:sz w:val="19"/>
        </w:rPr>
        <w:t>SELARAS PENUH — mekanisme monitoring, evaluasi, AMI, dan siklus PPEPP/PDCA merupakan praktik universal SPMI perguruan tinggi di Indonesia dan tercermin identik pada seluruh 5 dokumen rujukan maupun dokumen FTII. Tidak ada gap.</w:t>
      </w:r>
    </w:p>
    <w:p/>
    <w:p>
      <w:r>
        <w:br w:type="page"/>
      </w:r>
    </w:p>
    <w:p>
      <w:pPr>
        <w:pStyle w:val="Heading2"/>
      </w:pPr>
      <w:r>
        <w:rPr>
          <w:b/>
          <w:sz w:val="24"/>
        </w:rPr>
        <w:t>C. RINGKASAN KESESUAIAN TARGET KUANTITATIF</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51"/>
            <w:shd w:val="clear" w:color="auto" w:fill="D9D9D9"/>
          </w:tcPr>
          <w:p>
            <w:r>
              <w:rPr>
                <w:b/>
                <w:sz w:val="17"/>
              </w:rPr>
              <w:t>Indikator</w:t>
            </w:r>
          </w:p>
        </w:tc>
        <w:tc>
          <w:tcPr>
            <w:tcW w:type="dxa" w:w="1984"/>
            <w:shd w:val="clear" w:color="auto" w:fill="D9D9D9"/>
          </w:tcPr>
          <w:p>
            <w:r>
              <w:rPr>
                <w:b/>
                <w:sz w:val="17"/>
              </w:rPr>
              <w:t>Target FTII (2026/27)</w:t>
            </w:r>
          </w:p>
        </w:tc>
        <w:tc>
          <w:tcPr>
            <w:tcW w:type="dxa" w:w="2268"/>
            <w:shd w:val="clear" w:color="auto" w:fill="D9D9D9"/>
          </w:tcPr>
          <w:p>
            <w:r>
              <w:rPr>
                <w:b/>
                <w:sz w:val="17"/>
              </w:rPr>
              <w:t>Ambang R2 (LAM Teknik, skor 4)</w:t>
            </w:r>
          </w:p>
        </w:tc>
        <w:tc>
          <w:tcPr>
            <w:tcW w:type="dxa" w:w="1984"/>
            <w:shd w:val="clear" w:color="auto" w:fill="D9D9D9"/>
          </w:tcPr>
          <w:p>
            <w:r>
              <w:rPr>
                <w:b/>
                <w:sz w:val="17"/>
              </w:rPr>
              <w:t>Ambang R5</w:t>
            </w:r>
          </w:p>
        </w:tc>
        <w:tc>
          <w:tcPr>
            <w:tcW w:type="dxa" w:w="1984"/>
            <w:shd w:val="clear" w:color="auto" w:fill="D9D9D9"/>
          </w:tcPr>
          <w:p>
            <w:r>
              <w:rPr>
                <w:b/>
                <w:sz w:val="17"/>
              </w:rPr>
              <w:t>Status</w:t>
            </w:r>
          </w:p>
        </w:tc>
      </w:tr>
      <w:tr>
        <w:tc>
          <w:tcPr>
            <w:tcW w:type="dxa" w:w="2551"/>
          </w:tcPr>
          <w:p>
            <w:r>
              <w:rPr>
                <w:sz w:val="17"/>
              </w:rPr>
              <w:t>Kelulusan Tepat Waktu</w:t>
            </w:r>
          </w:p>
        </w:tc>
        <w:tc>
          <w:tcPr>
            <w:tcW w:type="dxa" w:w="1984"/>
          </w:tcPr>
          <w:p>
            <w:r>
              <w:rPr>
                <w:sz w:val="17"/>
              </w:rPr>
              <w:t>60%</w:t>
            </w:r>
          </w:p>
        </w:tc>
        <w:tc>
          <w:tcPr>
            <w:tcW w:type="dxa" w:w="2268"/>
          </w:tcPr>
          <w:p>
            <w:r>
              <w:rPr>
                <w:sz w:val="17"/>
              </w:rPr>
              <w:t>≥50%</w:t>
            </w:r>
          </w:p>
        </w:tc>
        <w:tc>
          <w:tcPr>
            <w:tcW w:type="dxa" w:w="1984"/>
          </w:tcPr>
          <w:p>
            <w:r>
              <w:rPr>
                <w:sz w:val="17"/>
              </w:rPr>
              <w:t>≥50% (Sarjana)</w:t>
            </w:r>
          </w:p>
        </w:tc>
        <w:tc>
          <w:tcPr>
            <w:tcW w:type="dxa" w:w="1984"/>
          </w:tcPr>
          <w:p>
            <w:r>
              <w:rPr>
                <w:sz w:val="17"/>
              </w:rPr>
              <w:t>Melampaui kedua rujukan</w:t>
            </w:r>
          </w:p>
        </w:tc>
      </w:tr>
      <w:tr>
        <w:tc>
          <w:tcPr>
            <w:tcW w:type="dxa" w:w="2551"/>
          </w:tcPr>
          <w:p>
            <w:r>
              <w:rPr>
                <w:sz w:val="17"/>
              </w:rPr>
              <w:t>Rata-rata Lama Studi</w:t>
            </w:r>
          </w:p>
        </w:tc>
        <w:tc>
          <w:tcPr>
            <w:tcW w:type="dxa" w:w="1984"/>
          </w:tcPr>
          <w:p>
            <w:r>
              <w:rPr>
                <w:sz w:val="17"/>
              </w:rPr>
              <w:t>4 tahun</w:t>
            </w:r>
          </w:p>
        </w:tc>
        <w:tc>
          <w:tcPr>
            <w:tcW w:type="dxa" w:w="2268"/>
          </w:tcPr>
          <w:p>
            <w:r>
              <w:rPr>
                <w:sz w:val="17"/>
              </w:rPr>
              <w:t>3,5-4,5 tahun</w:t>
            </w:r>
          </w:p>
        </w:tc>
        <w:tc>
          <w:tcPr>
            <w:tcW w:type="dxa" w:w="1984"/>
          </w:tcPr>
          <w:p>
            <w:r>
              <w:rPr>
                <w:sz w:val="17"/>
              </w:rPr>
              <w:t>3,5-4,5 tahun</w:t>
            </w:r>
          </w:p>
        </w:tc>
        <w:tc>
          <w:tcPr>
            <w:tcW w:type="dxa" w:w="1984"/>
          </w:tcPr>
          <w:p>
            <w:r>
              <w:rPr>
                <w:sz w:val="17"/>
              </w:rPr>
              <w:t>Selaras penuh</w:t>
            </w:r>
          </w:p>
        </w:tc>
      </w:tr>
      <w:tr>
        <w:tc>
          <w:tcPr>
            <w:tcW w:type="dxa" w:w="2551"/>
          </w:tcPr>
          <w:p>
            <w:r>
              <w:rPr>
                <w:sz w:val="17"/>
              </w:rPr>
              <w:t>Rata-rata IPK Lulusan</w:t>
            </w:r>
          </w:p>
        </w:tc>
        <w:tc>
          <w:tcPr>
            <w:tcW w:type="dxa" w:w="1984"/>
          </w:tcPr>
          <w:p>
            <w:r>
              <w:rPr>
                <w:sz w:val="17"/>
              </w:rPr>
              <w:t>3,3</w:t>
            </w:r>
          </w:p>
        </w:tc>
        <w:tc>
          <w:tcPr>
            <w:tcW w:type="dxa" w:w="2268"/>
          </w:tcPr>
          <w:p>
            <w:r>
              <w:rPr>
                <w:sz w:val="17"/>
              </w:rPr>
              <w:t>≥3,25</w:t>
            </w:r>
          </w:p>
        </w:tc>
        <w:tc>
          <w:tcPr>
            <w:tcW w:type="dxa" w:w="1984"/>
          </w:tcPr>
          <w:p>
            <w:r>
              <w:rPr>
                <w:sz w:val="17"/>
              </w:rPr>
              <w:t>≥3,25</w:t>
            </w:r>
          </w:p>
        </w:tc>
        <w:tc>
          <w:tcPr>
            <w:tcW w:type="dxa" w:w="1984"/>
          </w:tcPr>
          <w:p>
            <w:r>
              <w:rPr>
                <w:sz w:val="17"/>
              </w:rPr>
              <w:t>Melampaui kedua rujukan</w:t>
            </w:r>
          </w:p>
        </w:tc>
      </w:tr>
      <w:tr>
        <w:tc>
          <w:tcPr>
            <w:tcW w:type="dxa" w:w="2551"/>
          </w:tcPr>
          <w:p>
            <w:r>
              <w:rPr>
                <w:sz w:val="17"/>
              </w:rPr>
              <w:t>Waktu Tunggu Kerja</w:t>
            </w:r>
          </w:p>
        </w:tc>
        <w:tc>
          <w:tcPr>
            <w:tcW w:type="dxa" w:w="1984"/>
          </w:tcPr>
          <w:p>
            <w:r>
              <w:rPr>
                <w:sz w:val="17"/>
              </w:rPr>
              <w:t>3 bulan</w:t>
            </w:r>
          </w:p>
        </w:tc>
        <w:tc>
          <w:tcPr>
            <w:tcW w:type="dxa" w:w="2268"/>
          </w:tcPr>
          <w:p>
            <w:r>
              <w:rPr>
                <w:sz w:val="17"/>
              </w:rPr>
              <w:t>≤3 bulan</w:t>
            </w:r>
          </w:p>
        </w:tc>
        <w:tc>
          <w:tcPr>
            <w:tcW w:type="dxa" w:w="1984"/>
          </w:tcPr>
          <w:p>
            <w:r>
              <w:rPr>
                <w:sz w:val="17"/>
              </w:rPr>
              <w:t>&lt;6 bulan</w:t>
            </w:r>
          </w:p>
        </w:tc>
        <w:tc>
          <w:tcPr>
            <w:tcW w:type="dxa" w:w="1984"/>
          </w:tcPr>
          <w:p>
            <w:r>
              <w:rPr>
                <w:sz w:val="17"/>
              </w:rPr>
              <w:t>Setara/melampaui</w:t>
            </w:r>
          </w:p>
        </w:tc>
      </w:tr>
      <w:tr>
        <w:tc>
          <w:tcPr>
            <w:tcW w:type="dxa" w:w="2551"/>
          </w:tcPr>
          <w:p>
            <w:r>
              <w:rPr>
                <w:sz w:val="17"/>
              </w:rPr>
              <w:t>Kesesuaian Bidang Kerja (PBS)</w:t>
            </w:r>
          </w:p>
        </w:tc>
        <w:tc>
          <w:tcPr>
            <w:tcW w:type="dxa" w:w="1984"/>
          </w:tcPr>
          <w:p>
            <w:r>
              <w:rPr>
                <w:sz w:val="17"/>
              </w:rPr>
              <w:t>55%</w:t>
            </w:r>
          </w:p>
        </w:tc>
        <w:tc>
          <w:tcPr>
            <w:tcW w:type="dxa" w:w="2268"/>
          </w:tcPr>
          <w:p>
            <w:r>
              <w:rPr>
                <w:sz w:val="17"/>
              </w:rPr>
              <w:t>≥60%</w:t>
            </w:r>
          </w:p>
        </w:tc>
        <w:tc>
          <w:tcPr>
            <w:tcW w:type="dxa" w:w="1984"/>
          </w:tcPr>
          <w:p>
            <w:r>
              <w:rPr>
                <w:sz w:val="17"/>
              </w:rPr>
              <w:t>≥60%</w:t>
            </w:r>
          </w:p>
        </w:tc>
        <w:tc>
          <w:tcPr>
            <w:tcW w:type="dxa" w:w="1984"/>
          </w:tcPr>
          <w:p>
            <w:r>
              <w:rPr>
                <w:sz w:val="17"/>
              </w:rPr>
              <w:t>DI BAWAH kedua rujukan (gap)</w:t>
            </w:r>
          </w:p>
        </w:tc>
      </w:tr>
      <w:tr>
        <w:tc>
          <w:tcPr>
            <w:tcW w:type="dxa" w:w="2551"/>
          </w:tcPr>
          <w:p>
            <w:r>
              <w:rPr>
                <w:sz w:val="17"/>
              </w:rPr>
              <w:t>Lulusan Tingkat Nasional/Internasional</w:t>
            </w:r>
          </w:p>
        </w:tc>
        <w:tc>
          <w:tcPr>
            <w:tcW w:type="dxa" w:w="1984"/>
          </w:tcPr>
          <w:p>
            <w:r>
              <w:rPr>
                <w:sz w:val="17"/>
              </w:rPr>
              <w:t>30%</w:t>
            </w:r>
          </w:p>
        </w:tc>
        <w:tc>
          <w:tcPr>
            <w:tcW w:type="dxa" w:w="2268"/>
          </w:tcPr>
          <w:p>
            <w:r>
              <w:rPr>
                <w:sz w:val="17"/>
              </w:rPr>
              <w:t>≥25% (gabungan 5%+20%)</w:t>
            </w:r>
          </w:p>
        </w:tc>
        <w:tc>
          <w:tcPr>
            <w:tcW w:type="dxa" w:w="1984"/>
          </w:tcPr>
          <w:p>
            <w:r>
              <w:rPr>
                <w:sz w:val="17"/>
              </w:rPr>
              <w:t>≥25% (gabungan 5%+20%)</w:t>
            </w:r>
          </w:p>
        </w:tc>
        <w:tc>
          <w:tcPr>
            <w:tcW w:type="dxa" w:w="1984"/>
          </w:tcPr>
          <w:p>
            <w:r>
              <w:rPr>
                <w:sz w:val="17"/>
              </w:rPr>
              <w:t>Melampaui kedua rujukan</w:t>
            </w:r>
          </w:p>
        </w:tc>
      </w:tr>
      <w:tr>
        <w:tc>
          <w:tcPr>
            <w:tcW w:type="dxa" w:w="2551"/>
          </w:tcPr>
          <w:p>
            <w:r>
              <w:rPr>
                <w:sz w:val="17"/>
              </w:rPr>
              <w:t>Kepuasan Pengguna Lulusan</w:t>
            </w:r>
          </w:p>
        </w:tc>
        <w:tc>
          <w:tcPr>
            <w:tcW w:type="dxa" w:w="1984"/>
          </w:tcPr>
          <w:p>
            <w:r>
              <w:rPr>
                <w:sz w:val="17"/>
              </w:rPr>
              <w:t>90%</w:t>
            </w:r>
          </w:p>
        </w:tc>
        <w:tc>
          <w:tcPr>
            <w:tcW w:type="dxa" w:w="2268"/>
          </w:tcPr>
          <w:p>
            <w:r>
              <w:rPr>
                <w:sz w:val="17"/>
              </w:rPr>
              <w:t>skala 7 aspek (metode beda)</w:t>
            </w:r>
          </w:p>
        </w:tc>
        <w:tc>
          <w:tcPr>
            <w:tcW w:type="dxa" w:w="1984"/>
          </w:tcPr>
          <w:p>
            <w:r>
              <w:rPr>
                <w:sz w:val="17"/>
              </w:rPr>
              <w:t>≥85% (7 aspek)</w:t>
            </w:r>
          </w:p>
        </w:tc>
        <w:tc>
          <w:tcPr>
            <w:tcW w:type="dxa" w:w="1984"/>
          </w:tcPr>
          <w:p>
            <w:r>
              <w:rPr>
                <w:sz w:val="17"/>
              </w:rPr>
              <w:t>Melampaui R5, metode R2 beda format</w:t>
            </w:r>
          </w:p>
        </w:tc>
      </w:tr>
      <w:tr>
        <w:tc>
          <w:tcPr>
            <w:tcW w:type="dxa" w:w="2551"/>
          </w:tcPr>
          <w:p>
            <w:r>
              <w:rPr>
                <w:sz w:val="17"/>
              </w:rPr>
              <w:t>Prestasi Mahasiswa (satuan)</w:t>
            </w:r>
          </w:p>
        </w:tc>
        <w:tc>
          <w:tcPr>
            <w:tcW w:type="dxa" w:w="1984"/>
          </w:tcPr>
          <w:p>
            <w:r>
              <w:rPr>
                <w:sz w:val="17"/>
              </w:rPr>
              <w:t>30-35 org/tahun (absolut)</w:t>
            </w:r>
          </w:p>
        </w:tc>
        <w:tc>
          <w:tcPr>
            <w:tcW w:type="dxa" w:w="2268"/>
          </w:tcPr>
          <w:p>
            <w:r>
              <w:rPr>
                <w:sz w:val="17"/>
              </w:rPr>
              <w:t>rasio % thd populasi</w:t>
            </w:r>
          </w:p>
        </w:tc>
        <w:tc>
          <w:tcPr>
            <w:tcW w:type="dxa" w:w="1984"/>
          </w:tcPr>
          <w:p>
            <w:r>
              <w:rPr>
                <w:sz w:val="17"/>
              </w:rPr>
              <w:t>rasio % thd populasi</w:t>
            </w:r>
          </w:p>
        </w:tc>
        <w:tc>
          <w:tcPr>
            <w:tcW w:type="dxa" w:w="1984"/>
          </w:tcPr>
          <w:p>
            <w:r>
              <w:rPr>
                <w:sz w:val="17"/>
              </w:rPr>
              <w:t>Beda metodologi, perlu konversi</w:t>
            </w:r>
          </w:p>
        </w:tc>
      </w:tr>
      <w:tr>
        <w:tc>
          <w:tcPr>
            <w:tcW w:type="dxa" w:w="2551"/>
          </w:tcPr>
          <w:p>
            <w:r>
              <w:rPr>
                <w:sz w:val="17"/>
              </w:rPr>
              <w:t>Sertifikasi Kompetensi (satuan)</w:t>
            </w:r>
          </w:p>
        </w:tc>
        <w:tc>
          <w:tcPr>
            <w:tcW w:type="dxa" w:w="1984"/>
          </w:tcPr>
          <w:p>
            <w:r>
              <w:rPr>
                <w:sz w:val="17"/>
              </w:rPr>
              <w:t>35 org/tahun (absolut)</w:t>
            </w:r>
          </w:p>
        </w:tc>
        <w:tc>
          <w:tcPr>
            <w:tcW w:type="dxa" w:w="2268"/>
          </w:tcPr>
          <w:p>
            <w:r>
              <w:rPr>
                <w:sz w:val="17"/>
              </w:rPr>
              <w:t>tidak ditemukan</w:t>
            </w:r>
          </w:p>
        </w:tc>
        <w:tc>
          <w:tcPr>
            <w:tcW w:type="dxa" w:w="1984"/>
          </w:tcPr>
          <w:p>
            <w:r>
              <w:rPr>
                <w:sz w:val="17"/>
              </w:rPr>
              <w:t>≥50% dari lulusan</w:t>
            </w:r>
          </w:p>
        </w:tc>
        <w:tc>
          <w:tcPr>
            <w:tcW w:type="dxa" w:w="1984"/>
          </w:tcPr>
          <w:p>
            <w:r>
              <w:rPr>
                <w:sz w:val="17"/>
              </w:rPr>
              <w:t>Beda metodologi, perlu konversi</w:t>
            </w:r>
          </w:p>
        </w:tc>
      </w:tr>
    </w:tbl>
    <w:p/>
    <w:p>
      <w:pPr>
        <w:pStyle w:val="Heading2"/>
      </w:pPr>
      <w:r>
        <w:rPr>
          <w:b/>
          <w:sz w:val="24"/>
        </w:rPr>
        <w:t>D. KESIMPULAN DAN REKOMENDASI</w:t>
      </w:r>
    </w:p>
    <w:p>
      <w:r>
        <w:rPr>
          <w:b/>
          <w:i w:val="0"/>
          <w:sz w:val="20"/>
        </w:rPr>
        <w:t>Kesimpulan Umum: Dokumen Standar Luaran Pendidikan FTII UNISBANK secara struktural dan substansial SUDAH SELARAS dengan kelima dokumen rujukan (Panduan SPMI Program Sarjana (R1), LAM Teknik, LAM INFOKOM, SPMI fakultas sejenis (R4), dan Standar Kompetensi Lulusan R5), khususnya pada aspek kebijakan profil lulusan/CPL/CPMK berbasis OBE, struktur kompetensi KKNI Level 6, mekanisme monitoring-evaluasi-AMI-PPEPP, serta pada sebagian besar target kuantitatif (lama studi, IPK, waktu tunggu kerja, kelulusan tepat waktu, sebaran kerja). Beberapa area memerlukan penyempurnaan sebagaimana dirinci berikut.</w:t>
      </w:r>
    </w:p>
    <w:p/>
    <w:p>
      <w:pPr>
        <w:pStyle w:val="ListNumber"/>
      </w:pPr>
      <w:r>
        <w:rPr>
          <w:sz w:val="20"/>
        </w:rPr>
        <w:t>Naikkan target Persentase Kesesuaian Bidang Kerja (PBS) FTII secara bertahap menuju ≥60% (saat ini 55% pada 2026/27), agar setara dengan ambang skor sempurna LAM Teknik dan ambang minimal R5 (Tema 8).</w:t>
      </w:r>
    </w:p>
    <w:p>
      <w:pPr>
        <w:pStyle w:val="ListNumber"/>
      </w:pPr>
      <w:r>
        <w:rPr>
          <w:sz w:val="20"/>
        </w:rPr>
        <w:t>Konversi metode pengukuran Prestasi Mahasiswa dan Sertifikasi Kompetensi dari angka absolut (jumlah orang/tahun) menjadi rasio/persentase terhadap populasi mahasiswa atau lulusan, agar dapat langsung dibandingkan dan dilaporkan sesuai format LKPS/LED LAM Teknik maupun LAM INFOKOM saat proses akreditasi (Tema 11 dan 12).</w:t>
      </w:r>
    </w:p>
    <w:p>
      <w:pPr>
        <w:pStyle w:val="ListNumber"/>
      </w:pPr>
      <w:r>
        <w:rPr>
          <w:sz w:val="20"/>
        </w:rPr>
        <w:t>Rinci secara eksplisit kelima aspek pelaksanaan Tracer Study (koordinasi tingkat universitas, keteraturan tahunan dan dokumentasi, kuesioner mencakup pertanyaan inti Dikti, target seluruh populasi lulusan TS-2 s.d. TS-1, dan pemanfaatan hasil untuk pengembangan kurikulum) ke dalam dokumen Standar Luaran Pendidikan FTII, karena kelima aspek ini adalah syarat skor maksimal pada LAM Teknik dan identik dengan rumusan R5 (Tema 13).</w:t>
      </w:r>
    </w:p>
    <w:p>
      <w:pPr>
        <w:pStyle w:val="ListNumber"/>
      </w:pPr>
      <w:r>
        <w:rPr>
          <w:sz w:val="20"/>
        </w:rPr>
        <w:t>Pisahkan pelaporan indikator 'Lulusan Bekerja Tingkat Nasional/Internasional' menjadi dua kategori terpisah (internasional dan nasional) dengan ambang masing-masing, mengikuti format LAM Teknik dan R5 (internasional ≥5%, nasional ≥20%), alih-alih satu angka gabungan, agar lebih mudah diverifikasi saat penyusunan borang akreditasi (Tema 9).</w:t>
      </w:r>
    </w:p>
    <w:p>
      <w:pPr>
        <w:pStyle w:val="ListNumber"/>
      </w:pPr>
      <w:r>
        <w:rPr>
          <w:sz w:val="20"/>
        </w:rPr>
        <w:t>Selaraskan format instrumen survei Kepuasan Pengguna Lulusan dengan skala 7 aspek dan format jawaban 'sangat baik/baik/cukup/kurang' yang digunakan LAM Teknik dan R5, agar hasil survei FTII dapat langsung dikonversi ke skor akreditasi tanpa pengukuran ulang (Tema 10).</w:t>
      </w:r>
    </w:p>
    <w:p>
      <w:pPr>
        <w:pStyle w:val="ListNumber"/>
      </w:pPr>
      <w:r>
        <w:rPr>
          <w:sz w:val="20"/>
        </w:rPr>
        <w:t>Pertimbangkan menambahkan rujukan eksplisit ke KKNI Level 6 dan istilah 'soft dan hard competence' (sebagaimana dirumuskan LAM INFOKOM) pada bagian definisi kompetensi lulusan FTII, untuk memperkuat keselarasan istilah saat asesmen LAM INFOKOM (Tema 3).</w:t>
      </w:r>
    </w:p>
    <w:p>
      <w:pPr>
        <w:pStyle w:val="ListNumber"/>
      </w:pPr>
      <w:r>
        <w:rPr>
          <w:sz w:val="20"/>
        </w:rPr>
        <w:t>Pertahankan dan dokumentasikan secara eksplisit target ketercapaian CPMK/CPL kuantitatif (70%→80%) dan target 100% pemetaan CPL-CPMK, karena ini merupakan praktik yang LEBIH BAIK dibanding keempat rujukan lain yang umumnya tidak menetapkan ambang persentase performa mahasiswa secara eksplisit — jadikan ini sebagai nilai tambah (bukan kekurangan) saat FTII diakreditasi (Tema 2).</w:t>
      </w:r>
    </w:p>
    <w:p/>
    <w:p>
      <w:pPr>
        <w:jc w:val="right"/>
      </w:pPr>
      <w:r>
        <w:rPr>
          <w:sz w:val="20"/>
        </w:rPr>
        <w:t>Disusun di Semarang pada tanggal 30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