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PEMETAAN STANDAR LUARAN PENELITIAN</w:t>
      </w:r>
    </w:p>
    <w:p>
      <w:r>
        <w:t>Fakultas Teknologi Informasi dan Industri (FTII) UNISBANK terhadap 5 Dokumen Rujukan Eksternal</w:t>
      </w:r>
    </w:p>
    <w:p>
      <w:pPr>
        <w:pStyle w:val="Heading1"/>
      </w:pPr>
      <w:r>
        <w:t>A. DOKUMEN YANG DIBANDINGKAN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Kode</w:t>
            </w:r>
          </w:p>
        </w:tc>
        <w:tc>
          <w:tcPr>
            <w:tcW w:type="dxa" w:w="2880"/>
          </w:tcPr>
          <w:p>
            <w:r>
              <w:t>Dokumen</w:t>
            </w:r>
          </w:p>
        </w:tc>
        <w:tc>
          <w:tcPr>
            <w:tcW w:type="dxa" w:w="2880"/>
          </w:tcPr>
          <w:p>
            <w:r>
              <w:t>Sumber / Institusi</w:t>
            </w:r>
          </w:p>
        </w:tc>
      </w:tr>
      <w:tr>
        <w:tc>
          <w:tcPr>
            <w:tcW w:type="dxa" w:w="2880"/>
          </w:tcPr>
          <w:p>
            <w:r>
              <w:t>FTII</w:t>
            </w:r>
          </w:p>
        </w:tc>
        <w:tc>
          <w:tcPr>
            <w:tcW w:type="dxa" w:w="2880"/>
          </w:tcPr>
          <w:p>
            <w:r>
              <w:t>Standar Luaran Penelitian FTII UNISBANK (ditetapkan 24 Desember 2024)</w:t>
            </w:r>
          </w:p>
        </w:tc>
        <w:tc>
          <w:tcPr>
            <w:tcW w:type="dxa" w:w="2880"/>
          </w:tcPr>
          <w:p>
            <w:r>
              <w:t>Fakultas Teknologi Informasi dan Industri, Universitas Stikubank (UNISBANK) Semarang — dokumen yang dipetakan</w:t>
            </w:r>
          </w:p>
        </w:tc>
      </w:tr>
      <w:tr>
        <w:tc>
          <w:tcPr>
            <w:tcW w:type="dxa" w:w="2880"/>
          </w:tcPr>
          <w:p>
            <w:r>
              <w:t>R1</w:t>
            </w:r>
          </w:p>
        </w:tc>
        <w:tc>
          <w:tcPr>
            <w:tcW w:type="dxa" w:w="2880"/>
          </w:tcPr>
          <w:p>
            <w:r>
              <w:t>Dokumen Panduan SPMI Program Sarjana dan Sarjana Terapan - 2024</w:t>
            </w:r>
          </w:p>
        </w:tc>
        <w:tc>
          <w:tcPr>
            <w:tcW w:type="dxa" w:w="2880"/>
          </w:tcPr>
          <w:p>
            <w:r>
              <w:t>Panduan SPMI Program Sarjana dan Sarjana Terapan — memuat matriks indikator Standar 7 (Penelitian) dan Standar 9 (Luaran dan Capaian Tridharma), selaras lintas lembaga akreditasi (BANPT, LAMSAMA, LAMTEKNIK, LAMINFOKOM, LAMEMBA)</w:t>
            </w:r>
          </w:p>
        </w:tc>
      </w:tr>
      <w:tr>
        <w:tc>
          <w:tcPr>
            <w:tcW w:type="dxa" w:w="2880"/>
          </w:tcPr>
          <w:p>
            <w:r>
              <w:t>R2</w:t>
            </w:r>
          </w:p>
        </w:tc>
        <w:tc>
          <w:tcPr>
            <w:tcW w:type="dxa" w:w="2880"/>
          </w:tcPr>
          <w:p>
            <w:r>
              <w:t>Matriks Penilaian Laporan Evaluasi Diri dan Laporan Kinerja Program Studi - Program Sarjana (APS-AV 2025 1.0)</w:t>
            </w:r>
          </w:p>
        </w:tc>
        <w:tc>
          <w:tcPr>
            <w:tcW w:type="dxa" w:w="2880"/>
          </w:tcPr>
          <w:p>
            <w:r>
              <w:t>Lembaga Akreditasi Mandiri Teknik (LAM Teknik)</w:t>
            </w:r>
          </w:p>
        </w:tc>
      </w:tr>
      <w:tr>
        <w:tc>
          <w:tcPr>
            <w:tcW w:type="dxa" w:w="2880"/>
          </w:tcPr>
          <w:p>
            <w:r>
              <w:t>R3</w:t>
            </w:r>
          </w:p>
        </w:tc>
        <w:tc>
          <w:tcPr>
            <w:tcW w:type="dxa" w:w="2880"/>
          </w:tcPr>
          <w:p>
            <w:r>
              <w:t>Standar untuk Memperoleh Status Terakreditasi Unggul bagi Program Studi yang Tercakup dalam LAM INFOKOM</w:t>
            </w:r>
          </w:p>
        </w:tc>
        <w:tc>
          <w:tcPr>
            <w:tcW w:type="dxa" w:w="2880"/>
          </w:tcPr>
          <w:p>
            <w:r>
              <w:t>Lembaga Akreditasi Mandiri Informatika dan Komputer (LAM INFOKOM) — Lampiran Peraturan BAN-PT No. 39 Tahun 2025, Kriteria 3 Relevansi Penelitian</w:t>
            </w:r>
          </w:p>
        </w:tc>
      </w:tr>
      <w:tr>
        <w:tc>
          <w:tcPr>
            <w:tcW w:type="dxa" w:w="2880"/>
          </w:tcPr>
          <w:p>
            <w:r>
              <w:t>R4</w:t>
            </w:r>
          </w:p>
        </w:tc>
        <w:tc>
          <w:tcPr>
            <w:tcW w:type="dxa" w:w="2880"/>
          </w:tcPr>
          <w:p>
            <w:r>
              <w:t>Standar Luaran Hasil Penelitian (Dokumen SPMI lengkap, Bidang Penelitian)</w:t>
            </w:r>
          </w:p>
        </w:tc>
        <w:tc>
          <w:tcPr>
            <w:tcW w:type="dxa" w:w="2880"/>
          </w:tcPr>
          <w:p>
            <w:r>
              <w:t>Dokumen SPMI Fakultas sejenis (171 halaman)</w:t>
            </w:r>
          </w:p>
        </w:tc>
      </w:tr>
      <w:tr>
        <w:tc>
          <w:tcPr>
            <w:tcW w:type="dxa" w:w="2880"/>
          </w:tcPr>
          <w:p>
            <w:r>
              <w:t>R5</w:t>
            </w:r>
          </w:p>
        </w:tc>
        <w:tc>
          <w:tcPr>
            <w:tcW w:type="dxa" w:w="2880"/>
          </w:tcPr>
          <w:p>
            <w:r>
              <w:t>Buku Standar Hasil Penelitian</w:t>
            </w:r>
          </w:p>
        </w:tc>
        <w:tc>
          <w:tcPr>
            <w:tcW w:type="dxa" w:w="2880"/>
          </w:tcPr>
          <w:p>
            <w:r>
              <w:t>Praktik baik SPMI perguruan tinggi rujukan R5, Bab 1-9 (Rasional, Definisi, Pernyataan Isi Standar, Indikator Pencapaian, Strategi Pencapaian)</w:t>
            </w:r>
          </w:p>
        </w:tc>
      </w:tr>
    </w:tbl>
    <w:p/>
    <w:p>
      <w:r>
        <w:t>Catatan metodologis: pemetaan disusun berdasarkan ekstraksi teks langsung dari kelima dokumen rujukan (bukan ringkasan pihak ketiga) menggunakan pdftotext, dan dari isi lengkap dokumen Standar Luaran Penelitian FTII (18 pernyataan standar, 10 Indikator Kinerja Utama/IKU, 2 Indikator Kinerja Tambahan/IKT, 17 strategi pencapaian). Kutipan pada tabel di bawah diringkas dari teks asli masing-masing dokumen. Nama perguruan tinggi pembanding tidak dicantumkan secara eksplisit; LAM Teknik dan LAM INFOKOM disebut eksplisit karena merupakan lembaga akreditasi nasional, bukan institusi pembanding.</w:t>
      </w:r>
    </w:p>
    <w:p>
      <w:pPr>
        <w:pStyle w:val="Heading1"/>
      </w:pPr>
      <w:r>
        <w:t>B. PEMETAAN PER TEMA STANDAR</w:t>
      </w:r>
    </w:p>
    <w:p>
      <w:pPr>
        <w:pStyle w:val="Heading2"/>
      </w:pPr>
      <w:r>
        <w:t>Tema 1. Persentase Publikasi Hasil Penelitian dari Penelitian yang Didanai</w:t>
      </w:r>
    </w:p>
    <w:p>
      <w:r>
        <w:t>Ketentuan FTII UNISBANK: Draft FTII memuat DUA baris indikator dengan nama nyaris identik namun target berbeda: (No.5) "Persentase publikasi hasil penelitian dari seluruh penelitian yang didanai" ditargetkan 90% (2023/24-2024/25) naik ke 95% (2025/26-2026/27); dan (No.7) indikator dengan nama teks identik ditargetkan tetap 100% di semua tahun. Pernyataan Standar No.6 menyebut ambang 90%-&gt;95%.</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eksplisit "persentase penelitian didanai yang menghasilkan publikasi" pada bagian yang diekstrak (Standar 7 dan Standar 9 fokus pada rasio jumlah penelitian/publikasi per dosen atau per mahasiswa, bukan pada tingkat keberhasilan publikasi dari penelitian yang didanai).</w:t>
            </w:r>
          </w:p>
        </w:tc>
      </w:tr>
      <w:tr>
        <w:tc>
          <w:tcPr>
            <w:tcW w:type="dxa" w:w="4320"/>
          </w:tcPr>
          <w:p>
            <w:r>
              <w:t>R2</w:t>
            </w:r>
          </w:p>
        </w:tc>
        <w:tc>
          <w:tcPr>
            <w:tcW w:type="dxa" w:w="4320"/>
          </w:tcPr>
          <w:p>
            <w:r>
              <w:t>Tidak ditemukan butir yang secara spesifik mengukur "persentase penelitian didanai yang berhasil dipublikasikan"; LAM Teknik mengukur luaran publikasi sebagai rasio jumlah publikasi per DTPS (Butir 33), bukan sebagai tingkat keberhasilan per proyek penelitian.</w:t>
            </w:r>
          </w:p>
        </w:tc>
      </w:tr>
      <w:tr>
        <w:tc>
          <w:tcPr>
            <w:tcW w:type="dxa" w:w="4320"/>
          </w:tcPr>
          <w:p>
            <w:r>
              <w:t>R3</w:t>
            </w:r>
          </w:p>
        </w:tc>
        <w:tc>
          <w:tcPr>
            <w:tcW w:type="dxa" w:w="4320"/>
          </w:tcPr>
          <w:p>
            <w:r>
              <w:t>Kriteria 3 Relevansi Penelitian menilai "Publikasi baik lingkup lokal, nasional, internasional" sebagai salah satu dari 5 aspek skor deskriptif; tidak ada ambang persentase penelitian-yang-dipublikasikan yang eksplisit.</w:t>
            </w:r>
          </w:p>
        </w:tc>
      </w:tr>
      <w:tr>
        <w:tc>
          <w:tcPr>
            <w:tcW w:type="dxa" w:w="4320"/>
          </w:tcPr>
          <w:p>
            <w:r>
              <w:t>R4</w:t>
            </w:r>
          </w:p>
        </w:tc>
        <w:tc>
          <w:tcPr>
            <w:tcW w:type="dxa" w:w="4320"/>
          </w:tcPr>
          <w:p>
            <w:r>
              <w:t>Indikator No.2: "Persentase publikasi hasil penelitian terhadap jumlah penelitian yang didanai" ditetapkan 100% pada seluruh tahun (2023-2026) — definisi identik dengan indikator FTII.</w:t>
            </w:r>
          </w:p>
        </w:tc>
      </w:tr>
      <w:tr>
        <w:tc>
          <w:tcPr>
            <w:tcW w:type="dxa" w:w="4320"/>
          </w:tcPr>
          <w:p>
            <w:r>
              <w:t>R5</w:t>
            </w:r>
          </w:p>
        </w:tc>
        <w:tc>
          <w:tcPr>
            <w:tcW w:type="dxa" w:w="4320"/>
          </w:tcPr>
          <w:p>
            <w:r>
              <w:t>Tidak menetapkan ambang "persentase penelitian didanai yang dipublikasikan"; sebagai gantinya mewajibkan setiap dosen menghasilkan minimal 1 karya ilmiah terpublikasi per tahun (Bab 4 Pernyataan Isi Standar No.3), yaitu ambang berbasis individu dosen, bukan berbasis proyek penelitian.</w:t>
            </w:r>
          </w:p>
        </w:tc>
      </w:tr>
    </w:tbl>
    <w:p/>
    <w:p>
      <w:r>
        <w:t>Analisis Kesesuaian: INKONSISTENSI INTERNAL TERIDENTIFIKASI — draft FTII memuat dua baris IKU dengan nama indikator yang sama persis ("Persentase publikasi hasil penelitian dari seluruh penelitian yang didanai") tetapi nilai target berbeda (90%-&gt;95% pada No.5, dan 100% pada No.7); ini kemungkinan duplikasi entri yang belum disatukan. Dibandingkan dengan R4 yang mendefinisikan indikator identik dengan ambang tetap 100%, baris No.7 draft FTII (100%) SUDAH SELARAS PENUH, sedangkan baris No.5 (90-95%) BELUM mencapai ambang tersebut. REKOMENDASI PRIORITAS: satukan kedua baris menjadi satu indikator dengan target 100% seperti R4, dan hapus duplikasi.</w:t>
      </w:r>
    </w:p>
    <w:p>
      <w:pPr>
        <w:pStyle w:val="Heading2"/>
      </w:pPr>
      <w:r>
        <w:t>Tema 2. Kewajiban Setiap Hibah Menghasilkan Luaran Artikel Ilmiah</w:t>
      </w:r>
    </w:p>
    <w:p>
      <w:r>
        <w:t>Ketentuan FTII UNISBANK: Setiap hibah penelitian wajib menghasilkan paling sedikit satu luaran artikel ilmiah (Pernyataan Standar No.7); IKU No.6 menetapkan target tetap "1" luaran artikel per hibah pada seluruh tahun 2023/2024-2026/2027 (tidak meningkat).</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ambang "luaran artikel per hibah" secara eksplisit pada bagian yang diekstrak.</w:t>
            </w:r>
          </w:p>
        </w:tc>
      </w:tr>
      <w:tr>
        <w:tc>
          <w:tcPr>
            <w:tcW w:type="dxa" w:w="4320"/>
          </w:tcPr>
          <w:p>
            <w:r>
              <w:t>R2</w:t>
            </w:r>
          </w:p>
        </w:tc>
        <w:tc>
          <w:tcPr>
            <w:tcW w:type="dxa" w:w="4320"/>
          </w:tcPr>
          <w:p>
            <w:r>
              <w:t>Tidak ditemukan butir yang secara spesifik mensyaratkan jumlah luaran per hibah/skema pendanaan; LAM Teknik mengukur luaran secara agregat per DTPS dalam 3 tahun (Butir 33-34), bukan per judul hibah.</w:t>
            </w:r>
          </w:p>
        </w:tc>
      </w:tr>
      <w:tr>
        <w:tc>
          <w:tcPr>
            <w:tcW w:type="dxa" w:w="4320"/>
          </w:tcPr>
          <w:p>
            <w:r>
              <w:t>R4</w:t>
            </w:r>
          </w:p>
        </w:tc>
        <w:tc>
          <w:tcPr>
            <w:tcW w:type="dxa" w:w="4320"/>
          </w:tcPr>
          <w:p>
            <w:r>
              <w:t>Sejalan secara konsep dengan Indikator No.2 (100% penelitian didanai wajib menghasilkan publikasi), yang secara implisit mensyaratkan lebih dari sekadar "1 luaran" — seluruh penelitian yang didanai harus menghasilkan publikasi.</w:t>
            </w:r>
          </w:p>
        </w:tc>
      </w:tr>
      <w:tr>
        <w:tc>
          <w:tcPr>
            <w:tcW w:type="dxa" w:w="4320"/>
          </w:tcPr>
          <w:p>
            <w:r>
              <w:t>R5</w:t>
            </w:r>
          </w:p>
        </w:tc>
        <w:tc>
          <w:tcPr>
            <w:tcW w:type="dxa" w:w="4320"/>
          </w:tcPr>
          <w:p>
            <w:r>
              <w:t>Bab 4 Pernyataan Isi Standar No.3: setiap dosen wajib menghasilkan minimal 1 karya ilmiah terpublikasi per tahun — ambang berbasis dosen/tahun, bukan berbasis judul hibah, sehingga tidak dapat dibandingkan 1:1 dengan ambang FTII.</w:t>
            </w:r>
          </w:p>
        </w:tc>
      </w:tr>
    </w:tbl>
    <w:p/>
    <w:p>
      <w:r>
        <w:t>Analisis Kesesuaian: GAP METODOLOGIS DAN TARGET STATIS — ambang FTII "1 luaran per hibah" tidak meningkat dari tahun ke tahun (statis 2023/2024-2026/2027), berbeda dengan pola penguatan bertahap pada indikator FTII lainnya. Selain itu, satuan "per hibah" tidak dapat langsung dibandingkan dengan satuan "per dosen/tahun" yang dipakai R5. REKOMENDASI: pertimbangkan menambahkan ambang pendamping berbasis "rata-rata jumlah publikasi per dosen per tahun" (mengikuti pola R5, ambang 0,5-0,78 tergantung jenis jurnal) agar terukur dan sebanding saat pelaporan akreditasi.</w:t>
      </w:r>
    </w:p>
    <w:p>
      <w:pPr>
        <w:pStyle w:val="Heading2"/>
      </w:pPr>
      <w:r>
        <w:t>Tema 3. Persentase Publikasi Ilmiah Bersama Mahasiswa (Co-Author)</w:t>
      </w:r>
    </w:p>
    <w:p>
      <w:r>
        <w:t>Ketentuan FTII UNISBANK: Persentase publikasi ilmiah yang melibatkan mahasiswa sebagai penulis atau anggota tim penelitian paling sedikit 70% (2023/24-2024/25), meningkat menjadi 75% (2025/26-2026/27).</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9.11-9.12 mengatur luaran publikasi dan luaran penelitian/PkM MAHASISWA sebagai rasio terhadap jumlah mahasiswa (NM) pada tahun berjalan — bukan sebagai persentase publikasi DOSEN yang melibatkan mahasiswa; basis pengukuran berbeda dari indikator FTII.</w:t>
            </w:r>
          </w:p>
        </w:tc>
      </w:tr>
      <w:tr>
        <w:tc>
          <w:tcPr>
            <w:tcW w:type="dxa" w:w="4320"/>
          </w:tcPr>
          <w:p>
            <w:r>
              <w:t>R2</w:t>
            </w:r>
          </w:p>
        </w:tc>
        <w:tc>
          <w:tcPr>
            <w:tcW w:type="dxa" w:w="4320"/>
          </w:tcPr>
          <w:p>
            <w:r>
              <w:t>Tidak ditemukan butir spesifik yang mengukur "persentase publikasi DTPS yang melibatkan mahasiswa sebagai co-author" pada bagian yang diekstrak; LAM Teknik memiliki butir terpisah untuk luaran mahasiswa (No.46-47) dengan basis rasio terhadap jumlah mahasiswa, sama seperti R1.</w:t>
            </w:r>
          </w:p>
        </w:tc>
      </w:tr>
      <w:tr>
        <w:tc>
          <w:tcPr>
            <w:tcW w:type="dxa" w:w="4320"/>
          </w:tcPr>
          <w:p>
            <w:r>
              <w:t>R3</w:t>
            </w:r>
          </w:p>
        </w:tc>
        <w:tc>
          <w:tcPr>
            <w:tcW w:type="dxa" w:w="4320"/>
          </w:tcPr>
          <w:p>
            <w:r>
              <w:t>Kriteria 3 aspek 2 "Pelibatan mahasiswa" dinilai secara deskriptif kualitatif (skor bertingkat berdasarkan cakupan aspek), bukan sebagai ambang persentase.</w:t>
            </w:r>
          </w:p>
        </w:tc>
      </w:tr>
      <w:tr>
        <w:tc>
          <w:tcPr>
            <w:tcW w:type="dxa" w:w="4320"/>
          </w:tcPr>
          <w:p>
            <w:r>
              <w:t>R5</w:t>
            </w:r>
          </w:p>
        </w:tc>
        <w:tc>
          <w:tcPr>
            <w:tcW w:type="dxa" w:w="4320"/>
          </w:tcPr>
          <w:p>
            <w:r>
              <w:t>Tidak ditemukan ambang "persentase publikasi dosen yang melibatkan mahasiswa"; sebagai gantinya mewajibkan setiap mahasiswa Sarjana/Magister/Doktor menghasilkan minimal 1 karya ilmiah publikasi sendiri (Bab 4 No.4) — pendekatan berbeda (luaran mahasiswa independen, bukan keterlibatan dalam publikasi dosen).</w:t>
            </w:r>
          </w:p>
        </w:tc>
      </w:tr>
    </w:tbl>
    <w:p/>
    <w:p>
      <w:r>
        <w:t>Analisis Kesesuaian: FTII UNGGUL SECARA METODOLOGIS namun TIDAK TERVERIFIKASI LANGSUNG — FTII adalah satu-satunya dari kelima rujukan yang menetapkan ambang eksplisit "persentase publikasi dosen yang melibatkan mahasiswa sebagai co-author", sebuah metrik yang relevan dengan prinsip pembimbingan riset mahasiswa namun tidak muncul identik pada R1-R5 (yang mengukur luaran mahasiswa secara independen/rasio populasi, bukan sebagai keterlibatan co-authorship). Ini merupakan praktik baik FTII yang layak dipertahankan, tetapi ambang 70-75% perlu didokumentasikan sumber metodologi penghitungannya (persentase dari basis apa) agar dapat diverifikasi saat asesmen.</w:t>
      </w:r>
    </w:p>
    <w:p>
      <w:pPr>
        <w:pStyle w:val="Heading2"/>
      </w:pPr>
      <w:r>
        <w:t>Tema 4. Publikasi pada Jurnal Internasional (termasuk Bereputasi)</w:t>
      </w:r>
    </w:p>
    <w:p>
      <w:r>
        <w:t>Ketentuan FTII UNISBANK: Persentase publikasi hasil penelitian pada jurnal internasional paling sedikit 8% (2023/24-2024/25), meningkat menjadi 10% (2025/26-2026/27); FTII tidak memisahkan kategori "internasional biasa" dan "internasional bereputasi" secara terpisah dalam IKU.</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R2</w:t>
            </w:r>
          </w:p>
        </w:tc>
        <w:tc>
          <w:tcPr>
            <w:tcW w:type="dxa" w:w="4320"/>
          </w:tcPr>
          <w:p>
            <w:r>
              <w:t>Butir 33: skor sempurna (4) jika rasio publikasi internasional bereputasi/prosiding Scopus per DTPS dalam 3 tahun (RI) &gt; 0,5 DAN rasio nasional+internasional per DTPS (RN) &gt; 1 — setara kurang lebih 0,17/dosen/tahun untuk kategori bereputasi tertinggi. Basis pengukuran: rasio per DTPS, bukan persentase dari total publikasi.</w:t>
            </w:r>
          </w:p>
        </w:tc>
      </w:tr>
      <w:tr>
        <w:tc>
          <w:tcPr>
            <w:tcW w:type="dxa" w:w="4320"/>
          </w:tcPr>
          <w:p>
            <w:r>
              <w:t>R4</w:t>
            </w:r>
          </w:p>
        </w:tc>
        <w:tc>
          <w:tcPr>
            <w:tcW w:type="dxa" w:w="4320"/>
          </w:tcPr>
          <w:p>
            <w:r>
              <w:t>Indikator No.4: persentase publikasi pada jurnal internasional (seluruh jenis) terhadap jumlah penelitian yang didanai paling sedikit 20% pada seluruh tahun. Indikator No.5: persentase publikasi pada jurnal internasional BEREPUTASI terhadap jumlah penelitian yang didanai paling sedikit 10% — kedua kategori dipisah secara eksplisit.</w:t>
            </w:r>
          </w:p>
        </w:tc>
      </w:tr>
      <w:tr>
        <w:tc>
          <w:tcPr>
            <w:tcW w:type="dxa" w:w="4320"/>
          </w:tcPr>
          <w:p>
            <w:r>
              <w:t>R5</w:t>
            </w:r>
          </w:p>
        </w:tc>
        <w:tc>
          <w:tcPr>
            <w:tcW w:type="dxa" w:w="4320"/>
          </w:tcPr>
          <w:p>
            <w:r>
              <w:t>Bab 5 No.2.a-b: rata-rata publikasi jurnal internasional bereputasi minimal 0,78/dosen/tahun; jurnal internasional (non-bereputasi) minimal 0,57/dosen/tahun — basis rasio per dosen per tahun, bukan persentase dari total publikasi atau dari jumlah penelitian didanai.</w:t>
            </w:r>
          </w:p>
        </w:tc>
      </w:tr>
    </w:tbl>
    <w:p/>
    <w:p>
      <w:r>
        <w:t>Analisis Kesesuaian: GAP TERIDENTIFIKASI PADA PEMISAHAN KATEGORI DAN KEMUNGKINAN GAP NILAI — ambang akhir FTII untuk publikasi internasional (10%) KEBETULAN SAMA dengan ambang R4 untuk kategori "internasional bereputasi" (≥10%), namun FTII tidak memisahkan kategori bereputasi dari internasional biasa seperti R4 (≥20% untuk seluruh jenis internasional, ≥10% khusus bereputasi). Jika 8-10% FTII dimaksudkan sebagai gabungan seluruh publikasi internasional, maka nilai ini BERADA DI BAWAH ambang R4 (≥20%) untuk kategori gabungan. Basis pengukuran (persentase dari total publikasi vs dari jumlah penelitian didanai vs rasio per dosen) juga berbeda antar dokumen sehingga kesetaraan tidak dapat dipastikan tanpa data pendukung. REKOMENDASI PRIORITAS: pecah indikator FTII menjadi (a) % publikasi internasional seluruh jenis terhadap jumlah penelitian didanai — target menuju ≥20% (mengikuti R4), dan (b) % publikasi internasional bereputasi terhadap jumlah penelitian didanai — target menuju ≥10% (sudah sesuai R4).</w:t>
      </w:r>
    </w:p>
    <w:p>
      <w:pPr>
        <w:pStyle w:val="Heading2"/>
      </w:pPr>
      <w:r>
        <w:t>Tema 5. Publikasi pada Jurnal Nasional (termasuk Terakreditasi)</w:t>
      </w:r>
    </w:p>
    <w:p>
      <w:r>
        <w:t>Ketentuan FTII UNISBANK: Persentase publikasi hasil penelitian pada jurnal nasional dibanding total jurnal paling sedikit 80% (2023/24), meningkat menjadi 85% (2025/26-2026/27); FTII tidak memisahkan jurnal nasional terakreditasi dari jurnal nasional non-terakreditasi.</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R2</w:t>
            </w:r>
          </w:p>
        </w:tc>
        <w:tc>
          <w:tcPr>
            <w:tcW w:type="dxa" w:w="4320"/>
          </w:tcPr>
          <w:p>
            <w:r>
              <w:t>Butir 33 memasukkan publikasi jurnal nasional terakreditasi (NA2) dan jurnal nasional tidak terakreditasi (NA1) dalam komponen rasio RN dan RW yang berbeda bobot pengalinya, menunjukkan pembedaan mutu jurnal nasional turut dinilai, bukan digabung sebagai satu kategori "jurnal nasional".</w:t>
            </w:r>
          </w:p>
        </w:tc>
      </w:tr>
      <w:tr>
        <w:tc>
          <w:tcPr>
            <w:tcW w:type="dxa" w:w="4320"/>
          </w:tcPr>
          <w:p>
            <w:r>
              <w:t>R4</w:t>
            </w:r>
          </w:p>
        </w:tc>
        <w:tc>
          <w:tcPr>
            <w:tcW w:type="dxa" w:w="4320"/>
          </w:tcPr>
          <w:p>
            <w:r>
              <w:t>Indikator No.3: persentase publikasi pada jurnal nasional TERAKREDITASI terhadap jumlah penelitian yang didanai paling sedikit 30% pada seluruh tahun — basis pengukuran berbeda (terhadap jumlah penelitian didanai, bukan terhadap total jurnal) dan secara eksplisit mensyaratkan status "terakreditasi", bukan jurnal nasional sembarang.</w:t>
            </w:r>
          </w:p>
        </w:tc>
      </w:tr>
      <w:tr>
        <w:tc>
          <w:tcPr>
            <w:tcW w:type="dxa" w:w="4320"/>
          </w:tcPr>
          <w:p>
            <w:r>
              <w:t>R5</w:t>
            </w:r>
          </w:p>
        </w:tc>
        <w:tc>
          <w:tcPr>
            <w:tcW w:type="dxa" w:w="4320"/>
          </w:tcPr>
          <w:p>
            <w:r>
              <w:t>Bab 5 No.2.c-d: rata-rata publikasi jurnal nasional terakreditasi minimal 0,7/dosen/tahun; jurnal nasional (umum) minimal 0,5/dosen/tahun — kembali basis rasio per dosen per tahun, dengan pembedaan status akreditasi jurnal.</w:t>
            </w:r>
          </w:p>
        </w:tc>
      </w:tr>
    </w:tbl>
    <w:p/>
    <w:p>
      <w:r>
        <w:t>Analisis Kesesuaian: GAP METODOLOGIS GANDA — (1) FTII mengukur "persentase publikasi nasional dari TOTAL JURNAL yang dipublikasikan" (80-85%), sedangkan R4 mengukur "persentase publikasi nasional TERAKREDITASI dari JUMLAH PENELITIAN YANG DIDANAI" (≥30%) dan R5 memakai rasio per dosen per tahun — ketiganya memiliki basis pembagi yang berbeda sehingga tidak bisa dibandingkan langsung; (2) FTII TIDAK MEMBEDAKAN status akreditasi jurnal nasional, padahal ketiga rujukan R2/R4/R5 secara konsisten memisahkan jurnal nasional terakreditasi dari jurnal nasional biasa dengan bobot/ambang berbeda. REKOMENDASI PRIORITAS: (a) tambahkan indikator terpisah "persentase publikasi pada jurnal nasional TERAKREDITASI terhadap jumlah penelitian yang didanai" dengan target menuju ≥30% mengikuti R4; (b) pertimbangkan basis pengukuran tambahan berbasis rasio per dosen per tahun agar sebanding dengan R5.</w:t>
      </w:r>
    </w:p>
    <w:p>
      <w:pPr>
        <w:pStyle w:val="Heading2"/>
      </w:pPr>
      <w:r>
        <w:t>Tema 6. Hak Kekayaan Intelektual (HKI)</w:t>
      </w:r>
    </w:p>
    <w:p>
      <w:r>
        <w:t>Ketentuan FTII UNISBANK: Jumlah luaran penelitian yang memperoleh HKI (disebut sebagai "Hak Cipta" pada IKU No.10) ditargetkan 10 (2023/24), naik menjadi 12, 14, dan 16 (2026/27) — angka absolut tingkat fakultas, tanpa pemisahan jenis HKI (paten vs non-paten).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R2</w:t>
            </w:r>
          </w:p>
        </w:tc>
        <w:tc>
          <w:tcPr>
            <w:tcW w:type="dxa" w:w="4320"/>
          </w:tcPr>
          <w:p>
            <w:r>
              <w:t>Butir 34: skor sempurna (4) jika RLP = ((3×NPaten)+2×(NTTG+NBC)+NHKI))/NDTPS ≥ 3 dalam 3 tahun terakhir — paten diberi bobot tertinggi (×3), menunjukkan HKI jenis paten dinilai lebih bernilai dibanding HKI non-paten (Hak Cipta) yang FTII jadikan satu-satunya kategori HKI dalam IKU.</w:t>
            </w:r>
          </w:p>
        </w:tc>
      </w:tr>
      <w:tr>
        <w:tc>
          <w:tcPr>
            <w:tcW w:type="dxa" w:w="4320"/>
          </w:tcPr>
          <w:p>
            <w:r>
              <w:t>R3</w:t>
            </w:r>
          </w:p>
        </w:tc>
        <w:tc>
          <w:tcPr>
            <w:tcW w:type="dxa" w:w="4320"/>
          </w:tcPr>
          <w:p>
            <w:r>
              <w:t>Kriteria 3 aspek 4 "Perolehan HKI" merupakan salah satu dari 5 aspek yang wajib dipenuhi penuh untuk mencapai skor tertinggi status Unggul (dinilai deskriptif, bukan angka).</w:t>
            </w:r>
          </w:p>
        </w:tc>
      </w:tr>
      <w:tr>
        <w:tc>
          <w:tcPr>
            <w:tcW w:type="dxa" w:w="4320"/>
          </w:tcPr>
          <w:p>
            <w:r>
              <w:t>R4</w:t>
            </w:r>
          </w:p>
        </w:tc>
        <w:tc>
          <w:tcPr>
            <w:tcW w:type="dxa" w:w="4320"/>
          </w:tcPr>
          <w:p>
            <w:r>
              <w:t>Indikator No.8: jumlah luaran HKI Paten/Paten Sederhana paling sedikit 3 per tahun (tingkat fakultas). Indikator No.9: jumlah luaran HKI non-paten (Hak Cipta, Desain Industri, PVT, DTLST, dll.) paling sedikit 10 per tahun — kedua kategori HKI dipisah secara eksplisit dengan ambang absolut tingkat fakultas, satuan yang identik dengan pendekatan FTII (angka absolut, bukan rasio).</w:t>
            </w:r>
          </w:p>
        </w:tc>
      </w:tr>
      <w:tr>
        <w:tc>
          <w:tcPr>
            <w:tcW w:type="dxa" w:w="4320"/>
          </w:tcPr>
          <w:p>
            <w:r>
              <w:t>R5</w:t>
            </w:r>
          </w:p>
        </w:tc>
        <w:tc>
          <w:tcPr>
            <w:tcW w:type="dxa" w:w="4320"/>
          </w:tcPr>
          <w:p>
            <w:r>
              <w:t>Bab 5 No.2.h: minimal 5% program penelitian menghasilkan luaran HKI (paten, paten sederhana, PVT, hak cipta, merek dagang, rahasia dagang, desain produk industri, indikasi geografis, perlindungan topografi sirkuit terpadu — 9 jenis); Bab 5 No.6: luaran berupa modul/buku ajar/monograf yang didaftarkan HKI minimal 1 per tahun.</w:t>
            </w:r>
          </w:p>
        </w:tc>
      </w:tr>
    </w:tbl>
    <w:p/>
    <w:p>
      <w:r>
        <w:t>Analisis Kesesuaian: GAP PEMISAHAN JENIS HKI — FTII menetapkan satu angka gabungan "Hak Cipta" (10→16/tahun) tanpa memisahkan kategori Paten dari Non-Paten, padahal R4 (rujukan dengan satuan absolut tingkat fakultas yang paling sebanding) secara eksplisit mensyaratkan Paten ≥3/tahun DAN Non-Paten ≥10/tahun (total minimal 13/tahun) — dan R2 memberi bobot lebih tinggi pada paten (×3) dibanding HKI lain, menandakan paten adalah luaran HKI paling bernilai untuk akreditasi Unggul. Ambang FTII saat ini (10-16, kemungkinan besar hanya mencakup Hak Cipta/non-paten) BELUM SECARA EKSPLISIT menargetkan HKI jenis Paten. REKOMENDASI PRIORITAS: pecah target HKI FTII menjadi dua indikator terpisah — (a) jumlah HKI Paten/Paten Sederhana per tahun, target menuju ≥3 (mengikuti R4); dan (b) jumlah HKI Non-Paten (Hak Cipta dkk.) per tahun, pertahankan pada rentang 10-16 yang sudah sesuai/melampaui ambang R4 (≥10).</w:t>
      </w:r>
    </w:p>
    <w:p>
      <w:pPr>
        <w:pStyle w:val="Heading2"/>
      </w:pPr>
      <w:r>
        <w:t>Tema 7. Buku ber-ISBN / Book Chapter</w:t>
      </w:r>
    </w:p>
    <w:p>
      <w:r>
        <w:t>Ketentuan FTII UNISBANK: Draft Standar Luaran Penelitian FTII TIDAK memuat indikator kinerja kuantitatif untuk luaran berupa buku ber-ISBN atau book chapter dalam tabel Indikator Kinerja Utama maupun Tambahan, meskipun "buku" disebutkan sebagai salah satu jenis luaran penelitian pada bagian Rasional dan Definisi Istilah.</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R2</w:t>
            </w:r>
          </w:p>
        </w:tc>
        <w:tc>
          <w:tcPr>
            <w:tcW w:type="dxa" w:w="4320"/>
          </w:tcPr>
          <w:p>
            <w:r>
              <w:t>Butir 34: komponen NBC (jumlah luaran yang diterbitkan sebagai Buku ber-ISBN/Book Chapter) termasuk dalam formula RLP dengan bobot ×2, setara dengan bobot Teknologi Tepat Guna dan lebih tinggi dari bobot HKI non-paten (×1).</w:t>
            </w:r>
          </w:p>
        </w:tc>
      </w:tr>
      <w:tr>
        <w:tc>
          <w:tcPr>
            <w:tcW w:type="dxa" w:w="4320"/>
          </w:tcPr>
          <w:p>
            <w:r>
              <w:t>R4</w:t>
            </w:r>
          </w:p>
        </w:tc>
        <w:tc>
          <w:tcPr>
            <w:tcW w:type="dxa" w:w="4320"/>
          </w:tcPr>
          <w:p>
            <w:r>
              <w:t>Indikator No.10: persentase luaran penelitian yang diterbitkan sebagai buku ber-ISBN/book chapter terhadap jumlah penelitian yang didanai paling sedikit 30% pada seluruh tahun.</w:t>
            </w:r>
          </w:p>
        </w:tc>
      </w:tr>
      <w:tr>
        <w:tc>
          <w:tcPr>
            <w:tcW w:type="dxa" w:w="4320"/>
          </w:tcPr>
          <w:p>
            <w:r>
              <w:t>R5</w:t>
            </w:r>
          </w:p>
        </w:tc>
        <w:tc>
          <w:tcPr>
            <w:tcW w:type="dxa" w:w="4320"/>
          </w:tcPr>
          <w:p>
            <w:r>
              <w:t>Bab 5 No.2.j: minimal 1,5% program penelitian menghasilkan luaran berupa buku ber-ISBN.</w:t>
            </w:r>
          </w:p>
        </w:tc>
      </w:tr>
    </w:tbl>
    <w:p/>
    <w:p>
      <w:r>
        <w:t>Analisis Kesesuaian: GAP SIGNIFIKAN — ketiga rujukan R2, R4, dan R5 secara konsisten menetapkan ambang kuantitatif eksplisit untuk luaran buku ber-ISBN/book chapter, sedangkan draft FTII SAMA SEKALI TIDAK memuat indikator ini dalam tabel Indikator Kinerja Utama maupun Tambahan — meskipun disebutkan secara naratif sebagai jenis luaran yang diharapkan. Ini adalah kekosongan indikator yang paling jelas ditemukan dalam pemetaan ini. REKOMENDASI PRIORITAS TERTINGGI: tambahkan indikator baru "persentase/jumlah luaran penelitian yang diterbitkan sebagai buku ber-ISBN atau book chapter terhadap jumlah penelitian yang didanai", dengan target menuju ambang R4 (≥30%) sebagai acuan skor tertinggi.</w:t>
      </w:r>
    </w:p>
    <w:p>
      <w:pPr>
        <w:pStyle w:val="Heading2"/>
      </w:pPr>
      <w:r>
        <w:t>Tema 8. Insentif dan Penghargaan Luaran Penelitian</w:t>
      </w:r>
    </w:p>
    <w:p>
      <w:r>
        <w:t>Ketentuan FTII UNISBANK: Indikator Kinerja Tambahan: jumlah luaran penelitian (artikel, HKI, prosiding) yang mendapat insentif ditargetkan 39 (2024/25) naik menjadi 40, 40, dan 41 (2027/28); jumlah penghargaan melalui kompetisi nasional/internasional 2 naik menjadi 3.</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R4</w:t>
            </w:r>
          </w:p>
        </w:tc>
        <w:tc>
          <w:tcPr>
            <w:tcW w:type="dxa" w:w="4320"/>
          </w:tcPr>
          <w:p>
            <w:r>
              <w:t>Tidak ditemukan ambang kuantitatif eksplisit untuk jumlah insentif atau penghargaan luaran penelitian pada bagian yang diekstrak; standar ini berfokus pada indikator publikasi, HKI, dan buku.</w:t>
            </w:r>
          </w:p>
        </w:tc>
      </w:tr>
      <w:tr>
        <w:tc>
          <w:tcPr>
            <w:tcW w:type="dxa" w:w="4320"/>
          </w:tcPr>
          <w:p>
            <w:r>
              <w:t>R5</w:t>
            </w:r>
          </w:p>
        </w:tc>
        <w:tc>
          <w:tcPr>
            <w:tcW w:type="dxa" w:w="4320"/>
          </w:tcPr>
          <w:p>
            <w:r>
              <w:t>Bab 8 Dokumen/Bukti Pendukung menyebutkan "SK Rektor tentang Insentif Publikasi" sebagai bukti dukung, namun tanpa menetapkan ambang jumlah insentif atau penghargaan secara eksplisit.</w:t>
            </w:r>
          </w:p>
        </w:tc>
      </w:tr>
    </w:tbl>
    <w:p/>
    <w:p>
      <w:r>
        <w:t>Analisis Kesesuaian: PRAKTIK BAIK FTII — tidak ada satu pun dari kelima rujukan yang menetapkan ambang kuantitatif serupa untuk jumlah insentif atau penghargaan luaran penelitian; FTII sudah lebih maju dengan menjadikan ini sebagai Indikator Kinerja Tambahan yang terukur. Direkomendasikan dipertahankan sebagai nilai tambah, dengan catatan target tahun 2025/26-2026/27 (40,40) sebaiknya tetap menunjukkan tren naik yang konsisten, bukan datar.</w:t>
      </w:r>
    </w:p>
    <w:p>
      <w:pPr>
        <w:pStyle w:val="Heading2"/>
      </w:pPr>
      <w:r>
        <w:t>Tema 9. Monitoring, Evaluasi, dan Audit Mutu Internal Luaran Penelitian</w:t>
      </w:r>
    </w:p>
    <w:p>
      <w:r>
        <w:t>Ketentuan FTII UNISBANK: FTII wajib melaksanakan monitoring dan evaluasi hasil penelitian secara berkala serta Audit Mutu Internal (AMI) sekurang-kurangnya satu kali dalam setiap siklus PPEPP (frekuensi siklus tidak dinyatakan dalam satuan tahun secara eksplisit).</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Standar disusun mengikuti siklus tertutup PDCA/OBE yang diadopsi lintas lembaga akreditasi sebagai praktik best-practice, tanpa menetapkan frekuensi tahunan yang eksplisit pada bagian yang diekstrak.</w:t>
            </w:r>
          </w:p>
        </w:tc>
      </w:tr>
      <w:tr>
        <w:tc>
          <w:tcPr>
            <w:tcW w:type="dxa" w:w="4320"/>
          </w:tcPr>
          <w:p>
            <w:r>
              <w:t>R3</w:t>
            </w:r>
          </w:p>
        </w:tc>
        <w:tc>
          <w:tcPr>
            <w:tcW w:type="dxa" w:w="4320"/>
          </w:tcPr>
          <w:p>
            <w:r>
              <w:t>Seluruh kriteria LAM INFOKOM dinilai melalui pendekatan siklus PPEPP berjenjang skor deskriptif, konsisten dengan pendekatan FTII.</w:t>
            </w:r>
          </w:p>
        </w:tc>
      </w:tr>
      <w:tr>
        <w:tc>
          <w:tcPr>
            <w:tcW w:type="dxa" w:w="4320"/>
          </w:tcPr>
          <w:p>
            <w:r>
              <w:t>R4</w:t>
            </w:r>
          </w:p>
        </w:tc>
        <w:tc>
          <w:tcPr>
            <w:tcW w:type="dxa" w:w="4320"/>
          </w:tcPr>
          <w:p>
            <w:r>
              <w:t>Indikator No.11: frekuensi monitoring dan evaluasi internal ketercapaian luaran hasil penelitian di tingkat fakultas paling sedikit 1 kali PER TAHUN pada seluruh tahun — frekuensi dinyatakan eksplisit dalam satuan tahunan.</w:t>
            </w:r>
          </w:p>
        </w:tc>
      </w:tr>
    </w:tbl>
    <w:p/>
    <w:p>
      <w:r>
        <w:t>Analisis Kesesuaian: SELARAS SECARA KONSEP, KURANG EKSPLISIT DALAM FREKUENSI — pendekatan monitoring-evaluasi-AMI-PPEPP FTII sejalan dengan seluruh rujukan, namun FTII menyatakan frekuensi berbasis "setiap siklus PPEPP" tanpa memastikan padanan tahunan yang eksplisit, sedangkan R4 secara eksplisit mensyaratkan ambang "minimal 1 kali per tahun". REKOMENDASI: eksplisitkan frekuensi monitoring dan evaluasi luaran penelitian FTII menjadi "paling sedikit 1 kali per tahun" mengikuti R4, agar dapat diverifikasi langsung saat asesmen akreditasi.</w:t>
      </w:r>
    </w:p>
    <w:p>
      <w:pPr>
        <w:pStyle w:val="Heading1"/>
      </w:pPr>
      <w:r>
        <w:t>C. RINGKASAN KESESUAIAN TARGET KUANTITATIF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Indikator</w:t>
            </w:r>
          </w:p>
        </w:tc>
        <w:tc>
          <w:tcPr>
            <w:tcW w:type="dxa" w:w="1440"/>
          </w:tcPr>
          <w:p>
            <w:r>
              <w:t>Target FTII (2026/27 atau akhir)</w:t>
            </w:r>
          </w:p>
        </w:tc>
        <w:tc>
          <w:tcPr>
            <w:tcW w:type="dxa" w:w="1440"/>
          </w:tcPr>
          <w:p>
            <w:r>
              <w:t>Ambang R2 (LAM Teknik)</w:t>
            </w:r>
          </w:p>
        </w:tc>
        <w:tc>
          <w:tcPr>
            <w:tcW w:type="dxa" w:w="1440"/>
          </w:tcPr>
          <w:p>
            <w:r>
              <w:t>Ambang R4</w:t>
            </w:r>
          </w:p>
        </w:tc>
        <w:tc>
          <w:tcPr>
            <w:tcW w:type="dxa" w:w="1440"/>
          </w:tcPr>
          <w:p>
            <w:r>
              <w:t>Ambang R5</w:t>
            </w:r>
          </w:p>
        </w:tc>
        <w:tc>
          <w:tcPr>
            <w:tcW w:type="dxa" w:w="1440"/>
          </w:tcPr>
          <w:p>
            <w:r>
              <w:t>Status</w:t>
            </w:r>
          </w:p>
        </w:tc>
      </w:tr>
      <w:tr>
        <w:tc>
          <w:tcPr>
            <w:tcW w:type="dxa" w:w="1440"/>
          </w:tcPr>
          <w:p>
            <w:r>
              <w:t>% publikasi dari penelitian didanai</w:t>
            </w:r>
          </w:p>
        </w:tc>
        <w:tc>
          <w:tcPr>
            <w:tcW w:type="dxa" w:w="1440"/>
          </w:tcPr>
          <w:p>
            <w:r>
              <w:t>100% (baris ganda: ada juga 95%)</w:t>
            </w:r>
          </w:p>
        </w:tc>
        <w:tc>
          <w:tcPr>
            <w:tcW w:type="dxa" w:w="1440"/>
          </w:tcPr>
          <w:p>
            <w:r>
              <w:t>tidak ditemukan (basis rasio per DTPS)</w:t>
            </w:r>
          </w:p>
        </w:tc>
        <w:tc>
          <w:tcPr>
            <w:tcW w:type="dxa" w:w="1440"/>
          </w:tcPr>
          <w:p>
            <w:r>
              <w:t>100%</w:t>
            </w:r>
          </w:p>
        </w:tc>
        <w:tc>
          <w:tcPr>
            <w:tcW w:type="dxa" w:w="1440"/>
          </w:tcPr>
          <w:p>
            <w:r>
              <w:t>tidak ditemukan (basis per dosen)</w:t>
            </w:r>
          </w:p>
        </w:tc>
        <w:tc>
          <w:tcPr>
            <w:tcW w:type="dxa" w:w="1440"/>
          </w:tcPr>
          <w:p>
            <w:r>
              <w:t>Selaras pada baris 100%; baris 95% di bawah ambang — perlu disatukan</w:t>
            </w:r>
          </w:p>
        </w:tc>
      </w:tr>
      <w:tr>
        <w:tc>
          <w:tcPr>
            <w:tcW w:type="dxa" w:w="1440"/>
          </w:tcPr>
          <w:p>
            <w:r>
              <w:t>Luaran artikel per hibah</w:t>
            </w:r>
          </w:p>
        </w:tc>
        <w:tc>
          <w:tcPr>
            <w:tcW w:type="dxa" w:w="1440"/>
          </w:tcPr>
          <w:p>
            <w:r>
              <w:t>1 (statis)</w:t>
            </w:r>
          </w:p>
        </w:tc>
        <w:tc>
          <w:tcPr>
            <w:tcW w:type="dxa" w:w="1440"/>
          </w:tcPr>
          <w:p>
            <w:r>
              <w:t>tidak ditemukan</w:t>
            </w:r>
          </w:p>
        </w:tc>
        <w:tc>
          <w:tcPr>
            <w:tcW w:type="dxa" w:w="1440"/>
          </w:tcPr>
          <w:p>
            <w:r>
              <w:t>sejalan konsep (100% penelitian wajib publikasi)</w:t>
            </w:r>
          </w:p>
        </w:tc>
        <w:tc>
          <w:tcPr>
            <w:tcW w:type="dxa" w:w="1440"/>
          </w:tcPr>
          <w:p>
            <w:r>
              <w:t>≥1 karya ilmiah/dosen/tahun (beda satuan)</w:t>
            </w:r>
          </w:p>
        </w:tc>
        <w:tc>
          <w:tcPr>
            <w:tcW w:type="dxa" w:w="1440"/>
          </w:tcPr>
          <w:p>
            <w:r>
              <w:t>Beda metodologi, perlu indikator pendamping per dosen/tahun</w:t>
            </w:r>
          </w:p>
        </w:tc>
      </w:tr>
      <w:tr>
        <w:tc>
          <w:tcPr>
            <w:tcW w:type="dxa" w:w="1440"/>
          </w:tcPr>
          <w:p>
            <w:r>
              <w:t>% publikasi bersama mahasiswa (co-author)</w:t>
            </w:r>
          </w:p>
        </w:tc>
        <w:tc>
          <w:tcPr>
            <w:tcW w:type="dxa" w:w="1440"/>
          </w:tcPr>
          <w:p>
            <w:r>
              <w:t>75%</w:t>
            </w:r>
          </w:p>
        </w:tc>
        <w:tc>
          <w:tcPr>
            <w:tcW w:type="dxa" w:w="1440"/>
          </w:tcPr>
          <w:p>
            <w:r>
              <w:t>tidak ditemukan (beda basis: rasio populasi mhs)</w:t>
            </w:r>
          </w:p>
        </w:tc>
        <w:tc>
          <w:tcPr>
            <w:tcW w:type="dxa" w:w="1440"/>
          </w:tcPr>
          <w:p>
            <w:r>
              <w:t>tidak ditemukan</w:t>
            </w:r>
          </w:p>
        </w:tc>
        <w:tc>
          <w:tcPr>
            <w:tcW w:type="dxa" w:w="1440"/>
          </w:tcPr>
          <w:p>
            <w:r>
              <w:t>tidak ditemukan (mhs wajib publikasi mandiri)</w:t>
            </w:r>
          </w:p>
        </w:tc>
        <w:tc>
          <w:tcPr>
            <w:tcW w:type="dxa" w:w="1440"/>
          </w:tcPr>
          <w:p>
            <w:r>
              <w:t>Praktik unik FTII, tidak langsung terverifikasi</w:t>
            </w:r>
          </w:p>
        </w:tc>
      </w:tr>
      <w:tr>
        <w:tc>
          <w:tcPr>
            <w:tcW w:type="dxa" w:w="1440"/>
          </w:tcPr>
          <w:p>
            <w:r>
              <w:t>% publikasi jurnal internasional (gabungan)</w:t>
            </w:r>
          </w:p>
        </w:tc>
        <w:tc>
          <w:tcPr>
            <w:tcW w:type="dxa" w:w="1440"/>
          </w:tcPr>
          <w:p>
            <w:r>
              <w:t>10%</w:t>
            </w:r>
          </w:p>
        </w:tc>
        <w:tc>
          <w:tcPr>
            <w:tcW w:type="dxa" w:w="1440"/>
          </w:tcPr>
          <w:p>
            <w:r>
              <w:t>≥0,5 rasio/DTPS/3th (~0,17/th kategori bereputasi)</w:t>
            </w:r>
          </w:p>
        </w:tc>
        <w:tc>
          <w:tcPr>
            <w:tcW w:type="dxa" w:w="1440"/>
          </w:tcPr>
          <w:p>
            <w:r>
              <w:t>≥20% (seluruh jenis); ≥10% (bereputasi)</w:t>
            </w:r>
          </w:p>
        </w:tc>
        <w:tc>
          <w:tcPr>
            <w:tcW w:type="dxa" w:w="1440"/>
          </w:tcPr>
          <w:p>
            <w:r>
              <w:t>≥0,78/dosen/th (bereputasi); ≥0,57/dosen/th (umum)</w:t>
            </w:r>
          </w:p>
        </w:tc>
        <w:tc>
          <w:tcPr>
            <w:tcW w:type="dxa" w:w="1440"/>
          </w:tcPr>
          <w:p>
            <w:r>
              <w:t>Di bawah ambang R4 untuk kategori gabungan (gap)</w:t>
            </w:r>
          </w:p>
        </w:tc>
      </w:tr>
      <w:tr>
        <w:tc>
          <w:tcPr>
            <w:tcW w:type="dxa" w:w="1440"/>
          </w:tcPr>
          <w:p>
            <w:r>
              <w:t>% publikasi jurnal nasional (gabungan)</w:t>
            </w:r>
          </w:p>
        </w:tc>
        <w:tc>
          <w:tcPr>
            <w:tcW w:type="dxa" w:w="1440"/>
          </w:tcPr>
          <w:p>
            <w:r>
              <w:t>85%</w:t>
            </w:r>
          </w:p>
        </w:tc>
        <w:tc>
          <w:tcPr>
            <w:tcW w:type="dxa" w:w="1440"/>
          </w:tcPr>
          <w:p>
            <w:r>
              <w:t>termasuk dalam formula gabungan Butir 33</w:t>
            </w:r>
          </w:p>
        </w:tc>
        <w:tc>
          <w:tcPr>
            <w:tcW w:type="dxa" w:w="1440"/>
          </w:tcPr>
          <w:p>
            <w:r>
              <w:t>≥30% (khusus terakreditasi, basis beda)</w:t>
            </w:r>
          </w:p>
        </w:tc>
        <w:tc>
          <w:tcPr>
            <w:tcW w:type="dxa" w:w="1440"/>
          </w:tcPr>
          <w:p>
            <w:r>
              <w:t>≥0,7/dosen/th (terakreditasi); ≥0,5/dosen/th (umum)</w:t>
            </w:r>
          </w:p>
        </w:tc>
        <w:tc>
          <w:tcPr>
            <w:tcW w:type="dxa" w:w="1440"/>
          </w:tcPr>
          <w:p>
            <w:r>
              <w:t>Basis pengukuran berbeda, tidak terbandingkan langsung</w:t>
            </w:r>
          </w:p>
        </w:tc>
      </w:tr>
      <w:tr>
        <w:tc>
          <w:tcPr>
            <w:tcW w:type="dxa" w:w="1440"/>
          </w:tcPr>
          <w:p>
            <w:r>
              <w:t>Jumlah HKI per tahun</w:t>
            </w:r>
          </w:p>
        </w:tc>
        <w:tc>
          <w:tcPr>
            <w:tcW w:type="dxa" w:w="1440"/>
          </w:tcPr>
          <w:p>
            <w:r>
              <w:t>16 (Hak Cipta/non-paten sahaja)</w:t>
            </w:r>
          </w:p>
        </w:tc>
        <w:tc>
          <w:tcPr>
            <w:tcW w:type="dxa" w:w="1440"/>
          </w:tcPr>
          <w:p>
            <w:r>
              <w:t>RLP≥3/DTPS/3th (paten berbobot 3x)</w:t>
            </w:r>
          </w:p>
        </w:tc>
        <w:tc>
          <w:tcPr>
            <w:tcW w:type="dxa" w:w="1440"/>
          </w:tcPr>
          <w:p>
            <w:r>
              <w:t>≥3 paten + ≥10 non-paten (total ≥13)</w:t>
            </w:r>
          </w:p>
        </w:tc>
        <w:tc>
          <w:tcPr>
            <w:tcW w:type="dxa" w:w="1440"/>
          </w:tcPr>
          <w:p>
            <w:r>
              <w:t>≥5% program penelitian hasilkan HKI</w:t>
            </w:r>
          </w:p>
        </w:tc>
        <w:tc>
          <w:tcPr>
            <w:tcW w:type="dxa" w:w="1440"/>
          </w:tcPr>
          <w:p>
            <w:r>
              <w:t>Non-paten sudah melampaui R4; kategori Paten belum eksplisit (gap)</w:t>
            </w:r>
          </w:p>
        </w:tc>
      </w:tr>
      <w:tr>
        <w:tc>
          <w:tcPr>
            <w:tcW w:type="dxa" w:w="1440"/>
          </w:tcPr>
          <w:p>
            <w:r>
              <w:t>Buku ber-ISBN/book chapter</w:t>
            </w:r>
          </w:p>
        </w:tc>
        <w:tc>
          <w:tcPr>
            <w:tcW w:type="dxa" w:w="1440"/>
          </w:tcPr>
          <w:p>
            <w:r>
              <w:t>TIDAK ADA INDIKATOR</w:t>
            </w:r>
          </w:p>
        </w:tc>
        <w:tc>
          <w:tcPr>
            <w:tcW w:type="dxa" w:w="1440"/>
          </w:tcPr>
          <w:p>
            <w:r>
              <w:t>termasuk formula (bobot 2x)</w:t>
            </w:r>
          </w:p>
        </w:tc>
        <w:tc>
          <w:tcPr>
            <w:tcW w:type="dxa" w:w="1440"/>
          </w:tcPr>
          <w:p>
            <w:r>
              <w:t>≥30%</w:t>
            </w:r>
          </w:p>
        </w:tc>
        <w:tc>
          <w:tcPr>
            <w:tcW w:type="dxa" w:w="1440"/>
          </w:tcPr>
          <w:p>
            <w:r>
              <w:t>≥1,5% program penelitian</w:t>
            </w:r>
          </w:p>
        </w:tc>
        <w:tc>
          <w:tcPr>
            <w:tcW w:type="dxa" w:w="1440"/>
          </w:tcPr>
          <w:p>
            <w:r>
              <w:t>GAP SIGNIFIKAN — indikator belum ada</w:t>
            </w:r>
          </w:p>
        </w:tc>
      </w:tr>
      <w:tr>
        <w:tc>
          <w:tcPr>
            <w:tcW w:type="dxa" w:w="1440"/>
          </w:tcPr>
          <w:p>
            <w:r>
              <w:t>Frekuensi monev/AMI luaran penelitian</w:t>
            </w:r>
          </w:p>
        </w:tc>
        <w:tc>
          <w:tcPr>
            <w:tcW w:type="dxa" w:w="1440"/>
          </w:tcPr>
          <w:p>
            <w:r>
              <w:t>≥1x/siklus PPEPP</w:t>
            </w:r>
          </w:p>
        </w:tc>
        <w:tc>
          <w:tcPr>
            <w:tcW w:type="dxa" w:w="1440"/>
          </w:tcPr>
          <w:p>
            <w:r>
              <w:t>sejalan siklus SPMI</w:t>
            </w:r>
          </w:p>
        </w:tc>
        <w:tc>
          <w:tcPr>
            <w:tcW w:type="dxa" w:w="1440"/>
          </w:tcPr>
          <w:p>
            <w:r>
              <w:t>≥1x/tahun (eksplisit)</w:t>
            </w:r>
          </w:p>
        </w:tc>
        <w:tc>
          <w:tcPr>
            <w:tcW w:type="dxa" w:w="1440"/>
          </w:tcPr>
          <w:p>
            <w:r>
              <w:t>sejalan siklus SPMI</w:t>
            </w:r>
          </w:p>
        </w:tc>
        <w:tc>
          <w:tcPr>
            <w:tcW w:type="dxa" w:w="1440"/>
          </w:tcPr>
          <w:p>
            <w:r>
              <w:t>Selaras konsep, kurang eksplisit frekuensi tahunan</w:t>
            </w:r>
          </w:p>
        </w:tc>
      </w:tr>
    </w:tbl>
    <w:p/>
    <w:p>
      <w:pPr>
        <w:pStyle w:val="Heading1"/>
      </w:pPr>
      <w:r>
        <w:t>D. KESIMPULAN DAN REKOMENDASI</w:t>
      </w:r>
    </w:p>
    <w:p>
      <w:r>
        <w:t>Kesimpulan Umum: Dokumen Standar Luaran Penelitian FTII UNISBANK secara substansial SELARAS dengan kelima dokumen rujukan pada aspek kebijakan dasar (kewajiban publikasi, keterlibatan mahasiswa, perolehan HKI, insentif, monitoring-evaluasi-AMI-PPEPP), dan bahkan LEBIH MAJU pada beberapa indikator praktik baik (persentase publikasi bersama mahasiswa, insentif luaran penelitian) yang tidak dijumpai eksplisit pada rujukan. Namun, pemetaan ini menemukan satu inkonsistensi data internal (duplikasi indikator No.5/No.7), satu kekosongan indikator signifikan (buku ber-ISBN/book chapter), dan beberapa gap metodologis akibat perbedaan basis pengukuran (persentase dari total publikasi vs dari jumlah penelitian didanai vs rasio per dosen) yang perlu diselaraskan agar dapat diverifikasi langsung saat proses akreditasi LAM Teknik maupun LAM INFOKOM.</w:t>
      </w:r>
    </w:p>
    <w:p>
      <w:pPr>
        <w:pStyle w:val="ListNumber"/>
      </w:pPr>
      <w:r>
        <w:t>Satukan dua baris IKU yang duplikat pada indikator "persentase publikasi hasil penelitian dari penelitian yang didanai" (saat ini tercatat 90-95% pada satu baris dan 100% pada baris lain) menjadi satu indikator dengan target tunggal 100%, sesuai ambang R4 (Tema 1).</w:t>
      </w:r>
    </w:p>
    <w:p>
      <w:pPr>
        <w:pStyle w:val="ListNumber"/>
      </w:pPr>
      <w:r>
        <w:t>Tambahkan indikator baru "persentase/jumlah luaran penelitian yang diterbitkan sebagai buku ber-ISBN atau book chapter", dengan target menuju ≥30% terhadap jumlah penelitian yang didanai mengikuti ambang R4 — ini adalah kekosongan indikator paling signifikan yang ditemukan (Tema 7).</w:t>
      </w:r>
    </w:p>
    <w:p>
      <w:pPr>
        <w:pStyle w:val="ListNumber"/>
      </w:pPr>
      <w:r>
        <w:t>Pecah indikator HKI FTII menjadi dua kategori terpisah: (a) jumlah HKI Paten/Paten Sederhana per tahun dengan target menuju ≥3 mengikuti R4, dan (b) jumlah HKI Non-Paten (Hak Cipta dkk.) per tahun, pertahankan pada rentang 10-16 yang sudah sesuai ambang R4 (Tema 6).</w:t>
      </w:r>
    </w:p>
    <w:p>
      <w:pPr>
        <w:pStyle w:val="ListNumber"/>
      </w:pPr>
      <w:r>
        <w:t>Pecah indikator publikasi jurnal internasional dan nasional menjadi kategori "terakreditasi/bereputasi" vs "umum" secara terpisah, dengan basis pengukuran terhadap jumlah penelitian yang didanai (bukan hanya proporsi dari total publikasi), agar sebanding dengan ambang R4 (internasional ≥20%/≥10% bereputasi; nasional terakreditasi ≥30%) (Tema 4 dan 5).</w:t>
      </w:r>
    </w:p>
    <w:p>
      <w:pPr>
        <w:pStyle w:val="ListNumber"/>
      </w:pPr>
      <w:r>
        <w:t>Pertimbangkan menambahkan indikator pendamping berbasis rasio publikasi per dosen per tahun (mengikuti pola R5: jurnal internasional bereputasi ≥0,78; internasional umum ≥0,57; nasional terakreditasi ≥0,7; nasional umum ≥0,5) agar FTII memiliki dua basis pengukuran yang saling melengkapi dan lebih mudah diverifikasi silang saat asesmen akreditasi (Tema 2, 4, 5).</w:t>
      </w:r>
    </w:p>
    <w:p>
      <w:pPr>
        <w:pStyle w:val="ListNumber"/>
      </w:pPr>
      <w:r>
        <w:t>Eksplisitkan frekuensi monitoring dan evaluasi luaran penelitian FTII menjadi "paling sedikit 1 kali per tahun" mengikuti ambang R4, alih-alih hanya menyatakan "setiap siklus PPEPP" tanpa padanan tahunan yang eksplisit (Tema 9).</w:t>
      </w:r>
    </w:p>
    <w:p>
      <w:pPr>
        <w:pStyle w:val="ListNumber"/>
      </w:pPr>
      <w:r>
        <w:t>Pertahankan dan dokumentasikan secara eksplisit metodologi penghitungan indikator "persentase publikasi bersama mahasiswa" (70%-&gt;75%) dan "jumlah luaran mendapat insentif" (39-&gt;41), karena keduanya merupakan praktik baik FTII yang tidak dijumpai eksplisit pada kelima rujukan — jadikan sebagai nilai tambah, bukan kekurangan, saat FTII diakreditasi (Tema 3 dan 8).</w:t>
      </w:r>
    </w:p>
    <w:p/>
    <w:p>
      <w: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