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PEMETAAN STANDAR MASUKAN PENDIDIKAN</w:t>
      </w:r>
    </w:p>
    <w:p>
      <w:pPr>
        <w:jc w:val="center"/>
      </w:pPr>
      <w:r>
        <w:rPr>
          <w:i/>
          <w:sz w:val="24"/>
        </w:rP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Kode</w:t>
            </w:r>
          </w:p>
        </w:tc>
        <w:tc>
          <w:tcPr>
            <w:tcW w:type="dxa" w:w="2880"/>
          </w:tcPr>
          <w:p>
            <w:r>
              <w:rPr>
                <w:b/>
              </w:rPr>
              <w:t>Dokumen</w:t>
            </w:r>
          </w:p>
        </w:tc>
        <w:tc>
          <w:tcPr>
            <w:tcW w:type="dxa" w:w="2880"/>
          </w:tcPr>
          <w:p>
            <w:r>
              <w:rPr>
                <w:b/>
              </w:rPr>
              <w:t>Sumber / Institusi</w:t>
            </w:r>
          </w:p>
        </w:tc>
      </w:tr>
      <w:tr>
        <w:tc>
          <w:tcPr>
            <w:tcW w:type="dxa" w:w="2880"/>
          </w:tcPr>
          <w:p>
            <w:r>
              <w:t>FTII</w:t>
            </w:r>
          </w:p>
        </w:tc>
        <w:tc>
          <w:tcPr>
            <w:tcW w:type="dxa" w:w="2880"/>
          </w:tcPr>
          <w:p>
            <w:r>
              <w:t>Standar Masukan Pendidikan FTII UNISBANK</w:t>
            </w:r>
          </w:p>
        </w:tc>
        <w:tc>
          <w:tcPr>
            <w:tcW w:type="dxa" w:w="2880"/>
          </w:tcPr>
          <w:p>
            <w:r>
              <w:t>Fakultas Teknologi Informasi dan Industri, Universitas Stikubank (UNISBANK) Semarang</w:t>
            </w:r>
          </w:p>
        </w:tc>
      </w:tr>
      <w:tr>
        <w:tc>
          <w:tcPr>
            <w:tcW w:type="dxa" w:w="2880"/>
          </w:tcPr>
          <w:p>
            <w:r>
              <w:t>R1</w:t>
            </w:r>
          </w:p>
        </w:tc>
        <w:tc>
          <w:tcPr>
            <w:tcW w:type="dxa" w:w="2880"/>
          </w:tcPr>
          <w:p>
            <w:r>
              <w:t>Dokumen Panduan SPMI Program Sarjana dan Sarjana Terapan - 2024 (Standar 4: SDM; Standar 5: Keuangan, Sarana dan Prasarana; Standar 6: Pendidikan)</w:t>
            </w:r>
          </w:p>
        </w:tc>
        <w:tc>
          <w:tcPr>
            <w:tcW w:type="dxa" w:w="2880"/>
          </w:tcPr>
          <w:p>
            <w:r>
              <w:t>perguruan tinggi rujukan R1</w:t>
            </w:r>
          </w:p>
        </w:tc>
      </w:tr>
      <w:tr>
        <w:tc>
          <w:tcPr>
            <w:tcW w:type="dxa" w:w="2880"/>
          </w:tcPr>
          <w:p>
            <w:r>
              <w:t>R2</w:t>
            </w:r>
          </w:p>
        </w:tc>
        <w:tc>
          <w:tcPr>
            <w:tcW w:type="dxa" w:w="2880"/>
          </w:tcPr>
          <w:p>
            <w:r>
              <w:t>Matriks Penilaian Laporan Evaluasi Diri dan Laporan Kinerja Program Studi - Program Sarjana (APS-AV 2025 1.0)</w:t>
            </w:r>
          </w:p>
        </w:tc>
        <w:tc>
          <w:tcPr>
            <w:tcW w:type="dxa" w:w="2880"/>
          </w:tcPr>
          <w:p>
            <w:r>
              <w:t>Lembaga Akreditasi Mandiri Teknik (LAM Teknik)</w:t>
            </w:r>
          </w:p>
        </w:tc>
      </w:tr>
      <w:tr>
        <w:tc>
          <w:tcPr>
            <w:tcW w:type="dxa" w:w="2880"/>
          </w:tcPr>
          <w:p>
            <w:r>
              <w:t>R3</w:t>
            </w:r>
          </w:p>
        </w:tc>
        <w:tc>
          <w:tcPr>
            <w:tcW w:type="dxa" w:w="2880"/>
          </w:tcPr>
          <w:p>
            <w:r>
              <w:t>Kriteria Unggul 2.1 - Kriteria 2 Relevansi Pendidikan (Butir 2.1.A Sarpras/DTPR/Pembiayaan; Butir 2.1.B Isi Pembelajaran &amp; Kurikulum OBE)</w:t>
            </w:r>
          </w:p>
        </w:tc>
        <w:tc>
          <w:tcPr>
            <w:tcW w:type="dxa" w:w="2880"/>
          </w:tcPr>
          <w:p>
            <w:r>
              <w:t>Lembaga Akreditasi Mandiri Informatika dan Komputer (LAM INFOKOM) - Lampiran Peraturan BAN-PT No. 39 Tahun 2025</w:t>
            </w:r>
          </w:p>
        </w:tc>
      </w:tr>
      <w:tr>
        <w:tc>
          <w:tcPr>
            <w:tcW w:type="dxa" w:w="2880"/>
          </w:tcPr>
          <w:p>
            <w:r>
              <w:t>R4</w:t>
            </w:r>
          </w:p>
        </w:tc>
        <w:tc>
          <w:tcPr>
            <w:tcW w:type="dxa" w:w="2880"/>
          </w:tcPr>
          <w:p>
            <w:r>
              <w:t>Dokumen SPMI lengkap (171 halaman) - Standar Isi Pembelajaran, Standar Dosen dan Tenaga Kependidikan, Standar Sarana dan Prasarana Pembelajaran, Standar Pembiayaan Pembelajaran</w:t>
            </w:r>
          </w:p>
        </w:tc>
        <w:tc>
          <w:tcPr>
            <w:tcW w:type="dxa" w:w="2880"/>
          </w:tcPr>
          <w:p>
            <w:r>
              <w:t>Fakultas Ilmu Komputer, perguruan tinggi rujukan R4</w:t>
            </w:r>
          </w:p>
        </w:tc>
      </w:tr>
      <w:tr>
        <w:tc>
          <w:tcPr>
            <w:tcW w:type="dxa" w:w="2880"/>
          </w:tcPr>
          <w:p>
            <w:r>
              <w:t>R5</w:t>
            </w:r>
          </w:p>
        </w:tc>
        <w:tc>
          <w:tcPr>
            <w:tcW w:type="dxa" w:w="2880"/>
          </w:tcPr>
          <w:p>
            <w:r>
              <w:t>Seri Buku Standar R5: (2) Standar Isi Pembelajaran, (5) Standar Dosen dan Tenaga Kependidikan, (6) Standar Sarana dan Prasarana Pembelajaran, (8) Standar Pembiayaan Pembelajaran</w:t>
            </w:r>
          </w:p>
        </w:tc>
        <w:tc>
          <w:tcPr>
            <w:tcW w:type="dxa" w:w="2880"/>
          </w:tcPr>
          <w:p>
            <w:r>
              <w:t>Lembaga Penjaminan Mutu, perguruan tinggi rujukan R5</w:t>
            </w:r>
          </w:p>
        </w:tc>
      </w:tr>
    </w:tbl>
    <w:p/>
    <w:p>
      <w:r>
        <w:rPr>
          <w:b w:val="0"/>
          <w:i/>
        </w:rPr>
        <w:t>Catatan metodologis: pemetaan disusun berdasarkan ekstraksi teks langsung (pdftotext -layout) dari bagian/bab yang relevan dengan MASUKAN pendidikan (isi/kurikulum, dosen dan tenaga kependidikan, sarana dan prasarana, pembiayaan) pada kelima dokumen rujukan, dan dari isi lengkap dokumen Standar Masukan Pendidikan FTII (22 pernyataan standar; 4 sub-standar IKU: Standar Isi, Standar Dosen dan Tenaga Kependidikan, Standar Sarana dan Prasarana, Standar Pembiayaan; 1 IKT). Mengikuti metodologi dan struktur yang sama dengan dokumen pemetaan Standar Luaran Pendidikan (standarkomptensilulusan.docx) sebagai rujukan format.</w:t>
      </w:r>
    </w:p>
    <w:p>
      <w:pPr>
        <w:pStyle w:val="Heading1"/>
      </w:pPr>
      <w:r>
        <w:t>B. Pemetaan per Tema Standar</w:t>
      </w:r>
    </w:p>
    <w:p>
      <w:pPr>
        <w:pStyle w:val="Heading2"/>
      </w:pPr>
      <w:r>
        <w:t>Tema 1. Kebijakan Kurikulum Berbasis OBE dan Peninjauan Kurikulum Berkala</w:t>
      </w:r>
    </w:p>
    <w:p>
      <w:r>
        <w:rPr>
          <w:b/>
        </w:rPr>
        <w:t xml:space="preserve">Ketentuan FTII UNISBANK: </w:t>
      </w:r>
      <w:r>
        <w:t>FTII wajib memiliki kebijakan, pedoman penyusunan, pelaksanaan, dan evaluasi kurikulum berbasis OBE; setiap program studi wajib memiliki dokumen kurikulum sesuai KKNI/OBE; peninjauan kurikulum dilakukan berkala melibatkan pemangku kepentingan internal-eksternal (target 100% "Tersedia" tiap tahun 2023/24-2026/27).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 "Standar 6: Pendidikan" - evaluasi dan pemutakhiran kurikulum skor sempurna (4) jika dilakukan berkala tiap 4-5 tahun, melibatkan pemangku kepentingan internal-eksternal, direview pakar bidang ilmu/industri/asosiasi, sesuai perkembangan ipteks dan kebutuhan pengguna.</w:t>
            </w:r>
          </w:p>
        </w:tc>
      </w:tr>
      <w:tr>
        <w:tc>
          <w:tcPr>
            <w:tcW w:type="dxa" w:w="4320"/>
          </w:tcPr>
          <w:p>
            <w:r>
              <w:t>R2 (LAM Teknik)</w:t>
            </w:r>
          </w:p>
        </w:tc>
        <w:tc>
          <w:tcPr>
            <w:tcW w:type="dxa" w:w="4320"/>
          </w:tcPr>
          <w:p>
            <w:r>
              <w:t>Butir No.12 "Pemutakhiran kurikulum" - rumusan identik dengan R1: skor 4 jika berkala tiap 4-5 tahun dengan pelibatan pemangku kepentingan internal-eksternal secara lengkap.</w:t>
            </w:r>
          </w:p>
        </w:tc>
      </w:tr>
      <w:tr>
        <w:tc>
          <w:tcPr>
            <w:tcW w:type="dxa" w:w="4320"/>
          </w:tcPr>
          <w:p>
            <w:r>
              <w:t>R3 (LAM INFOKOM)</w:t>
            </w:r>
          </w:p>
        </w:tc>
        <w:tc>
          <w:tcPr>
            <w:tcW w:type="dxa" w:w="4320"/>
          </w:tcPr>
          <w:p>
            <w:r>
              <w:t>Butir 2.1.B "Isi pembelajaran dan rancangan kurikulum outcome-based education": kebijakan/standar/indikator kurikulum OBE mencakup soft dan hard competence (KKNI level 6), ditetapkan PT, disertai keterlibatan/masukan pemangku kepentingan - dinilai skala 0-4 berdasar kelengkapan 2 aspek.</w:t>
            </w:r>
          </w:p>
        </w:tc>
      </w:tr>
      <w:tr>
        <w:tc>
          <w:tcPr>
            <w:tcW w:type="dxa" w:w="4320"/>
          </w:tcPr>
          <w:p>
            <w:r>
              <w:t>R4 (SPMI Fasilkom R4)</w:t>
            </w:r>
          </w:p>
        </w:tc>
        <w:tc>
          <w:tcPr>
            <w:tcW w:type="dxa" w:w="4320"/>
          </w:tcPr>
          <w:p>
            <w:r>
              <w:t>Bagian "Standar Isi Pembelajaran" pada dokumen sumber secara faktual berisi rumusan yang identik dengan Standar Kompetensi Lulusan (CPL, IPK, tracer study) - tidak memuat pernyataan standar khusus tentang siklus/periode peninjauan kurikulum secara eksplisit pada bagian yang diekstrak (kemungkinan duplikasi/kesalahan penyusunan pada dokumen sumber).</w:t>
            </w:r>
          </w:p>
        </w:tc>
      </w:tr>
      <w:tr>
        <w:tc>
          <w:tcPr>
            <w:tcW w:type="dxa" w:w="4320"/>
          </w:tcPr>
          <w:p>
            <w:r>
              <w:t>R5</w:t>
            </w:r>
          </w:p>
        </w:tc>
        <w:tc>
          <w:tcPr>
            <w:tcW w:type="dxa" w:w="4320"/>
          </w:tcPr>
          <w:p>
            <w:r>
              <w:t>Bab 4 Pernyataan Isi Standar Isi Pembelajaran No.9: penyusunan/peninjauan kurikulum berpatokan pada kompetensi lulusan dan perkembangan ipteks, minimal 4 tahun sekali untuk program sarjana/sarjana terapan (3 tahun untuk diploma, 2 tahun untuk magister). Bab 5 Indikator No.16: bukti sahih pelaksanaan evaluasi kurikulum mencakup pelibatan pemangku internal, eksternal, kesesuaian ipteks/kebutuhan pengguna, berkala 4-5 tahun.</w:t>
            </w:r>
          </w:p>
        </w:tc>
      </w:tr>
    </w:tbl>
    <w:p/>
    <w:p>
      <w:r>
        <w:rPr>
          <w:b/>
        </w:rPr>
        <w:t xml:space="preserve">Analisis Kesesuaian: </w:t>
      </w:r>
      <w:r>
        <w:t>SELARAS PENUH dengan R1, R2, R3, dan R5 - keempatnya secara eksplisit mensyaratkan siklus peninjauan kurikulum berkala 4-5 tahun (R5 spesifik "minimal 4 tahun sekali" untuk sarjana) dengan pelibatan pemangku kepentingan internal dan eksternal, persis sama dengan praktik yang dituntut FTII. R4 tidak dapat diverifikasi pada tema ini karena bagian "Standar Isi Pembelajaran" pada dokumen sumbernya secara faktual berisi ulang konten Standar Kompetensi Lulusan, bukan tentang siklus kurikulum - ini adalah catatan atas kualitas dokumen sumber R4, bukan gap FTII. REKOMENDASI: FTII sudah menyatakan kewajiban peninjauan kurikulum berkala pada strategi pencapaian (review "minimal setiap 2-4 tahun") namun IKU hanya menyatakan "Tersedia Dokumen Tinjauan Kurikulum" tanpa mencantumkan angka siklus tahun secara eksplisit pada tabel IKU - pertimbangkan menambahkan siklus definitif (mis. 4 tahun) selaras R1/R2/R5.</w:t>
      </w:r>
    </w:p>
    <w:p/>
    <w:p>
      <w:pPr>
        <w:pStyle w:val="Heading2"/>
      </w:pPr>
      <w:r>
        <w:t>Tema 2. Integrasi Penelitian, PkM, Proyek, dan Kasus dalam Pembelajaran</w:t>
      </w:r>
    </w:p>
    <w:p>
      <w:r>
        <w:rPr>
          <w:b/>
        </w:rPr>
        <w:t xml:space="preserve">Ketentuan FTII UNISBANK: </w:t>
      </w:r>
      <w:r>
        <w:t>FTII wajib menyediakan pedoman pembelajaran berbasis penelitian/PkM/proyek/kasus; target persentase mata kuliah yang memanfaatkan hasil penelitian, PkM, proyek, dan kasus: 20% (2023/24-2024/25) naik menjadi 25% (2025/26-2026/27).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Prinsip OBE Bab 3.4-3.5 menyebut pembelajaran berbasis riset dan outcomes-based sebagai prinsip pelaksanaan standar pendidikan, namun tidak ditemukan ambang persentase mata kuliah yang eksplisit pada bagian yang diekstrak.</w:t>
            </w:r>
          </w:p>
        </w:tc>
      </w:tr>
      <w:tr>
        <w:tc>
          <w:tcPr>
            <w:tcW w:type="dxa" w:w="4320"/>
          </w:tcPr>
          <w:p>
            <w:r>
              <w:t>R2 (LAM Teknik)</w:t>
            </w:r>
          </w:p>
        </w:tc>
        <w:tc>
          <w:tcPr>
            <w:tcW w:type="dxa" w:w="4320"/>
          </w:tcPr>
          <w:p>
            <w:r>
              <w:t>Tidak ditemukan butir kuantitatif khusus tentang persentase mata kuliah berbasis riset/PkM/proyek pada bagian yang diekstrak (kemungkinan termasuk dalam kriteria proses pembelajaran/PBL yang tidak tercakup ekstraksi Standar Masukan).</w:t>
            </w:r>
          </w:p>
        </w:tc>
      </w:tr>
      <w:tr>
        <w:tc>
          <w:tcPr>
            <w:tcW w:type="dxa" w:w="4320"/>
          </w:tcPr>
          <w:p>
            <w:r>
              <w:t>R3 (LAM INFOKOM)</w:t>
            </w:r>
          </w:p>
        </w:tc>
        <w:tc>
          <w:tcPr>
            <w:tcW w:type="dxa" w:w="4320"/>
          </w:tcPr>
          <w:p>
            <w:r>
              <w:t>Tidak ditemukan indikator kuantitatif spesifik pada Butir 2.1.B/2.2.B - dinilai kualitatif melalui kelengkapan aspek kebijakan dan pelaksanaan kurikulum OBE.</w:t>
            </w:r>
          </w:p>
        </w:tc>
      </w:tr>
      <w:tr>
        <w:tc>
          <w:tcPr>
            <w:tcW w:type="dxa" w:w="4320"/>
          </w:tcPr>
          <w:p>
            <w:r>
              <w:t>R4 (SPMI Fasilkom R4)</w:t>
            </w:r>
          </w:p>
        </w:tc>
        <w:tc>
          <w:tcPr>
            <w:tcW w:type="dxa" w:w="4320"/>
          </w:tcPr>
          <w:p>
            <w:r>
              <w:t>Strategi Pencapaian Standar Isi Pembelajaran No.4-5: "memfasilitasi penyusunan dan penggunaan panduan pembelajaran berbasis penelitian, PkM, proyek, dan kasus" serta "mendorong pemanfaatan hasil penelitian dan PkM dalam pembelajaran" - kualitatif tanpa ambang persentase.</w:t>
            </w:r>
          </w:p>
        </w:tc>
      </w:tr>
      <w:tr>
        <w:tc>
          <w:tcPr>
            <w:tcW w:type="dxa" w:w="4320"/>
          </w:tcPr>
          <w:p>
            <w:r>
              <w:t>R5</w:t>
            </w:r>
          </w:p>
        </w:tc>
        <w:tc>
          <w:tcPr>
            <w:tcW w:type="dxa" w:w="4320"/>
          </w:tcPr>
          <w:p>
            <w:r>
              <w:t>Bab 4 No.6: kedalaman materi magister/doktor "wajib memanfaatkan hasil penelitian dan PkM" - kewajiban kualitatif untuk jenjang pascasarjana, tidak ada ambang persentase untuk sarjana.</w:t>
            </w:r>
          </w:p>
        </w:tc>
      </w:tr>
    </w:tbl>
    <w:p/>
    <w:p>
      <w:r>
        <w:rPr>
          <w:b/>
        </w:rPr>
        <w:t xml:space="preserve">Analisis Kesesuaian: </w:t>
      </w:r>
      <w:r>
        <w:t>FTII LEBIH TERUKUR - menjadi satu-satunya dari kelima rujukan yang menetapkan ambang persentase eksplisit (20% naik ke 25%) untuk mata kuliah yang memanfaatkan hasil penelitian/PkM/proyek/kasus. Seluruh 5 rujukan hanya mewajibkan keberadaan kebijakan/pedoman secara kualitatif. Ini merupakan nilai tambah FTII yang perlu dipertahankan dan didokumentasikan sebagai praktik baik saat asesmen LAM INFOKOM.</w:t>
      </w:r>
    </w:p>
    <w:p/>
    <w:p>
      <w:pPr>
        <w:pStyle w:val="Heading2"/>
      </w:pPr>
      <w:r>
        <w:t>Tema 3. Kecukupan Dosen Tetap dan Rasio Dosen:Mahasiswa</w:t>
      </w:r>
    </w:p>
    <w:p>
      <w:r>
        <w:rPr>
          <w:b/>
        </w:rPr>
        <w:t xml:space="preserve">Ketentuan FTII UNISBANK: </w:t>
      </w:r>
      <w:r>
        <w:t>FTII menargetkan rasio dosen tetap:mahasiswa membaik dari 1:08 (2023/24) menjadi 1:09, 1:10, hingga 1:20 (2026/27).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4.1 "Kecukupan dosen": skor 4 jika NDTPS (jumlah dosen tetap program studi) ≥ 12 orang; skor menurun linear di bawah itu, tidak dinilai lewat rasio mahasiswa:dosen langsung pada butir ini.</w:t>
            </w:r>
          </w:p>
        </w:tc>
      </w:tr>
      <w:tr>
        <w:tc>
          <w:tcPr>
            <w:tcW w:type="dxa" w:w="4320"/>
          </w:tcPr>
          <w:p>
            <w:r>
              <w:t>R2 (LAM Teknik)</w:t>
            </w:r>
          </w:p>
        </w:tc>
        <w:tc>
          <w:tcPr>
            <w:tcW w:type="dxa" w:w="4320"/>
          </w:tcPr>
          <w:p>
            <w:r>
              <w:t>Butir No.40 "Rasio jumlah mahasiswa terhadap DTPS": skor sempurna (4) jika 15 ≤ RMD ≤ 25 (rasio mahasiswa per dosen) DAN NDTPS ≥ 12. Rasio DI LUAR rentang 15-25 (baik lebih rendah maupun lebih tinggi) MENGURANGI skor.</w:t>
            </w:r>
          </w:p>
        </w:tc>
      </w:tr>
      <w:tr>
        <w:tc>
          <w:tcPr>
            <w:tcW w:type="dxa" w:w="4320"/>
          </w:tcPr>
          <w:p>
            <w:r>
              <w:t>R3 (LAM INFOKOM)</w:t>
            </w:r>
          </w:p>
        </w:tc>
        <w:tc>
          <w:tcPr>
            <w:tcW w:type="dxa" w:w="4320"/>
          </w:tcPr>
          <w:p>
            <w:r>
              <w:t>Butir 2.1.A menyebut DTPR (Dosen Tetap Program Studi Relevan) sebagai salah satu dari 4 aspek yang dinilai kelengkapan kebijakan/standarnya bersama sarpras dan pembiayaan - tidak memuat ambang rasio numerik spesifik pada bagian yang diekstrak.</w:t>
            </w:r>
          </w:p>
        </w:tc>
      </w:tr>
      <w:tr>
        <w:tc>
          <w:tcPr>
            <w:tcW w:type="dxa" w:w="4320"/>
          </w:tcPr>
          <w:p>
            <w:r>
              <w:t>R4 (SPMI Fasilkom R4)</w:t>
            </w:r>
          </w:p>
        </w:tc>
        <w:tc>
          <w:tcPr>
            <w:tcW w:type="dxa" w:w="4320"/>
          </w:tcPr>
          <w:p>
            <w:r>
              <w:t>Butir No.3: persentase dosen tetap terhadap seluruh dosen ≥60%. Butir No.13: rasio dosen tetap:mahasiswa mengacu standar bidang ilmu (Saintek 1:25; Soshum 1:35).</w:t>
            </w:r>
          </w:p>
        </w:tc>
      </w:tr>
      <w:tr>
        <w:tc>
          <w:tcPr>
            <w:tcW w:type="dxa" w:w="4320"/>
          </w:tcPr>
          <w:p>
            <w:r>
              <w:t>R5</w:t>
            </w:r>
          </w:p>
        </w:tc>
        <w:tc>
          <w:tcPr>
            <w:tcW w:type="dxa" w:w="4320"/>
          </w:tcPr>
          <w:p>
            <w:r>
              <w:t>Bab 4 No.12-13: rasio 1 dosen : maks 23 mahasiswa untuk rumpun sains-teknologi (1:33 untuk humaniora/sosial); rasio dalam satu universitas minimal 20 dan maksimal 30. No.16: dosen tetap ditugaskan penuh waktu minimal 5 orang per program studi dengan keahlian sesuai.</w:t>
            </w:r>
          </w:p>
        </w:tc>
      </w:tr>
    </w:tbl>
    <w:p/>
    <w:p>
      <w:r>
        <w:rPr>
          <w:b/>
        </w:rPr>
        <w:t xml:space="preserve">Analisis Kesesuaian: </w:t>
      </w:r>
      <w:r>
        <w:t>GAP METODOLOGIS PADA TAHUN AWAL, SELARAS PADA TAHUN AKHIR - target FTII 1:08 hingga 1:10 (2023/24-2025/26) berada JAUH DI BAWAH rentang ideal seluruh rujukan kuantitatif (R2: 15-25; R4: 1:25 Saintek; R5: 1:23 rumpun sains-teknologi, minimal 1:20 tingkat universitas). Rasio yang terlalu rendah (dosen "berlebih" relatif terhadap mahasiswa) justru MENGURANGI skor pada rubrik R2 (skor turun jika RMD &lt; 15 meski NDTPS ≥ 12). Target akhir FTII 1:20 (2026/27) sudah MASUK rentang minimal R5 (1:20-30 tingkat universitas) namun masih di bawah rentang ideal R2 (15-25 per prodi) dan ambang R4/R5 rumpun Saintek (1:23-1:25). REKOMENDASI: percepat kenaikan rasio dosen:mahasiswa menuju kisaran 1:20-1:25 agar sejalan dengan keempat rujukan kuantitatif, mengingat rasio terlalu rendah bukan sekadar "aman" tetapi dapat dinilai sebagai inefisiensi sumber daya oleh LAM Teknik.</w:t>
      </w:r>
    </w:p>
    <w:p/>
    <w:p>
      <w:pPr>
        <w:pStyle w:val="Heading2"/>
      </w:pPr>
      <w:r>
        <w:t>Tema 4. Kualifikasi Akademik Dosen (Persentase Bergelar Doktor)</w:t>
      </w:r>
    </w:p>
    <w:p>
      <w:r>
        <w:rPr>
          <w:b/>
        </w:rPr>
        <w:t xml:space="preserve">Ketentuan FTII UNISBANK: </w:t>
      </w:r>
      <w:r>
        <w:t>FTII menargetkan persentase dosen dengan gelar Doktor meningkat dari 15% (2023/24) menjadi 20%, 25%, hingga 30% (2026/27).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4.2 "Kualifikasi akademik DTPS": skor sempurna (4) jika PDS3 (persentase dosen berpendidikan Doktor) ≥ 50%; di bawah itu skor = 2 + (4 x PDS3).</w:t>
            </w:r>
          </w:p>
        </w:tc>
      </w:tr>
      <w:tr>
        <w:tc>
          <w:tcPr>
            <w:tcW w:type="dxa" w:w="4320"/>
          </w:tcPr>
          <w:p>
            <w:r>
              <w:t>R2 (LAM Teknik)</w:t>
            </w:r>
          </w:p>
        </w:tc>
        <w:tc>
          <w:tcPr>
            <w:tcW w:type="dxa" w:w="4320"/>
          </w:tcPr>
          <w:p>
            <w:r>
              <w:t>Butir No.27: rumusan identik dengan R1 - skor 4 jika PDS3 ≥ 50%.</w:t>
            </w:r>
          </w:p>
        </w:tc>
      </w:tr>
      <w:tr>
        <w:tc>
          <w:tcPr>
            <w:tcW w:type="dxa" w:w="4320"/>
          </w:tcPr>
          <w:p>
            <w:r>
              <w:t>R4 (SPMI Fasilkom R4)</w:t>
            </w:r>
          </w:p>
        </w:tc>
        <w:tc>
          <w:tcPr>
            <w:tcW w:type="dxa" w:w="4320"/>
          </w:tcPr>
          <w:p>
            <w:r>
              <w:t>Tidak memuat indikator persentase dosen bergelar Doktor secara eksplisit dalam tabel IKU/IKT Standar Dosen dan Tenaga Kependidikan pada bagian yang diekstrak (fokus pada persentase dosen tetap, jabfung, sertifikat pendidik, dan rasio).</w:t>
            </w:r>
          </w:p>
        </w:tc>
      </w:tr>
      <w:tr>
        <w:tc>
          <w:tcPr>
            <w:tcW w:type="dxa" w:w="4320"/>
          </w:tcPr>
          <w:p>
            <w:r>
              <w:t>R5</w:t>
            </w:r>
          </w:p>
        </w:tc>
        <w:tc>
          <w:tcPr>
            <w:tcW w:type="dxa" w:w="4320"/>
          </w:tcPr>
          <w:p>
            <w:r>
              <w:t>Bab 4 No.18: "Lebih dari 40 persen dosen tetap pada program diploma dan program sarjana, bergelar doktor."</w:t>
            </w:r>
          </w:p>
        </w:tc>
      </w:tr>
    </w:tbl>
    <w:p/>
    <w:p>
      <w:r>
        <w:rPr>
          <w:b/>
        </w:rPr>
        <w:t>Analisis Kesesuaian: GAP TERIDENTIFIKASI DAN TERUKUR - target akhir FTII (30% pada 2026/27) masih DI BAWAH ambang skor sempurna R1/R2 (≥50%) maupun ambang minimal R5 (&gt;40%). Target awal FTII (15%) hanya sekitar sepertiga dari ambang R1/R2. Ini merupakan salah satu gap kuantitatif paling signifikan dalam pemetaan Standar Masukan Pendidikan. REKOMENDASI PRIORITAS: susun roadmap percepatan studi lanjut S3 dosen FTII secara lebih agresif (mis. target 40-50% dalam 5-8 tahun ke depan) agar sejajar dengan ambang skor sempurna LAM Teknik dan ambang minimal R5, karena persentase dosen doktor adalah salah satu indikator berbobot tinggi dalam borang akreditasi (BAN PT: 0.71; LAM TEKNIK/INFOKOM: 0.75).</w:t>
      </w:r>
      <w:r/>
    </w:p>
    <w:p/>
    <w:p>
      <w:pPr>
        <w:pStyle w:val="Heading2"/>
      </w:pPr>
      <w:r>
        <w:t>Tema 5. Jabatan Fungsional Dosen (Lektor Kepala dan Guru Besar)</w:t>
      </w:r>
    </w:p>
    <w:p>
      <w:r>
        <w:rPr>
          <w:b/>
        </w:rPr>
        <w:t xml:space="preserve">Ketentuan FTII UNISBANK: </w:t>
      </w:r>
      <w:r>
        <w:t>FTII menargetkan persentase dosen dengan jabatan fungsional Guru Besar (GB) dan Lektor Kepala (LK) meningkat dari 18% (2023/24) menjadi 23%, 25%, hingga 30% (2026/27).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4.3 "Jabatan akademik DTPS": skor 4 jika PGBLK (persentase GB+LK, atau GB+LK+Lektor untuk selain LAM Teknik) ≥ 50% (LAM Teknik) atau ≥ 70% (selain LAM Teknik).</w:t>
            </w:r>
          </w:p>
        </w:tc>
      </w:tr>
      <w:tr>
        <w:tc>
          <w:tcPr>
            <w:tcW w:type="dxa" w:w="4320"/>
          </w:tcPr>
          <w:p>
            <w:r>
              <w:t>R2 (LAM Teknik)</w:t>
            </w:r>
          </w:p>
        </w:tc>
        <w:tc>
          <w:tcPr>
            <w:tcW w:type="dxa" w:w="4320"/>
          </w:tcPr>
          <w:p>
            <w:r>
              <w:t>Butir No.28: PGBLKL (mencakup GB, LK, DAN Lektor - bukan hanya GB+LK seperti FTII) skor 4 jika ≥ 70% untuk non-LAM Teknik (yang relevan untuk LAM INFOKOM).</w:t>
            </w:r>
          </w:p>
        </w:tc>
      </w:tr>
      <w:tr>
        <w:tc>
          <w:tcPr>
            <w:tcW w:type="dxa" w:w="4320"/>
          </w:tcPr>
          <w:p>
            <w:r>
              <w:t>R4 (SPMI Fasilkom R4)</w:t>
            </w:r>
          </w:p>
        </w:tc>
        <w:tc>
          <w:tcPr>
            <w:tcW w:type="dxa" w:w="4320"/>
          </w:tcPr>
          <w:p>
            <w:r>
              <w:t>Butir No.10: persentase dosen tetap dengan jabatan Lektor Kepala DAN Guru Besar (cakupan sama seperti FTII, tidak termasuk Lektor biasa) ≥ 25% - target konstan seluruh tahun.</w:t>
            </w:r>
          </w:p>
        </w:tc>
      </w:tr>
      <w:tr>
        <w:tc>
          <w:tcPr>
            <w:tcW w:type="dxa" w:w="4320"/>
          </w:tcPr>
          <w:p>
            <w:r>
              <w:t>R5</w:t>
            </w:r>
          </w:p>
        </w:tc>
        <w:tc>
          <w:tcPr>
            <w:tcW w:type="dxa" w:w="4320"/>
          </w:tcPr>
          <w:p>
            <w:r>
              <w:t>Bab 4 No.19: jumlah guru besar minimal 15% dari seluruh dosen tetap (khusus GB). No.21: "Lebih dari 40 persen dosen tetap memiliki jabatan fungsional lektor kepala/profesor" (GB+LK, cakupan sama seperti FTII).</w:t>
            </w:r>
          </w:p>
        </w:tc>
      </w:tr>
    </w:tbl>
    <w:p/>
    <w:p>
      <w:r>
        <w:rPr>
          <w:b/>
        </w:rPr>
        <w:t>Analisis Kesesuaian: GAP METODOLOGIS DAN GAP ANGKA - dua isu ditemukan. Pertama, cakupan definisi berbeda: FTII dan R4/R5 menghitung GB+LK saja, sedangkan R1/R2 (rubrik PGBLK/PGBLKL) menghitung GB+LK+Lektor sehingga ambang 70% pada R1/R2 TIDAK dapat dibandingkan langsung dengan target FTII tanpa penyesuaian cakupan. Kedua, dibandingkan definisi yang SEBANDING (GB+LK saja): target awal FTII (18%) sudah MELAMPAUI ambang R4 (≥25% - FTII belum mencapai di tahun awal namun melampaui di 2024/25 dengan 23%~25%) namun MASIH DI BAWAH ambang R5 (&gt;40%). Target akhir FTII (30%) masih di bawah ambang R5. REKOMENDASI: pertahankan momentum peningkatan menuju ≥40% (ambang R5) dalam jangka menengah-panjang, dan jelaskan cakupan definisi (GB+LK, tidak termasuk Lektor biasa) secara eksplisit dalam dokumen standar agar tidak disalahartikan saat dibandingkan dengan rubrik LAM Teknik/R1 yang mencakup Lektor.</w:t>
      </w:r>
      <w:r/>
    </w:p>
    <w:p/>
    <w:p>
      <w:pPr>
        <w:pStyle w:val="Heading2"/>
      </w:pPr>
      <w:r>
        <w:t>Tema 6. Sertifikasi Pendidik Dosen</w:t>
      </w:r>
    </w:p>
    <w:p>
      <w:r>
        <w:rPr>
          <w:b/>
        </w:rPr>
        <w:t xml:space="preserve">Ketentuan FTII UNISBANK: </w:t>
      </w:r>
      <w:r>
        <w:t>FTII menargetkan persentase dosen bersertifikat pendidik meningkat dari 75% (2023/24) menjadi 80%, 85%, hingga 90% (2026/27).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4.4 "Persentase DTPS bersertifikat pendidik profesional (PSPP)": skor 4 jika PSPP ≥ 80%.</w:t>
            </w:r>
          </w:p>
        </w:tc>
      </w:tr>
      <w:tr>
        <w:tc>
          <w:tcPr>
            <w:tcW w:type="dxa" w:w="4320"/>
          </w:tcPr>
          <w:p>
            <w:r>
              <w:t>R4 (SPMI Fasilkom R4)</w:t>
            </w:r>
          </w:p>
        </w:tc>
        <w:tc>
          <w:tcPr>
            <w:tcW w:type="dxa" w:w="4320"/>
          </w:tcPr>
          <w:p>
            <w:r>
              <w:t>Butir No.11: persentase dosen tetap dengan sertifikat pendidik ≥ 80% - target konstan seluruh tahun.</w:t>
            </w:r>
          </w:p>
        </w:tc>
      </w:tr>
      <w:tr>
        <w:tc>
          <w:tcPr>
            <w:tcW w:type="dxa" w:w="4320"/>
          </w:tcPr>
          <w:p>
            <w:r>
              <w:t>R5</w:t>
            </w:r>
          </w:p>
        </w:tc>
        <w:tc>
          <w:tcPr>
            <w:tcW w:type="dxa" w:w="4320"/>
          </w:tcPr>
          <w:p>
            <w:r>
              <w:t>Bab 4 No.20: jumlah dosen bersertifikat pendidik/profesi/kompetensi minimal 80%.</w:t>
            </w:r>
          </w:p>
        </w:tc>
      </w:tr>
    </w:tbl>
    <w:p/>
    <w:p>
      <w:r>
        <w:rPr>
          <w:b/>
        </w:rPr>
        <w:t xml:space="preserve">Analisis Kesesuaian: </w:t>
      </w:r>
      <w:r>
        <w:t>SELARAS DAN PROGRESIF - ketiga rujukan yang memuat ambang kuantitatif (R1, R4, R5) secara konsisten menetapkan ambang 80%. Target awal FTII (75%, 2023/24) sedikit DI BAWAH ambang tersebut, namun target 2024/25 (80%) sudah SETARA, dan target 2025/26-2026/27 (85%-90%) sudah MELAMPAUI ketiga rujukan. Tidak ada gap struktural - roadmap FTII konsisten menuju dan melampaui standar bersama tiga rujukan independen.</w:t>
      </w:r>
    </w:p>
    <w:p/>
    <w:p>
      <w:pPr>
        <w:pStyle w:val="Heading2"/>
      </w:pPr>
      <w:r>
        <w:t>Tema 7. Produktivitas Tridharma Dosen (Penelitian, PkM, Publikasi, Rekognisi)</w:t>
      </w:r>
    </w:p>
    <w:p>
      <w:r>
        <w:rPr>
          <w:b/>
        </w:rPr>
        <w:t xml:space="preserve">Ketentuan FTII UNISBANK: </w:t>
      </w:r>
      <w:r>
        <w:t>FTII menargetkan 100% dosen aktif melakukan penelitian, 100% aktif PkM, 80%-90% aktif publikasi ilmiah, dan 20%-35% dosen memperoleh rekognisi/pengakuan.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5.2-5.3 "Standar 5: Keuangan": dana penelitian dosen (DPD) ≥ Rp10 juta/tahun dan dana PkM dosen (DPkMD) ≥ Rp5 juta/tahun untuk skor 4 - dinilai lewat besaran dana, bukan persentase dosen aktif.</w:t>
            </w:r>
          </w:p>
        </w:tc>
      </w:tr>
      <w:tr>
        <w:tc>
          <w:tcPr>
            <w:tcW w:type="dxa" w:w="4320"/>
          </w:tcPr>
          <w:p>
            <w:r>
              <w:t>R2 (LAM Teknik)</w:t>
            </w:r>
          </w:p>
        </w:tc>
        <w:tc>
          <w:tcPr>
            <w:tcW w:type="dxa" w:w="4320"/>
          </w:tcPr>
          <w:p>
            <w:r>
              <w:t>Butir No.10-11: rumusan identik R1 (DPD ≥ Rp10 juta; DPkMD ≥ Rp5 juta per dosen per tahun untuk skor 4).</w:t>
            </w:r>
          </w:p>
        </w:tc>
      </w:tr>
      <w:tr>
        <w:tc>
          <w:tcPr>
            <w:tcW w:type="dxa" w:w="4320"/>
          </w:tcPr>
          <w:p>
            <w:r>
              <w:t>R4 (SPMI Fasilkom R4)</w:t>
            </w:r>
          </w:p>
        </w:tc>
        <w:tc>
          <w:tcPr>
            <w:tcW w:type="dxa" w:w="4320"/>
          </w:tcPr>
          <w:p>
            <w:r>
              <w:t>Butir No.14: dosen aktif penelitian ≥90%/tahun. Butir No.15: dosen aktif PkM ≥90%/tahun. Butir No.16: dosen rekognisi nasional/internasional ≥30%/tahun. Butir No.17: dosen dengan publikasi nasional/internasional ≥90%/tahun.</w:t>
            </w:r>
          </w:p>
        </w:tc>
      </w:tr>
      <w:tr>
        <w:tc>
          <w:tcPr>
            <w:tcW w:type="dxa" w:w="4320"/>
          </w:tcPr>
          <w:p>
            <w:r>
              <w:t>R5</w:t>
            </w:r>
          </w:p>
        </w:tc>
        <w:tc>
          <w:tcPr>
            <w:tcW w:type="dxa" w:w="4320"/>
          </w:tcPr>
          <w:p>
            <w:r>
              <w:t>Bab 4 No.23: rata-rata penelitian minimal 1/dosen/tahun (dana luar PT). No.24: rata-rata PkM minimal 0,5/dosen/tahun. No.27: pengakuan prestasi dosen minimal 0,17/dosen (rasio, bukan persentase dosen aktif). No.28: rata-rata Indeks Kinerja Dosen (IKD) &gt; 3,00.</w:t>
            </w:r>
          </w:p>
        </w:tc>
      </w:tr>
    </w:tbl>
    <w:p/>
    <w:p>
      <w:r>
        <w:rPr>
          <w:b/>
        </w:rPr>
        <w:t xml:space="preserve">Analisis Kesesuaian: </w:t>
      </w:r>
      <w:r>
        <w:t>SELARAS UNTUK PENELITIAN/PkM, MELAMPAUI R4 UNTUK PUBLIKASI - target FTII 100% dosen aktif penelitian dan PkM MELAMPAUI ambang R4 (masing-masing ≥90%). Untuk publikasi ilmiah, target FTII 80%-90% SELARAS dengan ambang R4 (≥90% pada tahun akhir). Untuk rekognisi, target awal FTII (20%) DI BAWAH ambang R4 (≥30%), namun target 2025/26-2026/27 (35%) sudah MELAMPAUI R4. Catatan metodologis: R1/R2/R5 mengukur produktivitas lewat BESARAN DANA atau RASIO per dosen (bukan % dosen aktif seperti FTII/R4) - kedua pendekatan tidak sepenuhnya dapat dibandingkan langsung tanpa data pendukung (jumlah dosen dan total dana). REKOMENDASI: tambahkan indikator besaran dana penelitian/PkM per dosen per tahun (mengikuti pola R1/R2/R5) sebagai pelengkap indikator persentase dosen aktif yang sudah ada, agar FTII dapat langsung diverifikasi terhadap ambang Rp10 juta (penelitian) dan Rp5 juta (PkM) saat akreditasi LAM Teknik.</w:t>
      </w:r>
    </w:p>
    <w:p/>
    <w:p>
      <w:pPr>
        <w:pStyle w:val="Heading2"/>
      </w:pPr>
      <w:r>
        <w:t>Tema 8. Tenaga Kependidikan</w:t>
      </w:r>
    </w:p>
    <w:p>
      <w:r>
        <w:rPr>
          <w:b/>
        </w:rPr>
        <w:t xml:space="preserve">Ketentuan FTII UNISBANK: </w:t>
      </w:r>
      <w:r>
        <w:t>FTII menargetkan kecukupan dan kualifikasi tenaga kependidikan sesuai kebutuhan layanan program studi, dengan kualifikasi pendidikan tenaga administrasi minimal D3/sederajat (target "Tersedia" seluruh tahun).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4.5 dst mencakup kecukupan laboran/teknisi/administrator sistem, dinilai kualitatif skala 0-4 berdasar kecukupan jumlah dan kompetensi - tidak ditemukan ambang persentase eksplisit pada bagian yang diekstrak.</w:t>
            </w:r>
          </w:p>
        </w:tc>
      </w:tr>
      <w:tr>
        <w:tc>
          <w:tcPr>
            <w:tcW w:type="dxa" w:w="4320"/>
          </w:tcPr>
          <w:p>
            <w:r>
              <w:t>R2 (LAM Teknik)</w:t>
            </w:r>
          </w:p>
        </w:tc>
        <w:tc>
          <w:tcPr>
            <w:tcW w:type="dxa" w:w="4320"/>
          </w:tcPr>
          <w:p>
            <w:r>
              <w:t>Butir No.29: kualifikasi dan kecukupan laboran/teknisi/administrator sistem dinilai kualitatif (skala 0-4), sama seperti R1.</w:t>
            </w:r>
          </w:p>
        </w:tc>
      </w:tr>
      <w:tr>
        <w:tc>
          <w:tcPr>
            <w:tcW w:type="dxa" w:w="4320"/>
          </w:tcPr>
          <w:p>
            <w:r>
              <w:t>R4 (SPMI Fasilkom R4)</w:t>
            </w:r>
          </w:p>
        </w:tc>
        <w:tc>
          <w:tcPr>
            <w:tcW w:type="dxa" w:w="4320"/>
          </w:tcPr>
          <w:p>
            <w:r>
              <w:t>Butir No.4: tenaga kependidikan memenuhi kebutuhan layanan akademik ≥90%. Butir No.5: tenaga administrasi berkualifikasi minimal SMA/sederajat 100% (BUKAN D3 seperti standar FTII - ambang R4 LEBIH RENDAH).</w:t>
            </w:r>
          </w:p>
        </w:tc>
      </w:tr>
      <w:tr>
        <w:tc>
          <w:tcPr>
            <w:tcW w:type="dxa" w:w="4320"/>
          </w:tcPr>
          <w:p>
            <w:r>
              <w:t>R5</w:t>
            </w:r>
          </w:p>
        </w:tc>
        <w:tc>
          <w:tcPr>
            <w:tcW w:type="dxa" w:w="4320"/>
          </w:tcPr>
          <w:p>
            <w:r>
              <w:t>Bab 4 No.30: tenaga kependidikan kualifikasi minimal D3 (dikecualikan tenaga administrasi). No.33: tenaga administrasi kualifikasi minimal SMA/sederajat (sama seperti R4, lebih rendah dari standar FTII).</w:t>
            </w:r>
          </w:p>
        </w:tc>
      </w:tr>
    </w:tbl>
    <w:p/>
    <w:p>
      <w:r>
        <w:rPr>
          <w:b/>
        </w:rPr>
        <w:t xml:space="preserve">Analisis Kesesuaian: </w:t>
      </w:r>
      <w:r>
        <w:t>FTII LEBIH KETAT DARI R4/R5 UNTUK TENAGA ADMINISTRASI - FTII mensyaratkan kualifikasi minimal D3/sederajat untuk tenaga administrasi, sedangkan R4 dan R5 (mengikuti pola umum SN-Dikti) hanya mensyaratkan minimal SMA/sederajat untuk tenaga administrasi (D3 hanya untuk tenaga kependidikan fungsional seperti laboran/pustakawan). Ini merupakan standar FTII yang LEBIH TINGGI dari rujukan, dan sejalan dengan indikator "tenaga kependidikan yang memerlukan keahlian khusus wajib memiliki sertifikat kompetensi" (R5 No.34). Tidak ada gap - justru nilai tambah yang perlu dipertahankan.</w:t>
      </w:r>
    </w:p>
    <w:p/>
    <w:p>
      <w:pPr>
        <w:pStyle w:val="Heading2"/>
      </w:pPr>
      <w:r>
        <w:t>Tema 9. Sarana Prasarana: Lahan dan Bangunan</w:t>
      </w:r>
    </w:p>
    <w:p>
      <w:r>
        <w:rPr>
          <w:b/>
        </w:rPr>
        <w:t xml:space="preserve">Ketentuan FTII UNISBANK: </w:t>
      </w:r>
      <w:r>
        <w:t>FTII menargetkan kepemilikan lahan minimal 20 tahun dengan rasio luas 2 m²/mahasiswa, dan luas bangunan sesuai rasio minimum 2 m²/mahasiswa (target "Memenuhi" seluruh tahun).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5.6-5.7 menilai kecukupan, aksesibilitas, dan mutu sarpras secara kualitatif (skala 0-4 berdasarkan pemenuhan aspek) - tidak memuat angka rasio luas per mahasiswa secara eksplisit pada bagian yang diekstrak.</w:t>
            </w:r>
          </w:p>
        </w:tc>
      </w:tr>
      <w:tr>
        <w:tc>
          <w:tcPr>
            <w:tcW w:type="dxa" w:w="4320"/>
          </w:tcPr>
          <w:p>
            <w:r>
              <w:t>R4 (SPMI Fasilkom R4)</w:t>
            </w:r>
          </w:p>
        </w:tc>
        <w:tc>
          <w:tcPr>
            <w:tcW w:type="dxa" w:w="4320"/>
          </w:tcPr>
          <w:p>
            <w:r>
              <w:t>Butir No.3: pemenuhan kebutuhan lahan sesuai standar universitas 100%. Butir No.4: pemenuhan rasio luas bangunan sesuai standar universitas ≥95%→100% (tidak menyebut angka m²/mahasiswa eksplisit pada bagian yang diekstrak, merujuk "standar universitas").</w:t>
            </w:r>
          </w:p>
        </w:tc>
      </w:tr>
      <w:tr>
        <w:tc>
          <w:tcPr>
            <w:tcW w:type="dxa" w:w="4320"/>
          </w:tcPr>
          <w:p>
            <w:r>
              <w:t>R5</w:t>
            </w:r>
          </w:p>
        </w:tc>
        <w:tc>
          <w:tcPr>
            <w:tcW w:type="dxa" w:w="4320"/>
          </w:tcPr>
          <w:p>
            <w:r>
              <w:t>Bab 4 Standar Sarpras huruf a butir 10: "Luas bangunan sekurang-kurangnya 2 m² per mahasiswa" - angka IDENTIK PERSIS dengan target FTII. Butir 2: status lahan wajib bersertifikat (Hak Milik/HGB/Hak Pakai), namun tidak menyebut jangka waktu minimal 20 tahun secara eksplisit pada bagian yang diekstrak.</w:t>
            </w:r>
          </w:p>
        </w:tc>
      </w:tr>
    </w:tbl>
    <w:p/>
    <w:p>
      <w:r>
        <w:rPr>
          <w:b/>
        </w:rPr>
        <w:t>Analisis Kesesuaian: SELARAS PENUH UNTUK RASIO BANGUNAN - angka target FTII (2 m²/mahasiswa untuk luas bangunan) IDENTIK PERSIS dengan ambang R5. Untuk ketentuan "kepemilikan lahan minimal 20 tahun", tidak ditemukan angka pembanding eksplisit pada R1/R4/R5 yang diekstrak - kemungkinan besar diturunkan langsung dari ketentuan umum Permendikbud/BAN-PT tentang status hak atas tanah perguruan tinggi (bukan turunan spesifik dari salah satu 5 rujukan ini). Tidak ada gap pada rasio luas; disarankan FTII mencantumkan sumber regulasi spesifik untuk ketentuan masa kepemilikan lahan 20 tahun pada dokumen turunan (pedoman sarpras) agar auditor dapat menelusuri dasar hukumnya.</w:t>
      </w:r>
      <w:r/>
    </w:p>
    <w:p/>
    <w:p>
      <w:pPr>
        <w:pStyle w:val="Heading2"/>
      </w:pPr>
      <w:r>
        <w:t>Tema 10. Sarana Prasarana: Ruang Dosen dan Laboratorium</w:t>
      </w:r>
    </w:p>
    <w:p>
      <w:r>
        <w:rPr>
          <w:b/>
        </w:rPr>
        <w:t xml:space="preserve">Ketentuan FTII UNISBANK: </w:t>
      </w:r>
      <w:r>
        <w:t>FTII menargetkan ruang dosen memenuhi rasio 4 m²/dosen serta dilengkapi jaringan data (target 100% naik menjadi "Optimal" pada 2026/27), serta tersedianya ruang laboratorium untuk pembelajaran.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5.8-5.9 menilai penyediaan sarpras laboratorium (SOP penggunaan, pemeliharaan, evaluasi kelayakan, pelatihan K3, SDM lab) dan sosialisasi K3L secara kualitatif skala 0-4 - tidak memuat angka m²/dosen.</w:t>
            </w:r>
          </w:p>
        </w:tc>
      </w:tr>
      <w:tr>
        <w:tc>
          <w:tcPr>
            <w:tcW w:type="dxa" w:w="4320"/>
          </w:tcPr>
          <w:p>
            <w:r>
              <w:t>R4 (SPMI Fasilkom R4)</w:t>
            </w:r>
          </w:p>
        </w:tc>
        <w:tc>
          <w:tcPr>
            <w:tcW w:type="dxa" w:w="4320"/>
          </w:tcPr>
          <w:p>
            <w:r>
              <w:t>Butir No.8: pemenuhan standar ruang dosen (luas, perabot, jaringan data) ≥90%→100% - sejalan dengan cakupan FTII (luas + jaringan data) namun tanpa angka m² eksplisit pada bagian yang diekstrak.</w:t>
            </w:r>
          </w:p>
        </w:tc>
      </w:tr>
      <w:tr>
        <w:tc>
          <w:tcPr>
            <w:tcW w:type="dxa" w:w="4320"/>
          </w:tcPr>
          <w:p>
            <w:r>
              <w:t>R5</w:t>
            </w:r>
          </w:p>
        </w:tc>
        <w:tc>
          <w:tcPr>
            <w:tcW w:type="dxa" w:w="4320"/>
          </w:tcPr>
          <w:p>
            <w:r>
              <w:t>Bab 4 Standar Sarpras huruf h(?)/ruang dosen: "Luas ruang dosen sekurang-kurangnya 4 m² per dosen" dan "jumlah keseluruhan luas ruang dosen sekurang-kurangnya 60 m² per program studi" - angka 4 m²/dosen IDENTIK PERSIS dengan target FTII.</w:t>
            </w:r>
          </w:p>
        </w:tc>
      </w:tr>
    </w:tbl>
    <w:p/>
    <w:p>
      <w:r>
        <w:rPr>
          <w:b/>
        </w:rPr>
        <w:t>Analisis Kesesuaian: SELARAS PENUH - angka target FTII (4 m²/dosen) IDENTIK PERSIS dengan ambang R5 (R5: "4 m² per dosen"). Cakupan aspek (luas ruang + jaringan data) juga sejalan dengan R4 (luas, perabot, jaringan data). Tidak ada gap; ini adalah salah satu tema dengan keselarasan angka paling presisi di antara seluruh pemetaan Standar Masukan Pendidikan. Untuk laboratorium, FTII sebaiknya melengkapi IKU dengan ambang kualitatif K3L (sosialisasi berkala, SOP penggunaan) sebagaimana R1 Butir 5.9 dan R5, karena saat ini IKU FTII untuk laboratorium hanya menyatakan "Tersedia" tanpa merinci aspek keselamatan kerja.</w:t>
      </w:r>
      <w:r/>
    </w:p>
    <w:p/>
    <w:p>
      <w:pPr>
        <w:pStyle w:val="Heading2"/>
      </w:pPr>
      <w:r>
        <w:t>Tema 11. Aksesibilitas bagi Mahasiswa Berkebutuhan Khusus dan Sistem Informasi Terintegrasi</w:t>
      </w:r>
    </w:p>
    <w:p>
      <w:r>
        <w:rPr>
          <w:b/>
        </w:rPr>
        <w:t xml:space="preserve">Ketentuan FTII UNISBANK: </w:t>
      </w:r>
      <w:r>
        <w:t>FTII menargetkan tersedianya sarpras aksesibel bagi mahasiswa berkebutuhan khusus dan sistem informasi layanan administrasi (akademik, keuangan, SDM, aset) yang mudah diakses (target "Tersedia" seluruh tahun).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Tidak ditemukan butir spesifik tentang aksesibilitas difabel atau sistem informasi terintegrasi pada Standar 4-6 yang diekstrak (kemungkinan tercakup pada standar tata kelola/tata pamong di luar cakupan ekstraksi).</w:t>
            </w:r>
          </w:p>
        </w:tc>
      </w:tr>
      <w:tr>
        <w:tc>
          <w:tcPr>
            <w:tcW w:type="dxa" w:w="4320"/>
          </w:tcPr>
          <w:p>
            <w:r>
              <w:t>R4 (SPMI Fasilkom R4)</w:t>
            </w:r>
          </w:p>
        </w:tc>
        <w:tc>
          <w:tcPr>
            <w:tcW w:type="dxa" w:w="4320"/>
          </w:tcPr>
          <w:p>
            <w:r>
              <w:t>Butir No.9: fasilitas aksesibel pembelajaran bagi mahasiswa berkebutuhan khusus ≥80%→100%. Butir No.10: layanan sistem informasi pembelajaran dan administrasi yang dapat diakses ≥90%→100%.</w:t>
            </w:r>
          </w:p>
        </w:tc>
      </w:tr>
      <w:tr>
        <w:tc>
          <w:tcPr>
            <w:tcW w:type="dxa" w:w="4320"/>
          </w:tcPr>
          <w:p>
            <w:r>
              <w:t>R5</w:t>
            </w:r>
          </w:p>
        </w:tc>
        <w:tc>
          <w:tcPr>
            <w:tcW w:type="dxa" w:w="4320"/>
          </w:tcPr>
          <w:p>
            <w:r>
              <w:t>Bab 4 Standar Sarpras butir 6: fasilitas aksesibel bagi mahasiswa berkebutuhan khusus dirinci menjadi 5 aspek (pelabelan braille, lerengan/ramp, jalur pemandu/guiding block, peta timbul, toilet difabel) sesuai Peraturan Dirjen Belmawa - jauh lebih rinci dari pernyataan kualitatif FTII.</w:t>
            </w:r>
          </w:p>
        </w:tc>
      </w:tr>
    </w:tbl>
    <w:p/>
    <w:p>
      <w:r>
        <w:rPr>
          <w:b/>
        </w:rPr>
        <w:t>Analisis Kesesuaian: SELARAS DENGAN R4, FTII PERLU MERINCI ASPEK SEPERTI R5 - kewajiban FTII sejalan dengan R4 (kedua rujukan sama-sama mewajibkan aksesibilitas difabel dan sistem informasi terintegrasi tanpa gap kebijakan). Namun R5 merinci aksesibilitas difabel menjadi 5 komponen fisik konkret berdasarkan Peraturan Dirjen Belmawa, sementara IKU FTII saat ini hanya menyatakan "Tersedia" secara umum. REKOMENDASI: rinci indikator aksesibilitas FTII mengikuti 5 aspek Peraturan Dirjen Belmawa (pelabelan braille, ramp, guiding block, peta timbul, toilet difabel) agar lebih terukur dan mudah diverifikasi auditor.</w:t>
      </w:r>
      <w:r/>
    </w:p>
    <w:p/>
    <w:p>
      <w:pPr>
        <w:pStyle w:val="Heading2"/>
      </w:pPr>
      <w:r>
        <w:t>Tema 12. Dana Operasional Pendidikan per Mahasiswa</w:t>
      </w:r>
    </w:p>
    <w:p>
      <w:r>
        <w:rPr>
          <w:b/>
        </w:rPr>
        <w:t xml:space="preserve">Ketentuan FTII UNISBANK: </w:t>
      </w:r>
      <w:r>
        <w:t>FTII menargetkan rata-rata dana operasional proses pembelajaran per mahasiswa per tahun sebesar Rp11 juta (2023/24-2024/25) naik menjadi Rp15 juta (2025/26-2026/27).</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5.1 "Biaya operasional pendidikan (DOP)": skor sempurna (4) jika DOP ≥ Rp20.000.000/mahasiswa/tahun; di bawah itu skor = DOP/5.000.000.</w:t>
            </w:r>
          </w:p>
        </w:tc>
      </w:tr>
      <w:tr>
        <w:tc>
          <w:tcPr>
            <w:tcW w:type="dxa" w:w="4320"/>
          </w:tcPr>
          <w:p>
            <w:r>
              <w:t>R2 (LAM Teknik)</w:t>
            </w:r>
          </w:p>
        </w:tc>
        <w:tc>
          <w:tcPr>
            <w:tcW w:type="dxa" w:w="4320"/>
          </w:tcPr>
          <w:p>
            <w:r>
              <w:t>Butir No.9: rumusan IDENTIK dengan R1 - BOP ≥ Rp20.000.000/mahasiswa/tahun untuk skor 4.</w:t>
            </w:r>
          </w:p>
        </w:tc>
      </w:tr>
      <w:tr>
        <w:tc>
          <w:tcPr>
            <w:tcW w:type="dxa" w:w="4320"/>
          </w:tcPr>
          <w:p>
            <w:r>
              <w:t>R3 (LAM INFOKOM)</w:t>
            </w:r>
          </w:p>
        </w:tc>
        <w:tc>
          <w:tcPr>
            <w:tcW w:type="dxa" w:w="4320"/>
          </w:tcPr>
          <w:p>
            <w:r>
              <w:t>Butir 2.1.A menyebut pembiayaan pendidikan sebagai salah satu dari 4 aspek yang dinilai kelengkapan kebijakan/standarnya - tidak memuat angka rupiah spesifik pada bagian yang diekstrak.</w:t>
            </w:r>
          </w:p>
        </w:tc>
      </w:tr>
      <w:tr>
        <w:tc>
          <w:tcPr>
            <w:tcW w:type="dxa" w:w="4320"/>
          </w:tcPr>
          <w:p>
            <w:r>
              <w:t>R4 (SPMI Fasilkom R4)</w:t>
            </w:r>
          </w:p>
        </w:tc>
        <w:tc>
          <w:tcPr>
            <w:tcW w:type="dxa" w:w="4320"/>
          </w:tcPr>
          <w:p>
            <w:r>
              <w:t>Butir No.5: "rata-rata dana operasional pembelajaran per mahasiswa per tahun sesuai standar universitas (minimal Rp20.000.000)" - IDENTIK dengan ambang R1/R2.</w:t>
            </w:r>
          </w:p>
        </w:tc>
      </w:tr>
      <w:tr>
        <w:tc>
          <w:tcPr>
            <w:tcW w:type="dxa" w:w="4320"/>
          </w:tcPr>
          <w:p>
            <w:r>
              <w:t>R5</w:t>
            </w:r>
          </w:p>
        </w:tc>
        <w:tc>
          <w:tcPr>
            <w:tcW w:type="dxa" w:w="4320"/>
          </w:tcPr>
          <w:p>
            <w:r>
              <w:t>Bab 5 Indikator No.4: "standar satuan biaya operasional pendidikan tinggi/mahasiswa/tahun adalah 20 juta per mahasiswa per tahun untuk program diploma/sarjana/sarjana terapan" - KONSISTEN dengan keempat rujukan lain.</w:t>
            </w:r>
          </w:p>
        </w:tc>
      </w:tr>
    </w:tbl>
    <w:p/>
    <w:p>
      <w:r>
        <w:rPr>
          <w:b/>
        </w:rPr>
        <w:t>Analisis Kesesuaian: GAP KUANTITATIF SIGNIFIKAN DAN KONSISTEN DI 4 RUJUKAN - target FTII (Rp11-15 juta) berada JAUH DI BAWAH ambang Rp20 juta/mahasiswa/tahun yang SERAGAM disebutkan oleh 4 dari 5 rujukan (R1, R2, R4, R5) - ini adalah salah satu temuan paling konsisten dalam seluruh pemetaan, menunjukkan Rp20 juta adalah ambang industri/nasional yang mapan untuk skor sempurna akreditasi bidang keuangan pendidikan. Bahkan target akhir FTII (Rp15 juta pada 2026/27) baru mencapai 75% dari ambang tersebut. REKOMENDASI PRIORITAS: susun roadmap peningkatan dana operasional pembelajaran per mahasiswa menuju minimal Rp20 juta, karena indikator ini berbobot tinggi (BAN PT: 1.05) pada rubrik LAM Teknik dan menjadi rujukan universal pada dokumen Panduan SPMI Program Sarjana (R1), R4 Jatim, maupun R5.</w:t>
      </w:r>
      <w:r/>
    </w:p>
    <w:p/>
    <w:p>
      <w:pPr>
        <w:pStyle w:val="Heading2"/>
      </w:pPr>
      <w:r>
        <w:t>Tema 13. Diversifikasi dan Transparansi Sumber Pembiayaan</w:t>
      </w:r>
    </w:p>
    <w:p>
      <w:r>
        <w:rPr>
          <w:b/>
        </w:rPr>
        <w:t xml:space="preserve">Ketentuan FTII UNISBANK: </w:t>
      </w:r>
      <w:r>
        <w:t>FTII menargetkan persentase dana dari mahasiswa turun dari 45% menjadi 40% (2024/25-2026/27) dan persentase dana selain dari mahasiswa/kementerian naik dari 2% menjadi 3%; laporan keuangan tersedia secara komprehensif setiap tahun.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5.4-5.5 menilai realisasi investasi dan kecukupan dana pengembangan tridharma secara kualitatif (skala 0-4) - tidak memuat ambang persentase sumber dana spesifik pada bagian yang diekstrak.</w:t>
            </w:r>
          </w:p>
        </w:tc>
      </w:tr>
      <w:tr>
        <w:tc>
          <w:tcPr>
            <w:tcW w:type="dxa" w:w="4320"/>
          </w:tcPr>
          <w:p>
            <w:r>
              <w:t>R4 (SPMI Fasilkom R4)</w:t>
            </w:r>
          </w:p>
        </w:tc>
        <w:tc>
          <w:tcPr>
            <w:tcW w:type="dxa" w:w="4320"/>
          </w:tcPr>
          <w:p>
            <w:r>
              <w:t>Butir No.2: dana dari mahasiswa terhadap total dana pembelajaran MAKSIMAL 40% - SETARA dengan target akhir FTII (40%), namun target awal FTII (45%) sedikit MELAMPAUI ambang ini. Butir No.3: dana selain mahasiswa &amp; kementerian/lembaga MINIMAL 5% - target FTII (2%-3%) MASIH DI BAWAH ambang ini.</w:t>
            </w:r>
          </w:p>
        </w:tc>
      </w:tr>
      <w:tr>
        <w:tc>
          <w:tcPr>
            <w:tcW w:type="dxa" w:w="4320"/>
          </w:tcPr>
          <w:p>
            <w:r>
              <w:t>R5</w:t>
            </w:r>
          </w:p>
        </w:tc>
        <w:tc>
          <w:tcPr>
            <w:tcW w:type="dxa" w:w="4320"/>
          </w:tcPr>
          <w:p>
            <w:r>
              <w:t>Bab 5 Indikator No.6: dana operasional dari mahasiswa MAKSIMAL 75% (jauh lebih longgar dari FTII/R4). No.7: dana selain mahasiswa dan pemerintah MINIMAL 10% - jauh LEBIH TINGGI dari target FTII (2%-3%).</w:t>
            </w:r>
          </w:p>
        </w:tc>
      </w:tr>
    </w:tbl>
    <w:p/>
    <w:p>
      <w:r>
        <w:rPr>
          <w:b/>
        </w:rPr>
        <w:t xml:space="preserve">Analisis Kesesuaian: </w:t>
      </w:r>
      <w:r>
        <w:t>CAMPURAN: SELARAS PADA PROPORSI DANA MAHASISWA, GAP PADA DIVERSIFIKASI - untuk proporsi dana dari mahasiswa, target akhir FTII (40%) SETARA dengan ambang R4 dan JAUH LEBIH KONSERVATIF (baik) dibanding ambang longgar R5 (maksimal 75%) - FTII sudah lebih baik dari kedua rujukan pada aspek ini karena tidak terlalu bergantung pada mahasiswa. Namun untuk diversifikasi sumber dana NON-mahasiswa/non-pemerintah, target FTII (2%-3%) MASIH JAUH DI BAWAH ambang R4 (minimal 5%) maupun R5 (minimal 10%) - GAP TERIDENTIFIKASI. REKOMENDASI: tingkatkan target diversifikasi sumber dana non-mahasiswa dan non-kementerian (kerja sama, hibah, layanan profesional, unit bisnis) secara bertahap menuju minimal 5-10% agar sejalan dengan R4 dan R5, sejalan dengan IKT FTII yang sudah menyebutkan "tersedia dana dari unit bisnis" namun belum ditargetkan dalam bentuk persentase kontribusi.</w:t>
      </w:r>
    </w:p>
    <w:p/>
    <w:p>
      <w:pPr>
        <w:pStyle w:val="Heading2"/>
      </w:pPr>
      <w:r>
        <w:t>Tema 14. Monitoring, Evaluasi, Audit Mutu Internal (AMI), dan Siklus PPEPP</w:t>
      </w:r>
    </w:p>
    <w:p>
      <w:r>
        <w:rPr>
          <w:b/>
        </w:rPr>
        <w:t xml:space="preserve">Ketentuan FTII UNISBANK: </w:t>
      </w:r>
      <w:r>
        <w:t>FTII wajib melaksanakan monitoring dan evaluasi, Audit Mutu Internal (AMI), dan tindak lanjut perbaikan secara berkelanjutan terhadap pengelolaan kurikulum, SDM, sarana prasarana, dan pembiayaan sebagai bagian dari siklus PPEPP; seluruh 4 sub-standar IKU FTII mencantumkan indikator "Tersedia dokumen AMI" secara konsisten.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Seluruh rubrik Standar 4-6 (SDM, Keuangan-Sarpras, Pendidikan) merupakan bagian dari sistem SPMI yang mengikuti siklus PPEPP/PDCA sebagai kerangka penilaian tahunan/berkala.</w:t>
            </w:r>
          </w:p>
        </w:tc>
      </w:tr>
      <w:tr>
        <w:tc>
          <w:tcPr>
            <w:tcW w:type="dxa" w:w="4320"/>
          </w:tcPr>
          <w:p>
            <w:r>
              <w:t>R2 (LAM Teknik)</w:t>
            </w:r>
          </w:p>
        </w:tc>
        <w:tc>
          <w:tcPr>
            <w:tcW w:type="dxa" w:w="4320"/>
          </w:tcPr>
          <w:p>
            <w:r>
              <w:t>Kriteria VII "Sistem Penjaminan Mutu" (di luar cakupan ekstraksi Standar Masukan Pendidikan, namun berlaku lintas kriteria) menilai keterlaksanaan SPMI dan AMI secara berjenjang skor 0-4.</w:t>
            </w:r>
          </w:p>
        </w:tc>
      </w:tr>
      <w:tr>
        <w:tc>
          <w:tcPr>
            <w:tcW w:type="dxa" w:w="4320"/>
          </w:tcPr>
          <w:p>
            <w:r>
              <w:t>R3 (LAM INFOKOM)</w:t>
            </w:r>
          </w:p>
        </w:tc>
        <w:tc>
          <w:tcPr>
            <w:tcW w:type="dxa" w:w="4320"/>
          </w:tcPr>
          <w:p>
            <w:r>
              <w:t>Seluruh Kriteria (termasuk Kriteria 2 Relevansi Pendidikan) dinilai melalui pendekatan siklus PPEPP berjenjang skor deskriptif, dengan pemisahan eksplisit antara elemen "Penetapan" (I) dan "Pelaksanaan" (P) pada tiap butir.</w:t>
            </w:r>
          </w:p>
        </w:tc>
      </w:tr>
      <w:tr>
        <w:tc>
          <w:tcPr>
            <w:tcW w:type="dxa" w:w="4320"/>
          </w:tcPr>
          <w:p>
            <w:r>
              <w:t>R4 (SPMI Fasilkom R4)</w:t>
            </w:r>
          </w:p>
        </w:tc>
        <w:tc>
          <w:tcPr>
            <w:tcW w:type="dxa" w:w="4320"/>
          </w:tcPr>
          <w:p>
            <w:r>
              <w:t>Setiap standar (Isi, Dosen-Tendik, Sarpras, Pembiayaan) memiliki bagian "Mekanisme Evaluasi" eksplisit dan seragam: monitoring GPM Fakultas tahunan, Audit Mutu Internal, evaluasi data pendukung, dan rapat tinjauan manajemen fakultas.</w:t>
            </w:r>
          </w:p>
        </w:tc>
      </w:tr>
      <w:tr>
        <w:tc>
          <w:tcPr>
            <w:tcW w:type="dxa" w:w="4320"/>
          </w:tcPr>
          <w:p>
            <w:r>
              <w:t>R5</w:t>
            </w:r>
          </w:p>
        </w:tc>
        <w:tc>
          <w:tcPr>
            <w:tcW w:type="dxa" w:w="4320"/>
          </w:tcPr>
          <w:p>
            <w:r>
              <w:t>Setiap buku standar memiliki Bab 7 "Pihak-Pihak yang Terlibat" yang merinci penanggung jawab perencanaan, pelaksanaan, evaluasi, pengendalian, dan pengembangan - identik dengan struktur PPEPP yang dianut FTII.</w:t>
            </w:r>
          </w:p>
        </w:tc>
      </w:tr>
    </w:tbl>
    <w:p/>
    <w:p>
      <w:r>
        <w:rPr>
          <w:b/>
        </w:rPr>
        <w:t xml:space="preserve">Analisis Kesesuaian: </w:t>
      </w:r>
      <w:r>
        <w:t>SELARAS PENUH - mekanisme monitoring, evaluasi, AMI, dan siklus PPEPP/PDCA merupakan praktik universal SPMI perguruan tinggi Indonesia dan tercermin identik pada seluruh 5 dokumen rujukan maupun dokumen Standar Masukan Pendidikan FTII. Tidak ada gap struktural. R4 bahkan memiliki struktur "Mekanisme Evaluasi" yang persis sejajar antar keempat sub-standar (Isi, Dosen-Tendik, Sarpras, Pembiayaan), pola yang sudah diikuti FTII dengan mencantumkan indikator "Tersedia dokumen AMI" secara konsisten pada tiap sub-standar.</w:t>
      </w:r>
    </w:p>
    <w:p/>
    <w:p>
      <w:pPr>
        <w:pStyle w:val="Heading1"/>
      </w:pPr>
      <w:r>
        <w:t>C. Ringkasan Kesesuaian Target Kuantitatif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Indikator</w:t>
            </w:r>
          </w:p>
        </w:tc>
        <w:tc>
          <w:tcPr>
            <w:tcW w:type="dxa" w:w="1440"/>
          </w:tcPr>
          <w:p>
            <w:r>
              <w:rPr>
                <w:b/>
              </w:rPr>
              <w:t>Target FTII (2026/27)</w:t>
            </w:r>
          </w:p>
        </w:tc>
        <w:tc>
          <w:tcPr>
            <w:tcW w:type="dxa" w:w="1440"/>
          </w:tcPr>
          <w:p>
            <w:r>
              <w:rPr>
                <w:b/>
              </w:rPr>
              <w:t>Ambang R1/R2 (skor 4)</w:t>
            </w:r>
          </w:p>
        </w:tc>
        <w:tc>
          <w:tcPr>
            <w:tcW w:type="dxa" w:w="1440"/>
          </w:tcPr>
          <w:p>
            <w:r>
              <w:rPr>
                <w:b/>
              </w:rPr>
              <w:t>Ambang R4 (SPMI Fasilkom)</w:t>
            </w:r>
          </w:p>
        </w:tc>
        <w:tc>
          <w:tcPr>
            <w:tcW w:type="dxa" w:w="1440"/>
          </w:tcPr>
          <w:p>
            <w:r>
              <w:rPr>
                <w:b/>
              </w:rPr>
              <w:t>Ambang R5</w:t>
            </w:r>
          </w:p>
        </w:tc>
        <w:tc>
          <w:tcPr>
            <w:tcW w:type="dxa" w:w="1440"/>
          </w:tcPr>
          <w:p>
            <w:r>
              <w:rPr>
                <w:b/>
              </w:rPr>
              <w:t>Status</w:t>
            </w:r>
          </w:p>
        </w:tc>
      </w:tr>
      <w:tr>
        <w:tc>
          <w:tcPr>
            <w:tcW w:type="dxa" w:w="1440"/>
          </w:tcPr>
          <w:p>
            <w:r>
              <w:t>Rasio Dosen Tetap : Mahasiswa</w:t>
            </w:r>
          </w:p>
        </w:tc>
        <w:tc>
          <w:tcPr>
            <w:tcW w:type="dxa" w:w="1440"/>
          </w:tcPr>
          <w:p>
            <w:r>
              <w:t>1:20</w:t>
            </w:r>
          </w:p>
        </w:tc>
        <w:tc>
          <w:tcPr>
            <w:tcW w:type="dxa" w:w="1440"/>
          </w:tcPr>
          <w:p>
            <w:r>
              <w:t>RMD ideal 15-25 (R2)</w:t>
            </w:r>
          </w:p>
        </w:tc>
        <w:tc>
          <w:tcPr>
            <w:tcW w:type="dxa" w:w="1440"/>
          </w:tcPr>
          <w:p>
            <w:r>
              <w:t>Saintek 1:25</w:t>
            </w:r>
          </w:p>
        </w:tc>
        <w:tc>
          <w:tcPr>
            <w:tcW w:type="dxa" w:w="1440"/>
          </w:tcPr>
          <w:p>
            <w:r>
              <w:t>Saintek 1:23; univ. 1:20-30</w:t>
            </w:r>
          </w:p>
        </w:tc>
        <w:tc>
          <w:tcPr>
            <w:tcW w:type="dxa" w:w="1440"/>
          </w:tcPr>
          <w:p>
            <w:r>
              <w:t>Masuk batas bawah R5, di bawah ideal R2/R4</w:t>
            </w:r>
          </w:p>
        </w:tc>
      </w:tr>
      <w:tr>
        <w:tc>
          <w:tcPr>
            <w:tcW w:type="dxa" w:w="1440"/>
          </w:tcPr>
          <w:p>
            <w:r>
              <w:t>% Dosen Bergelar Doktor</w:t>
            </w:r>
          </w:p>
        </w:tc>
        <w:tc>
          <w:tcPr>
            <w:tcW w:type="dxa" w:w="1440"/>
          </w:tcPr>
          <w:p>
            <w:r>
              <w:t>30%</w:t>
            </w:r>
          </w:p>
        </w:tc>
        <w:tc>
          <w:tcPr>
            <w:tcW w:type="dxa" w:w="1440"/>
          </w:tcPr>
          <w:p>
            <w:r>
              <w:t>≥50%</w:t>
            </w:r>
          </w:p>
        </w:tc>
        <w:tc>
          <w:tcPr>
            <w:tcW w:type="dxa" w:w="1440"/>
          </w:tcPr>
          <w:p>
            <w:r>
              <w:t>tidak ditemukan</w:t>
            </w:r>
          </w:p>
        </w:tc>
        <w:tc>
          <w:tcPr>
            <w:tcW w:type="dxa" w:w="1440"/>
          </w:tcPr>
          <w:p>
            <w:r>
              <w:t>&gt;40%</w:t>
            </w:r>
          </w:p>
        </w:tc>
        <w:tc>
          <w:tcPr>
            <w:tcW w:type="dxa" w:w="1440"/>
          </w:tcPr>
          <w:p>
            <w:r>
              <w:t>DI BAWAH kedua rujukan (gap signifikan)</w:t>
            </w:r>
          </w:p>
        </w:tc>
      </w:tr>
      <w:tr>
        <w:tc>
          <w:tcPr>
            <w:tcW w:type="dxa" w:w="1440"/>
          </w:tcPr>
          <w:p>
            <w:r>
              <w:t>% Dosen Jabfung GB+LK</w:t>
            </w:r>
          </w:p>
        </w:tc>
        <w:tc>
          <w:tcPr>
            <w:tcW w:type="dxa" w:w="1440"/>
          </w:tcPr>
          <w:p>
            <w:r>
              <w:t>30%</w:t>
            </w:r>
          </w:p>
        </w:tc>
        <w:tc>
          <w:tcPr>
            <w:tcW w:type="dxa" w:w="1440"/>
          </w:tcPr>
          <w:p>
            <w:r>
              <w:t>≥70% (GB+LK+Lektor, R2)</w:t>
            </w:r>
          </w:p>
        </w:tc>
        <w:tc>
          <w:tcPr>
            <w:tcW w:type="dxa" w:w="1440"/>
          </w:tcPr>
          <w:p>
            <w:r>
              <w:t>≥25%</w:t>
            </w:r>
          </w:p>
        </w:tc>
        <w:tc>
          <w:tcPr>
            <w:tcW w:type="dxa" w:w="1440"/>
          </w:tcPr>
          <w:p>
            <w:r>
              <w:t>&gt;40% (GB+LK)</w:t>
            </w:r>
          </w:p>
        </w:tc>
        <w:tc>
          <w:tcPr>
            <w:tcW w:type="dxa" w:w="1440"/>
          </w:tcPr>
          <w:p>
            <w:r>
              <w:t>Melampaui R4, di bawah R5 (definisi R1/R2 beda cakupan)</w:t>
            </w:r>
          </w:p>
        </w:tc>
      </w:tr>
      <w:tr>
        <w:tc>
          <w:tcPr>
            <w:tcW w:type="dxa" w:w="1440"/>
          </w:tcPr>
          <w:p>
            <w:r>
              <w:t>% Dosen Sertifikat Pendidik</w:t>
            </w:r>
          </w:p>
        </w:tc>
        <w:tc>
          <w:tcPr>
            <w:tcW w:type="dxa" w:w="1440"/>
          </w:tcPr>
          <w:p>
            <w:r>
              <w:t>90%</w:t>
            </w:r>
          </w:p>
        </w:tc>
        <w:tc>
          <w:tcPr>
            <w:tcW w:type="dxa" w:w="1440"/>
          </w:tcPr>
          <w:p>
            <w:r>
              <w:t>≥80%</w:t>
            </w:r>
          </w:p>
        </w:tc>
        <w:tc>
          <w:tcPr>
            <w:tcW w:type="dxa" w:w="1440"/>
          </w:tcPr>
          <w:p>
            <w:r>
              <w:t>≥80%</w:t>
            </w:r>
          </w:p>
        </w:tc>
        <w:tc>
          <w:tcPr>
            <w:tcW w:type="dxa" w:w="1440"/>
          </w:tcPr>
          <w:p>
            <w:r>
              <w:t>≥80%</w:t>
            </w:r>
          </w:p>
        </w:tc>
        <w:tc>
          <w:tcPr>
            <w:tcW w:type="dxa" w:w="1440"/>
          </w:tcPr>
          <w:p>
            <w:r>
              <w:t>Melampaui ketiga rujukan</w:t>
            </w:r>
          </w:p>
        </w:tc>
      </w:tr>
      <w:tr>
        <w:tc>
          <w:tcPr>
            <w:tcW w:type="dxa" w:w="1440"/>
          </w:tcPr>
          <w:p>
            <w:r>
              <w:t>% Dosen Aktif Penelitian/PkM</w:t>
            </w:r>
          </w:p>
        </w:tc>
        <w:tc>
          <w:tcPr>
            <w:tcW w:type="dxa" w:w="1440"/>
          </w:tcPr>
          <w:p>
            <w:r>
              <w:t>100% / 100%</w:t>
            </w:r>
          </w:p>
        </w:tc>
        <w:tc>
          <w:tcPr>
            <w:tcW w:type="dxa" w:w="1440"/>
          </w:tcPr>
          <w:p>
            <w:r>
              <w:t>diukur via Rp (≥10jt/≥5jt)</w:t>
            </w:r>
          </w:p>
        </w:tc>
        <w:tc>
          <w:tcPr>
            <w:tcW w:type="dxa" w:w="1440"/>
          </w:tcPr>
          <w:p>
            <w:r>
              <w:t>≥90% / ≥90%</w:t>
            </w:r>
          </w:p>
        </w:tc>
        <w:tc>
          <w:tcPr>
            <w:tcW w:type="dxa" w:w="1440"/>
          </w:tcPr>
          <w:p>
            <w:r>
              <w:t>diukur via rasio (≥1 / ≥0,5 per dosen)</w:t>
            </w:r>
          </w:p>
        </w:tc>
        <w:tc>
          <w:tcPr>
            <w:tcW w:type="dxa" w:w="1440"/>
          </w:tcPr>
          <w:p>
            <w:r>
              <w:t>Melampaui R4, metode R1/R2/R5 berbeda</w:t>
            </w:r>
          </w:p>
        </w:tc>
      </w:tr>
      <w:tr>
        <w:tc>
          <w:tcPr>
            <w:tcW w:type="dxa" w:w="1440"/>
          </w:tcPr>
          <w:p>
            <w:r>
              <w:t>Luas Bangunan / Mahasiswa</w:t>
            </w:r>
          </w:p>
        </w:tc>
        <w:tc>
          <w:tcPr>
            <w:tcW w:type="dxa" w:w="1440"/>
          </w:tcPr>
          <w:p>
            <w:r>
              <w:t>2 m²</w:t>
            </w:r>
          </w:p>
        </w:tc>
        <w:tc>
          <w:tcPr>
            <w:tcW w:type="dxa" w:w="1440"/>
          </w:tcPr>
          <w:p>
            <w:r>
              <w:t>tidak eksplisit</w:t>
            </w:r>
          </w:p>
        </w:tc>
        <w:tc>
          <w:tcPr>
            <w:tcW w:type="dxa" w:w="1440"/>
          </w:tcPr>
          <w:p>
            <w:r>
              <w:t>sesuai standar univ. (%)</w:t>
            </w:r>
          </w:p>
        </w:tc>
        <w:tc>
          <w:tcPr>
            <w:tcW w:type="dxa" w:w="1440"/>
          </w:tcPr>
          <w:p>
            <w:r>
              <w:t>2 m²</w:t>
            </w:r>
          </w:p>
        </w:tc>
        <w:tc>
          <w:tcPr>
            <w:tcW w:type="dxa" w:w="1440"/>
          </w:tcPr>
          <w:p>
            <w:r>
              <w:t>SELARAS PENUH dengan R5</w:t>
            </w:r>
          </w:p>
        </w:tc>
      </w:tr>
      <w:tr>
        <w:tc>
          <w:tcPr>
            <w:tcW w:type="dxa" w:w="1440"/>
          </w:tcPr>
          <w:p>
            <w:r>
              <w:t>Luas Ruang Dosen / Dosen</w:t>
            </w:r>
          </w:p>
        </w:tc>
        <w:tc>
          <w:tcPr>
            <w:tcW w:type="dxa" w:w="1440"/>
          </w:tcPr>
          <w:p>
            <w:r>
              <w:t>4 m²</w:t>
            </w:r>
          </w:p>
        </w:tc>
        <w:tc>
          <w:tcPr>
            <w:tcW w:type="dxa" w:w="1440"/>
          </w:tcPr>
          <w:p>
            <w:r>
              <w:t>tidak eksplisit</w:t>
            </w:r>
          </w:p>
        </w:tc>
        <w:tc>
          <w:tcPr>
            <w:tcW w:type="dxa" w:w="1440"/>
          </w:tcPr>
          <w:p>
            <w:r>
              <w:t>sesuai standar univ. (%)</w:t>
            </w:r>
          </w:p>
        </w:tc>
        <w:tc>
          <w:tcPr>
            <w:tcW w:type="dxa" w:w="1440"/>
          </w:tcPr>
          <w:p>
            <w:r>
              <w:t>4 m²</w:t>
            </w:r>
          </w:p>
        </w:tc>
        <w:tc>
          <w:tcPr>
            <w:tcW w:type="dxa" w:w="1440"/>
          </w:tcPr>
          <w:p>
            <w:r>
              <w:t>SELARAS PENUH dengan R5</w:t>
            </w:r>
          </w:p>
        </w:tc>
      </w:tr>
      <w:tr>
        <w:tc>
          <w:tcPr>
            <w:tcW w:type="dxa" w:w="1440"/>
          </w:tcPr>
          <w:p>
            <w:r>
              <w:t>Dana Operasional / Mahasiswa / Tahun</w:t>
            </w:r>
          </w:p>
        </w:tc>
        <w:tc>
          <w:tcPr>
            <w:tcW w:type="dxa" w:w="1440"/>
          </w:tcPr>
          <w:p>
            <w:r>
              <w:t>Rp15 juta</w:t>
            </w:r>
          </w:p>
        </w:tc>
        <w:tc>
          <w:tcPr>
            <w:tcW w:type="dxa" w:w="1440"/>
          </w:tcPr>
          <w:p>
            <w:r>
              <w:t>≥Rp20 juta</w:t>
            </w:r>
          </w:p>
        </w:tc>
        <w:tc>
          <w:tcPr>
            <w:tcW w:type="dxa" w:w="1440"/>
          </w:tcPr>
          <w:p>
            <w:r>
              <w:t>≥Rp20 juta</w:t>
            </w:r>
          </w:p>
        </w:tc>
        <w:tc>
          <w:tcPr>
            <w:tcW w:type="dxa" w:w="1440"/>
          </w:tcPr>
          <w:p>
            <w:r>
              <w:t>Rp20 juta</w:t>
            </w:r>
          </w:p>
        </w:tc>
        <w:tc>
          <w:tcPr>
            <w:tcW w:type="dxa" w:w="1440"/>
          </w:tcPr>
          <w:p>
            <w:r>
              <w:t>DI BAWAH keempat rujukan (gap signifikan)</w:t>
            </w:r>
          </w:p>
        </w:tc>
      </w:tr>
      <w:tr>
        <w:tc>
          <w:tcPr>
            <w:tcW w:type="dxa" w:w="1440"/>
          </w:tcPr>
          <w:p>
            <w:r>
              <w:t>% Dana dari Mahasiswa</w:t>
            </w:r>
          </w:p>
        </w:tc>
        <w:tc>
          <w:tcPr>
            <w:tcW w:type="dxa" w:w="1440"/>
          </w:tcPr>
          <w:p>
            <w:r>
              <w:t>40%</w:t>
            </w:r>
          </w:p>
        </w:tc>
        <w:tc>
          <w:tcPr>
            <w:tcW w:type="dxa" w:w="1440"/>
          </w:tcPr>
          <w:p>
            <w:r>
              <w:t>tidak eksplisit</w:t>
            </w:r>
          </w:p>
        </w:tc>
        <w:tc>
          <w:tcPr>
            <w:tcW w:type="dxa" w:w="1440"/>
          </w:tcPr>
          <w:p>
            <w:r>
              <w:t>≤40%</w:t>
            </w:r>
          </w:p>
        </w:tc>
        <w:tc>
          <w:tcPr>
            <w:tcW w:type="dxa" w:w="1440"/>
          </w:tcPr>
          <w:p>
            <w:r>
              <w:t>≤75%</w:t>
            </w:r>
          </w:p>
        </w:tc>
        <w:tc>
          <w:tcPr>
            <w:tcW w:type="dxa" w:w="1440"/>
          </w:tcPr>
          <w:p>
            <w:r>
              <w:t>SELARAS dengan R4, lebih baik dari R5</w:t>
            </w:r>
          </w:p>
        </w:tc>
      </w:tr>
      <w:tr>
        <w:tc>
          <w:tcPr>
            <w:tcW w:type="dxa" w:w="1440"/>
          </w:tcPr>
          <w:p>
            <w:r>
              <w:t>% Dana Non-Mahasiswa/Kementerian</w:t>
            </w:r>
          </w:p>
        </w:tc>
        <w:tc>
          <w:tcPr>
            <w:tcW w:type="dxa" w:w="1440"/>
          </w:tcPr>
          <w:p>
            <w:r>
              <w:t>3%</w:t>
            </w:r>
          </w:p>
        </w:tc>
        <w:tc>
          <w:tcPr>
            <w:tcW w:type="dxa" w:w="1440"/>
          </w:tcPr>
          <w:p>
            <w:r>
              <w:t>tidak eksplisit</w:t>
            </w:r>
          </w:p>
        </w:tc>
        <w:tc>
          <w:tcPr>
            <w:tcW w:type="dxa" w:w="1440"/>
          </w:tcPr>
          <w:p>
            <w:r>
              <w:t>≥5%</w:t>
            </w:r>
          </w:p>
        </w:tc>
        <w:tc>
          <w:tcPr>
            <w:tcW w:type="dxa" w:w="1440"/>
          </w:tcPr>
          <w:p>
            <w:r>
              <w:t>≥10%</w:t>
            </w:r>
          </w:p>
        </w:tc>
        <w:tc>
          <w:tcPr>
            <w:tcW w:type="dxa" w:w="1440"/>
          </w:tcPr>
          <w:p>
            <w:r>
              <w:t>DI BAWAH kedua rujukan (gap)</w:t>
            </w:r>
          </w:p>
        </w:tc>
      </w:tr>
      <w:tr>
        <w:tc>
          <w:tcPr>
            <w:tcW w:type="dxa" w:w="1440"/>
          </w:tcPr>
          <w:p>
            <w:r>
              <w:t>% MK Memanfaatkan Riset/PkM/Proyek</w:t>
            </w:r>
          </w:p>
        </w:tc>
        <w:tc>
          <w:tcPr>
            <w:tcW w:type="dxa" w:w="1440"/>
          </w:tcPr>
          <w:p>
            <w:r>
              <w:t>25%</w:t>
            </w:r>
          </w:p>
        </w:tc>
        <w:tc>
          <w:tcPr>
            <w:tcW w:type="dxa" w:w="1440"/>
          </w:tcPr>
          <w:p>
            <w:r>
              <w:t>tidak eksplisit</w:t>
            </w:r>
          </w:p>
        </w:tc>
        <w:tc>
          <w:tcPr>
            <w:tcW w:type="dxa" w:w="1440"/>
          </w:tcPr>
          <w:p>
            <w:r>
              <w:t>tidak eksplisit</w:t>
            </w:r>
          </w:p>
        </w:tc>
        <w:tc>
          <w:tcPr>
            <w:tcW w:type="dxa" w:w="1440"/>
          </w:tcPr>
          <w:p>
            <w:r>
              <w:t>tidak eksplisit</w:t>
            </w:r>
          </w:p>
        </w:tc>
        <w:tc>
          <w:tcPr>
            <w:tcW w:type="dxa" w:w="1440"/>
          </w:tcPr>
          <w:p>
            <w:r>
              <w:t>FTII lebih terukur - tidak ada pembanding</w:t>
            </w:r>
          </w:p>
        </w:tc>
      </w:tr>
    </w:tbl>
    <w:p/>
    <w:p>
      <w:pPr>
        <w:pStyle w:val="Heading1"/>
      </w:pPr>
      <w:r>
        <w:t>D. Kesimpulan dan Rekomendasi</w:t>
      </w:r>
    </w:p>
    <w:p>
      <w:r>
        <w:rPr>
          <w:b w:val="0"/>
          <w:i w:val="0"/>
        </w:rPr>
        <w:t>Kesimpulan Umum: Dokumen Standar Masukan Pendidikan FTII UNISBANK secara struktural SUDAH SELARAS dengan kelima dokumen rujukan pada aspek kebijakan kurikulum berbasis OBE dan siklus peninjauannya, mekanisme monitoring-evaluasi-AMI-PPEPP, kualifikasi tenaga kependidikan administrasi (bahkan lebih ketat), sertifikasi pendidik dosen, serta - secara sangat presisi - pada dua angka rasio sarana prasarana (luas bangunan 2 m²/mahasiswa dan luas ruang dosen 4 m²/dosen, keduanya IDENTIK PERSIS dengan ambang R5). Namun ditemukan sejumlah gap kuantitatif signifikan, terutama pada persentase dosen bergelar Doktor, dana operasional pendidikan per mahasiswa, dan diversifikasi sumber pendanaan non-mahasiswa, yang secara konsisten berada di bawah ambang beberapa atau seluruh dokumen rujukan.</w:t>
      </w:r>
    </w:p>
    <w:p>
      <w:pPr>
        <w:pStyle w:val="ListNumber"/>
      </w:pPr>
      <w:r>
        <w:t>Percepat roadmap studi lanjut S3 dosen FTII menuju minimal 40-50% dosen bergelar Doktor dalam jangka menengah-panjang (saat ini target 2026/27 hanya 30%), karena seluruh rujukan kuantitatif (R1, R2, R5) menetapkan ambang 40-50% - gap paling signifikan dalam pemetaan Standar Masukan Pendidikan (Tema 4).</w:t>
      </w:r>
    </w:p>
    <w:p>
      <w:pPr>
        <w:pStyle w:val="ListNumber"/>
      </w:pPr>
      <w:r>
        <w:t>Susun roadmap peningkatan dana operasional pembelajaran per mahasiswa menuju minimal Rp20 juta/tahun (saat ini target 2026/27 hanya Rp15 juta atau 75% dari ambang), karena angka Rp20 juta konsisten disebutkan oleh 4 dari 5 dokumen rujukan (R1, R2, R4, R5) sebagai ambang skor sempurna/standar universitas (Tema 12).</w:t>
      </w:r>
    </w:p>
    <w:p>
      <w:pPr>
        <w:pStyle w:val="ListNumber"/>
      </w:pPr>
      <w:r>
        <w:t>Tingkatkan target diversifikasi sumber dana non-mahasiswa dan non-kementerian secara bertahap menuju minimal 5-10% (saat ini target 2026/27 hanya 3%), sejalan dengan ambang R4 (≥5%) dan R5 (≥10%), dengan memanfaatkan IKT "dana dari unit bisnis" yang sudah tercantum namun belum diberi target persentase kontribusi (Tema 13).</w:t>
      </w:r>
    </w:p>
    <w:p>
      <w:pPr>
        <w:pStyle w:val="ListNumber"/>
      </w:pPr>
      <w:r>
        <w:t>Percepat kenaikan rasio dosen tetap:mahasiswa menuju kisaran 1:20 hingga 1:25 lebih awal dari 2026/27, karena rasio yang terlalu rendah (dosen "berlebih") justru mengurangi skor pada rubrik LAM Teknik (RMD ideal 15-25), bukan sekadar netral (Tema 3).</w:t>
      </w:r>
    </w:p>
    <w:p>
      <w:pPr>
        <w:pStyle w:val="ListNumber"/>
      </w:pPr>
      <w:r>
        <w:t>Jelaskan secara eksplisit cakupan definisi "dosen berjabatan fungsional GB dan LK" (tidak termasuk Lektor biasa) pada dokumen Standar Masukan Pendidikan FTII, agar tidak disalahartikan saat dibandingkan dengan rubrik R1/R2 (PGBLK/PGBLKL) yang mencakup GB+LK+Lektor dengan ambang berbeda (Tema 5).</w:t>
      </w:r>
    </w:p>
    <w:p>
      <w:pPr>
        <w:pStyle w:val="ListNumber"/>
      </w:pPr>
      <w:r>
        <w:t>Tambahkan indikator besaran dana penelitian dan PkM per dosen per tahun (mengikuti pola R1/R2: ≥Rp10 juta penelitian, ≥Rp5 juta PkM) sebagai pelengkap indikator persentase dosen aktif yang sudah ada, agar dapat diverifikasi langsung terhadap rubrik LAM Teknik saat akreditasi (Tema 7).</w:t>
      </w:r>
    </w:p>
    <w:p>
      <w:pPr>
        <w:pStyle w:val="ListNumber"/>
      </w:pPr>
      <w:r>
        <w:t>Rinci indikator aksesibilitas mahasiswa berkebutuhan khusus mengikuti 5 aspek konkret Peraturan Dirjen Belmawa yang dirumuskan R5 (pelabelan braille, ramp, guiding block, peta timbul, toilet difabel), karena IKU FTII saat ini hanya menyatakan "Tersedia" secara umum tanpa rincian komponen (Tema 11).</w:t>
      </w:r>
    </w:p>
    <w:p>
      <w:pPr>
        <w:pStyle w:val="ListNumber"/>
      </w:pPr>
      <w:r>
        <w:t>Cantumkan siklus peninjauan kurikulum secara eksplisit dalam angka tahun (mis. 4 tahun) pada tabel IKU Standar Isi Pembelajaran FTII, sejalan dengan R1, R2, dan R5 yang seragam menetapkan siklus 4-5 tahun sebagai syarat skor maksimal, karena saat ini IKU FTII hanya menyatakan "Tersedia Dokumen Tinjauan Kurikulum" tanpa angka siklus (Tema 1).</w:t>
      </w:r>
    </w:p>
    <w:p>
      <w:pPr>
        <w:pStyle w:val="ListNumber"/>
      </w:pPr>
      <w:r>
        <w:t>Pertahankan dan dokumentasikan secara eksplisit target kuantitatif "persentase mata kuliah yang memanfaatkan hasil penelitian, PkM, proyek, dan kasus" (20%→25%) serta rasio sarana prasarana yang sudah identik dengan ambang R5 (2 m²/mahasiswa untuk bangunan; 4 m²/dosen untuk ruang dosen) sebagai nilai tambah FTII dibanding rujukan lain yang umumnya hanya bersifat kualitatif pada aspek-aspek tersebut (Tema 2, 9, 10).</w:t>
      </w:r>
    </w:p>
    <w:p/>
    <w:p>
      <w:r>
        <w:rPr>
          <w:i/>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