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PEMETAAN STANDAR MASUKAN PkM</w:t>
      </w:r>
    </w:p>
    <w:p>
      <w: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Kode</w:t>
            </w:r>
          </w:p>
        </w:tc>
        <w:tc>
          <w:tcPr>
            <w:tcW w:type="dxa" w:w="2880"/>
          </w:tcPr>
          <w:p>
            <w:r>
              <w:t>Dokumen</w:t>
            </w:r>
          </w:p>
        </w:tc>
        <w:tc>
          <w:tcPr>
            <w:tcW w:type="dxa" w:w="2880"/>
          </w:tcPr>
          <w:p>
            <w:r>
              <w:t>Sumber / Institusi</w:t>
            </w:r>
          </w:p>
        </w:tc>
      </w:tr>
      <w:tr>
        <w:tc>
          <w:tcPr>
            <w:tcW w:type="dxa" w:w="2880"/>
          </w:tcPr>
          <w:p>
            <w:r>
              <w:t>FTII</w:t>
            </w:r>
          </w:p>
        </w:tc>
        <w:tc>
          <w:tcPr>
            <w:tcW w:type="dxa" w:w="2880"/>
          </w:tcPr>
          <w:p>
            <w:r>
              <w:t>Standar Masukan PkM FTII UNISBANK (efektif 24 Desember 2024)</w:t>
            </w:r>
          </w:p>
        </w:tc>
        <w:tc>
          <w:tcPr>
            <w:tcW w:type="dxa" w:w="2880"/>
          </w:tcPr>
          <w:p>
            <w:r>
              <w:t>Fakultas Teknologi Informasi dan Industri, Universitas Stikubank (UNISBANK) Semarang</w:t>
            </w:r>
          </w:p>
        </w:tc>
      </w:tr>
      <w:tr>
        <w:tc>
          <w:tcPr>
            <w:tcW w:type="dxa" w:w="2880"/>
          </w:tcPr>
          <w:p>
            <w:r>
              <w:t>R1</w:t>
            </w:r>
          </w:p>
        </w:tc>
        <w:tc>
          <w:tcPr>
            <w:tcW w:type="dxa" w:w="2880"/>
          </w:tcPr>
          <w:p>
            <w:r>
              <w:t>Dokumen Panduan SPMI Program Sarjana dan Sarjana Terapan - 2024 (Standar 8: Pengabdian kepada Masyarakat)</w:t>
            </w:r>
          </w:p>
        </w:tc>
        <w:tc>
          <w:tcPr>
            <w:tcW w:type="dxa" w:w="2880"/>
          </w:tcPr>
          <w:p>
            <w:r>
              <w:t>Panduan SPMI Program Sarjana dan Sarjana Terapan</w:t>
            </w:r>
          </w:p>
        </w:tc>
      </w:tr>
      <w:tr>
        <w:tc>
          <w:tcPr>
            <w:tcW w:type="dxa" w:w="2880"/>
          </w:tcPr>
          <w:p>
            <w:r>
              <w:t>R2</w:t>
            </w:r>
          </w:p>
        </w:tc>
        <w:tc>
          <w:tcPr>
            <w:tcW w:type="dxa" w:w="2880"/>
          </w:tcPr>
          <w:p>
            <w:r>
              <w:t>Matriks Penilaian LED dan LKPS Sarjana (APS-AV 2025 1.0) - Kriteria 2.5/3.3 PkM (Butir 11, 24, 25, 32)</w:t>
            </w:r>
          </w:p>
        </w:tc>
        <w:tc>
          <w:tcPr>
            <w:tcW w:type="dxa" w:w="2880"/>
          </w:tcPr>
          <w:p>
            <w:r>
              <w:t>Lembaga Akreditasi Mandiri Teknik (LAM Teknik)</w:t>
            </w:r>
          </w:p>
        </w:tc>
      </w:tr>
      <w:tr>
        <w:tc>
          <w:tcPr>
            <w:tcW w:type="dxa" w:w="2880"/>
          </w:tcPr>
          <w:p>
            <w:r>
              <w:t>R3</w:t>
            </w:r>
          </w:p>
        </w:tc>
        <w:tc>
          <w:tcPr>
            <w:tcW w:type="dxa" w:w="2880"/>
          </w:tcPr>
          <w:p>
            <w:r>
              <w:t>Kriteria Unggul 2.1 - Kriteria 4 Relevansi PkM (Butir 4.1.A/B/C - Sarpras/DTPR/Pembiayaan/Peta Jalan)</w:t>
            </w:r>
          </w:p>
        </w:tc>
        <w:tc>
          <w:tcPr>
            <w:tcW w:type="dxa" w:w="2880"/>
          </w:tcPr>
          <w:p>
            <w:r>
              <w:t>Lembaga Akreditasi Mandiri Informatika dan Komputer (LAM INFOKOM)</w:t>
            </w:r>
          </w:p>
        </w:tc>
      </w:tr>
      <w:tr>
        <w:tc>
          <w:tcPr>
            <w:tcW w:type="dxa" w:w="2880"/>
          </w:tcPr>
          <w:p>
            <w:r>
              <w:t>R4</w:t>
            </w:r>
          </w:p>
        </w:tc>
        <w:tc>
          <w:tcPr>
            <w:tcW w:type="dxa" w:w="2880"/>
          </w:tcPr>
          <w:p>
            <w:r>
              <w:t>Dokumen SPMI lengkap (171 halaman) - Standar Pelaksana PkM, Standar Sarana dan Prasarana PkM, Standar Pendanaan/Pembiayaan PkM</w:t>
            </w:r>
          </w:p>
        </w:tc>
        <w:tc>
          <w:tcPr>
            <w:tcW w:type="dxa" w:w="2880"/>
          </w:tcPr>
          <w:p>
            <w:r>
              <w:t>Dokumen SPMI Fakultas sejenis</w:t>
            </w:r>
          </w:p>
        </w:tc>
      </w:tr>
      <w:tr>
        <w:tc>
          <w:tcPr>
            <w:tcW w:type="dxa" w:w="2880"/>
          </w:tcPr>
          <w:p>
            <w:r>
              <w:t>R5</w:t>
            </w:r>
          </w:p>
        </w:tc>
        <w:tc>
          <w:tcPr>
            <w:tcW w:type="dxa" w:w="2880"/>
          </w:tcPr>
          <w:p>
            <w:r>
              <w:t>Seri Buku Standar PkM: Standar Pelaksana PkM, Standar Sarana dan Prasarana PkM, Standar Pendanaan dan Pembiayaan PkM</w:t>
            </w:r>
          </w:p>
        </w:tc>
        <w:tc>
          <w:tcPr>
            <w:tcW w:type="dxa" w:w="2880"/>
          </w:tcPr>
          <w:p>
            <w:r>
              <w:t>Lembaga Penjaminan Mutu, perguruan tinggi rujukan R5</w:t>
            </w:r>
          </w:p>
        </w:tc>
      </w:tr>
    </w:tbl>
    <w:p>
      <w:r>
        <w:t>Catatan metodologis: pemetaan disusun berdasarkan ekstraksi teks langsung (pdftotext -layout) dari bagian/bab yang relevan dengan MASUKAN PkM (roadmap, kualifikasi pelaksana, sarana-prasarana, sistem informasi, pembiayaan) dan dari isi lengkap dokumen Standar Masukan PkM FTII (18 pernyataan standar, 14+16 Indikator Kinerja Utama/IKU pada berbagai sub-bagian, 4 Indikator Kinerja Tambahan/IKT). Kutipan pada tabel di bawah diringkas dari teks asli masing-masing dokumen.</w:t>
      </w:r>
    </w:p>
    <w:p>
      <w:pPr>
        <w:pStyle w:val="Heading1"/>
      </w:pPr>
      <w:r>
        <w:t>B. Pemetaan per Tema Standar</w:t>
      </w:r>
    </w:p>
    <w:p>
      <w:pPr>
        <w:pStyle w:val="Heading2"/>
      </w:pPr>
      <w:r>
        <w:t>Tema 1. Renstra dan Peta Jalan (Roadmap) PkM</w:t>
      </w:r>
    </w:p>
    <w:p>
      <w:r>
        <w:t>Ketentuan FTII UNISBANK: FTII/Universitas wajib memiliki dan menetapkan Renstra PkM, Roadmap/Peta Jalan PkM, dan Buku Panduan PkM yang mudah diakses civitas akademika, memuat landasan pengembangan, roadmap, sumber daya, pendanaan, indikator kinerja, dan orientasi internasional (target 'Tersedia' seluruh tahun 2023/24-2026/27).</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Standar 8 Butir 8.1.1: skor 4 jika unit pengelola (Departemen) memenuhi 4 unsur relevansi PkM — (1) memiliki peta jalan PkM yang memayungi tema PkM dosen dan mahasiswa serta hilirisasi keilmuan, (2) dosen dan mahasiswa melaksanakan PkM sesuai peta jalan, (3) melakukan evaluasi kesesuaian PkM dengan peta jalan, (4) menggunakan hasil evaluasi untuk perbaikan relevansi PkM.</w:t>
            </w:r>
          </w:p>
        </w:tc>
      </w:tr>
      <w:tr>
        <w:tc>
          <w:tcPr>
            <w:tcW w:type="dxa" w:w="4320"/>
          </w:tcPr>
          <w:p>
            <w:r>
              <w:t>R2</w:t>
            </w:r>
          </w:p>
        </w:tc>
        <w:tc>
          <w:tcPr>
            <w:tcW w:type="dxa" w:w="4320"/>
          </w:tcPr>
          <w:p>
            <w:r>
              <w:t>Kriteria 3.3 Butir 24: skor 4 jika UPPS memenuhi 4 unsur kesesuaian PkM — (1) memiliki peta jalan PkM yang mendukung VMTS dan visi keilmuan prodi, (2) peta jalan memayungi tema PkM dosen-mahasiswa untuk pengembangan kapasitas, (3) evaluasi berkala keselarasan dengan visi, (4) memberikan dampak positif bagi masyarakat.</w:t>
            </w:r>
          </w:p>
        </w:tc>
      </w:tr>
      <w:tr>
        <w:tc>
          <w:tcPr>
            <w:tcW w:type="dxa" w:w="4320"/>
          </w:tcPr>
          <w:p>
            <w:r>
              <w:t>R3</w:t>
            </w:r>
          </w:p>
        </w:tc>
        <w:tc>
          <w:tcPr>
            <w:tcW w:type="dxa" w:w="4320"/>
          </w:tcPr>
          <w:p>
            <w:r>
              <w:t>Butir 4.1.A: tersedianya kebijakan, standar, dan indikator terkait sarana-prasarana PkM, DTPR, pembiayaan PkM, dan peta jalan PkM (layanan kepakaran), disertai bukti-bukti sahih dan sangat lengkap untuk status Unggul.</w:t>
            </w:r>
          </w:p>
        </w:tc>
      </w:tr>
      <w:tr>
        <w:tc>
          <w:tcPr>
            <w:tcW w:type="dxa" w:w="4320"/>
          </w:tcPr>
          <w:p>
            <w:r>
              <w:t>R4</w:t>
            </w:r>
          </w:p>
        </w:tc>
        <w:tc>
          <w:tcPr>
            <w:tcW w:type="dxa" w:w="4320"/>
          </w:tcPr>
          <w:p>
            <w:r>
              <w:t>Standar Pelaksana PkM IKU No.2: persentase kegiatan PkM di fakultas yang selaras dengan Rencana Induk dan roadmap PkM universitas, ambang skor sempurna ≥90%→100%.</w:t>
            </w:r>
          </w:p>
        </w:tc>
      </w:tr>
      <w:tr>
        <w:tc>
          <w:tcPr>
            <w:tcW w:type="dxa" w:w="4320"/>
          </w:tcPr>
          <w:p>
            <w:r>
              <w:t>R5</w:t>
            </w:r>
          </w:p>
        </w:tc>
        <w:tc>
          <w:tcPr>
            <w:tcW w:type="dxa" w:w="4320"/>
          </w:tcPr>
          <w:p>
            <w:r>
              <w:t>Bagian 'Standar Pelaksana' tidak merinci unsur peta jalan secara eksplisit pada Bab Indikator Pencapaian (fokus pada kualifikasi dan produktivitas pelaksana); unsur roadmap tercakup pada bagian rasional dan definisi, bukan pada indikator kuantitatif Bab 5.</w:t>
            </w:r>
          </w:p>
        </w:tc>
      </w:tr>
    </w:tbl>
    <w:p>
      <w:r>
        <w:t>Analisis Kesesuaian: GAP STRUKTURAL — ketentuan FTII bersifat sangat umum ('Tersedia', tanpa unsur), sedangkan R1 dan R2 (dua rujukan dengan skor kuantitatif 0-4) SAMA-SAMA mensyaratkan 4 unsur konkret yang harus dipenuhi seluruhnya untuk skor sempurna: peta jalan memayungi tema dosen-mahasiswa, pelaksanaan sesuai peta jalan, evaluasi berkala kesesuaian, dan pemanfaatan hasil evaluasi. R4 melengkapi dengan ambang keterukuran eksplisit (≥90%→100% kegiatan selaras roadmap). REKOMENDASI: rinci indikator roadmap PkM FTII menjadi 4 unsur konkret tersebut, dilengkapi target persentase kegiatan yang selaras.</w:t>
      </w:r>
    </w:p>
    <w:p>
      <w:pPr>
        <w:pStyle w:val="Heading2"/>
      </w:pPr>
      <w:r>
        <w:t>Tema 2. Keterlibatan Mahasiswa dalam PkM Dosen</w:t>
      </w:r>
    </w:p>
    <w:p>
      <w:r>
        <w:t>Ketentuan FTII UNISBANK: Universitas mendorong keterlibatan mahasiswa dalam kegiatan PkM (indikator 'Keterlibatan mahasiswa dalam PKM dosen', target 'Terlaksana' seluruh tahun, dibuktikan Kontrak PKM/Laporan PKM — kualitatif, tanpa ambang persentase); secara terpisah terdapat IKT 'Persentase mahasiswa terlibat pada PkM' 5% (2023/24) naik ke 8% (2026/27) — metrik persentase JUMLAH MAHASISWA, bukan persentase judul PkM.</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Standar 8 Butir 8.2.1: PPkMDM = (NPkMM/NPkMD) x 100% — persentase judul PkM DTPS yang melibatkan mahasiswa prodi dalam 1 tahun terakhir. Skor 4 jika PPkMDM ≥25%; jika &lt;25%, Skor = 2 + (8 x PPkMDM).</w:t>
            </w:r>
          </w:p>
        </w:tc>
      </w:tr>
      <w:tr>
        <w:tc>
          <w:tcPr>
            <w:tcW w:type="dxa" w:w="4320"/>
          </w:tcPr>
          <w:p>
            <w:r>
              <w:t>R2</w:t>
            </w:r>
          </w:p>
        </w:tc>
        <w:tc>
          <w:tcPr>
            <w:tcW w:type="dxa" w:w="4320"/>
          </w:tcPr>
          <w:p>
            <w:r>
              <w:t>Kriteria 3.3 Butir 25: PKDMhs = (NPKMhs/NPKD) x 100% dalam 3 tahun terakhir. Skor 4 jika PKDMhs ≥50% (dua kali ambang R1); jika &lt;50%, Skor = 1 + (6 x PKDMhs).</w:t>
            </w:r>
          </w:p>
        </w:tc>
      </w:tr>
      <w:tr>
        <w:tc>
          <w:tcPr>
            <w:tcW w:type="dxa" w:w="4320"/>
          </w:tcPr>
          <w:p>
            <w:r>
              <w:t>R3</w:t>
            </w:r>
          </w:p>
        </w:tc>
        <w:tc>
          <w:tcPr>
            <w:tcW w:type="dxa" w:w="4320"/>
          </w:tcPr>
          <w:p>
            <w:r>
              <w:t>Butir 4.1.B: kebijakan, standar, dan indikator terkait implementasi peta jalan PkM dan pelibatan mahasiswa berdasarkan visi misi PT/UPPS/keilmuan prodi dan kebutuhan masyarakat serta DUDIKA — dinilai kualitatif berjenjang (memenuhi/tidak), bukan ambang persentase numerik.</w:t>
            </w:r>
          </w:p>
        </w:tc>
      </w:tr>
      <w:tr>
        <w:tc>
          <w:tcPr>
            <w:tcW w:type="dxa" w:w="4320"/>
          </w:tcPr>
          <w:p>
            <w:r>
              <w:t>R4</w:t>
            </w:r>
          </w:p>
        </w:tc>
        <w:tc>
          <w:tcPr>
            <w:tcW w:type="dxa" w:w="4320"/>
          </w:tcPr>
          <w:p>
            <w:r>
              <w:t>Tidak ditemukan indikator kuantitatif keterlibatan mahasiswa secara spesifik pada Standar Pelaksana PkM; fokus IKU pada kepatuhan prosedural pelaksana (kompetensi, legalitas, dokumentasi proses).</w:t>
            </w:r>
          </w:p>
        </w:tc>
      </w:tr>
      <w:tr>
        <w:tc>
          <w:tcPr>
            <w:tcW w:type="dxa" w:w="4320"/>
          </w:tcPr>
          <w:p>
            <w:r>
              <w:t>R5</w:t>
            </w:r>
          </w:p>
        </w:tc>
        <w:tc>
          <w:tcPr>
            <w:tcW w:type="dxa" w:w="4320"/>
          </w:tcPr>
          <w:p>
            <w:r>
              <w:t>Bagian 'Standar Pelaksana' Bab 5 No.5: 'Terdapat minimal 25% dari judul Pengabdian kepada Masyarakat yang telah melibatkan mahasiswa' — IDENTIK dengan ambang skor sempurna R1 (≥25%).</w:t>
            </w:r>
          </w:p>
        </w:tc>
      </w:tr>
    </w:tbl>
    <w:p>
      <w:r>
        <w:t>Analisis Kesesuaian: GAP TERUKUR PADA METRIK YANG BENAR — FTII memiliki indikator kualitatif ('Terlaksana') untuk keterlibatan mahasiswa dalam judul PkM dosen, TANPA ambang persentase eksplisit terhadap jumlah judul PkM, padahal ini adalah metrik yang justru paling banyak diatur rujukan (R1 ≥25%, R2 ≥50%, R5 ≥25%). Indikator 'persentase mahasiswa terlibat pada PkM' (5%→8%) yang SUDAH ADA di FTII mengukur metrik BERBEDA (proporsi populasi mahasiswa, bukan proporsi judul PkM) sehingga tidak dapat dianggap memenuhi ambang R1/R2/R5. REKOMENDASI PRIORITAS: tambahkan indikator baru 'persentase judul PkM DTPS yang melibatkan mahasiswa program studi' dengan ambang bertahap menuju minimal 50% (mengikuti R2, dua kali ambang R1/R5).</w:t>
      </w:r>
    </w:p>
    <w:p>
      <w:pPr>
        <w:pStyle w:val="Heading2"/>
      </w:pPr>
      <w:r>
        <w:t>Tema 3. Kualifikasi dan Pengembangan Kompetensi Pelaksana PkM</w:t>
      </w:r>
    </w:p>
    <w:p>
      <w:r>
        <w:t>Ketentuan FTII UNISBANK: Buku Panduan PKM memuat kualifikasi ketua, anggota, dan tenaga bantu PKM sesuai skema (target 'Sesuai' seluruh tahun, dibuktikan Dokumen Usulan PKM/Hasil Seleksi); 'Pengembangan DTPR' diukur melalui jumlah keikutsertaan dosen dalam workshop/pelatihan: 2 kegiatan/tahun (2023/24-2026/27, flat).</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kualifikasi pelaksana PkM secara spesifik pada Standar 8 (fokus pada relevansi peta jalan dan keterlibatan mahasiswa saja — hanya 2 butir ditemukan pada bagian yang diekstrak).</w:t>
            </w:r>
          </w:p>
        </w:tc>
      </w:tr>
      <w:tr>
        <w:tc>
          <w:tcPr>
            <w:tcW w:type="dxa" w:w="4320"/>
          </w:tcPr>
          <w:p>
            <w:r>
              <w:t>R2</w:t>
            </w:r>
          </w:p>
        </w:tc>
        <w:tc>
          <w:tcPr>
            <w:tcW w:type="dxa" w:w="4320"/>
          </w:tcPr>
          <w:p>
            <w:r>
              <w:t>Tidak ditemukan ambang kualifikasi pelaksana PkM secara spesifik pada bagian PkM yang diekstrak (Kriteria 3.3 fokus pada peta jalan dan keterlibatan mahasiswa; kualifikasi dosen diatur pada kriteria SDM terpisah).</w:t>
            </w:r>
          </w:p>
        </w:tc>
      </w:tr>
      <w:tr>
        <w:tc>
          <w:tcPr>
            <w:tcW w:type="dxa" w:w="4320"/>
          </w:tcPr>
          <w:p>
            <w:r>
              <w:t>R3</w:t>
            </w:r>
          </w:p>
        </w:tc>
        <w:tc>
          <w:tcPr>
            <w:tcW w:type="dxa" w:w="4320"/>
          </w:tcPr>
          <w:p>
            <w:r>
              <w:t>Butir 4.1.A menyebut 'DTPR' sebagai salah satu unsur kebijakan sarana-prasarana-pembiayaan-peta jalan PkM, namun tidak merinci ambang kualifikasi akademik/jabatan fungsional pelaksana PkM secara spesifik pada bagian yang diekstrak.</w:t>
            </w:r>
          </w:p>
        </w:tc>
      </w:tr>
      <w:tr>
        <w:tc>
          <w:tcPr>
            <w:tcW w:type="dxa" w:w="4320"/>
          </w:tcPr>
          <w:p>
            <w:r>
              <w:t>R4</w:t>
            </w:r>
          </w:p>
        </w:tc>
        <w:tc>
          <w:tcPr>
            <w:tcW w:type="dxa" w:w="4320"/>
          </w:tcPr>
          <w:p>
            <w:r>
              <w:t>Standar Pelaksana PkM IKU No.1: persentase program studi/dosen di fakultas yang melaksanakan PkM sesuai ketentuan pelaksana PkM universitas, ambang skor sempurna ≥90%→100% — bersifat kepatuhan prosedural, bukan ambang kualifikasi akademik/jumlah kegiatan pengembangan kompetensi.</w:t>
            </w:r>
          </w:p>
        </w:tc>
      </w:tr>
      <w:tr>
        <w:tc>
          <w:tcPr>
            <w:tcW w:type="dxa" w:w="4320"/>
          </w:tcPr>
          <w:p>
            <w:r>
              <w:t>R5</w:t>
            </w:r>
          </w:p>
        </w:tc>
        <w:tc>
          <w:tcPr>
            <w:tcW w:type="dxa" w:w="4320"/>
          </w:tcPr>
          <w:p>
            <w:r>
              <w:t>Bagian 'Standar Pelaksana' Bab 5 No.1,3,4,7: pelaksana PkM berpendidikan minimal S2, memiliki NIDN/NIDK, ketua pelaksana berjabatan akademik minimal asisten ahli, kelompok pelaksana memiliki bukti legal formal dan keaktifan jejaring; serta tersedia program pengembangan kompetensi pelaksana PkM MINIMAL 2 kegiatan per tahun — IDENTIK PERSIS dengan target FTII (2 kegiatan/tahun).</w:t>
            </w:r>
          </w:p>
        </w:tc>
      </w:tr>
    </w:tbl>
    <w:p>
      <w:r>
        <w:t>Analisis Kesesuaian: SELARAS PENUH DENGAN R5, TIDAK ADA PEMBANDING KUANTITATIF EKSPLISIT PADA R1/R2/R3 — jumlah kegiatan pengembangan kompetensi pelaksana PkM FTII (2 kegiatan/tahun, flat) IDENTIK dengan ambang minimal R5 (2 kegiatan/tahun), namun R4 menilai dari sisi berbeda (persentase kepatuhan pelaksana, bukan jumlah kegiatan pengembangan). REKOMENDASI: pertimbangkan menaikkan target dari flat 2 kegiatan/tahun menjadi tren naik (2→3→4), serta menambahkan ambang kualifikasi eksplisit (minimal S2, NIDN/NIDK, jabatan fungsional ketua pelaksana) mengikuti R5 agar lebih terukur.</w:t>
      </w:r>
    </w:p>
    <w:p>
      <w:pPr>
        <w:pStyle w:val="Heading2"/>
      </w:pPr>
      <w:r>
        <w:t>Tema 4. Produktivitas PkM Dosen dan Diversifikasi Sumber Dana</w:t>
      </w:r>
    </w:p>
    <w:p>
      <w:r>
        <w:t>Ketentuan FTII UNISBANK: 'Terpenuhinya setiap Dosen memiliki satu PKM tiap tahun' — target 'Terpenuhi' pada seluruh tahun 2023/24-2026/27 (angka mutlak dan seragam, dibuktikan Laporan PKM), tanpa rincian proporsi sumber pendanaan (luar negeri/dalam negeri/PT-mandiri).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produktivitas/diversifikasi sumber dana PkM secara eksplisit pada Standar 8 bagian yang diekstrak.</w:t>
            </w:r>
          </w:p>
        </w:tc>
      </w:tr>
      <w:tr>
        <w:tc>
          <w:tcPr>
            <w:tcW w:type="dxa" w:w="4320"/>
          </w:tcPr>
          <w:p>
            <w:r>
              <w:t>R2</w:t>
            </w:r>
          </w:p>
        </w:tc>
        <w:tc>
          <w:tcPr>
            <w:tcW w:type="dxa" w:w="4320"/>
          </w:tcPr>
          <w:p>
            <w:r>
              <w:t>Butir 32: Kegiatan PkM DTPS berdasarkan RASIO sumber pembiayaan dalam 3 tahun terakhir — RI=NI/3/NDTPS (luar negeri), RN=NN/3/NDTPS (dalam negeri), RW=NW/3/NDTPS (PT/mandiri). Skor 4 jika RI&gt;a=0,05 DAN RN&gt;b=0,3 (RW dibatasi maksimal c=1); skor turun proporsional bila salah satu rasio di bawah ambang.</w:t>
            </w:r>
          </w:p>
        </w:tc>
      </w:tr>
      <w:tr>
        <w:tc>
          <w:tcPr>
            <w:tcW w:type="dxa" w:w="4320"/>
          </w:tcPr>
          <w:p>
            <w:r>
              <w:t>R3</w:t>
            </w:r>
          </w:p>
        </w:tc>
        <w:tc>
          <w:tcPr>
            <w:tcW w:type="dxa" w:w="4320"/>
          </w:tcPr>
          <w:p>
            <w:r>
              <w:t>Butir 4.1.C menyebut 'perolehan hibah PkM' dan 'keberlanjutan PkM' sebagai unsur kebijakan, namun tidak merinci ambang rasio sumber pendanaan secara spesifik pada bagian yang diekstrak.</w:t>
            </w:r>
          </w:p>
        </w:tc>
      </w:tr>
      <w:tr>
        <w:tc>
          <w:tcPr>
            <w:tcW w:type="dxa" w:w="4320"/>
          </w:tcPr>
          <w:p>
            <w:r>
              <w:t>R4</w:t>
            </w:r>
          </w:p>
        </w:tc>
        <w:tc>
          <w:tcPr>
            <w:tcW w:type="dxa" w:w="4320"/>
          </w:tcPr>
          <w:p>
            <w:r>
              <w:t>Tidak ditemukan ambang produktivitas/diversifikasi dana PkM pada Standar Pelaksana/Pendanaan PkM secara spesifik (fokus pada persentase kepatuhan prosedural, bukan rasio populasi dosen).</w:t>
            </w:r>
          </w:p>
        </w:tc>
      </w:tr>
      <w:tr>
        <w:tc>
          <w:tcPr>
            <w:tcW w:type="dxa" w:w="4320"/>
          </w:tcPr>
          <w:p>
            <w:r>
              <w:t>R5</w:t>
            </w:r>
          </w:p>
        </w:tc>
        <w:tc>
          <w:tcPr>
            <w:tcW w:type="dxa" w:w="4320"/>
          </w:tcPr>
          <w:p>
            <w:r>
              <w:t>Bagian 'Standar Pelaksana' Bab 5 No.6: rata-rata PkM yang relevan dengan bidang program studi dinilai per sumber pembiayaan — luar negeri minimal 0,02; dalam negeri minimal 0,2; PT/Mandiri minimal 1 — pola serupa R2 namun ambang berbeda (lebih rendah untuk luar negeri dan dalam negeri).</w:t>
            </w:r>
          </w:p>
        </w:tc>
      </w:tr>
    </w:tbl>
    <w:p>
      <w:r>
        <w:t>Analisis Kesesuaian: SELARAS SEBAGIAN, GAP KETERUKURAN DIVERSIFIKASI DANA — ketentuan FTII ('1 PkM/dosen/tahun', angka mutlak) SEJALAN secara substansi dengan ambang rasio 'PT/Mandiri minimal 1' pada R2 dan R5 (keduanya menetapkan rasio dasar 1 kegiatan per dosen per tahun untuk kategori PT/mandiri), namun FTII BELUM merinci proporsi sumber pendanaan luar negeri dan dalam negeri secara terpisah sebagaimana disyaratkan R2 (≥0,05 dan ≥0,3) dan R5 (≥0,02 dan ≥0,2) untuk mencapai skor/ambang sempurna. REKOMENDASI: lengkapi indikator produktivitas PkM FTII dengan pelaporan proporsi tingkat/sumber pendanaan (luar negeri/dalam negeri/PT-mandiri) per dosen per tahun.</w:t>
      </w:r>
    </w:p>
    <w:p>
      <w:pPr>
        <w:pStyle w:val="Heading2"/>
      </w:pPr>
      <w:r>
        <w:t>Tema 5. Sarana dan Prasarana PkM (Kelengkapan, K3, dan Aksesibilitas)</w:t>
      </w:r>
    </w:p>
    <w:p>
      <w:r>
        <w:t>Ketentuan FTII UNISBANK: Ketersediaan sarana dan prasarana PKM sesuai standar (target 'Tersedia' seluruh tahun, dibuktikan Inventaris Sarpras) — bersifat umum, tidak merinci daftar fasilitas; jaringan internet untuk PKM ditetapkan flat 500 Mbps seluruh tahun.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sarana-prasarana PkM secara spesifik pada Standar 8 bagian yang diekstrak (hanya 2 butir: relevansi peta jalan dan keterlibatan mahasiswa).</w:t>
            </w:r>
          </w:p>
        </w:tc>
      </w:tr>
      <w:tr>
        <w:tc>
          <w:tcPr>
            <w:tcW w:type="dxa" w:w="4320"/>
          </w:tcPr>
          <w:p>
            <w:r>
              <w:t>R2</w:t>
            </w:r>
          </w:p>
        </w:tc>
        <w:tc>
          <w:tcPr>
            <w:tcW w:type="dxa" w:w="4320"/>
          </w:tcPr>
          <w:p>
            <w:r>
              <w:t>Tidak ditemukan ambang sarana-prasarana PkM secara spesifik pada Kriteria 3.3 bagian yang diekstrak.</w:t>
            </w:r>
          </w:p>
        </w:tc>
      </w:tr>
      <w:tr>
        <w:tc>
          <w:tcPr>
            <w:tcW w:type="dxa" w:w="4320"/>
          </w:tcPr>
          <w:p>
            <w:r>
              <w:t>R3</w:t>
            </w:r>
          </w:p>
        </w:tc>
        <w:tc>
          <w:tcPr>
            <w:tcW w:type="dxa" w:w="4320"/>
          </w:tcPr>
          <w:p>
            <w:r>
              <w:t>Butir 4.1.A menyebut sarana-prasarana PkM sebagai salah satu unsur kebijakan yang harus tersedia lengkap dan sahih, namun tidak merinci checklist fasilitas fisik secara spesifik (dinilai kualitatif berjenjang: X untuk seluruh jenjang program).</w:t>
            </w:r>
          </w:p>
        </w:tc>
      </w:tr>
      <w:tr>
        <w:tc>
          <w:tcPr>
            <w:tcW w:type="dxa" w:w="4320"/>
          </w:tcPr>
          <w:p>
            <w:r>
              <w:t>R4</w:t>
            </w:r>
          </w:p>
        </w:tc>
        <w:tc>
          <w:tcPr>
            <w:tcW w:type="dxa" w:w="4320"/>
          </w:tcPr>
          <w:p>
            <w:r>
              <w:t>Standar Sarana dan Prasarana PkM IKU: persentase prodi/unit memanfaatkan sarpras sesuai standar ≥90%→100%; persentase sarpras memenuhi mutu/relevansi/kemutakhiran ≥85%→100%; persentase aksesibilitas bagi berkebutuhan khusus ≥80%→100%; frekuensi monev internal ≥1x/tahun — seluruhnya diukur PERSENTASE PEMANFAATAN, bukan checklist fasilitas fisik.</w:t>
            </w:r>
          </w:p>
        </w:tc>
      </w:tr>
      <w:tr>
        <w:tc>
          <w:tcPr>
            <w:tcW w:type="dxa" w:w="4320"/>
          </w:tcPr>
          <w:p>
            <w:r>
              <w:t>R5</w:t>
            </w:r>
          </w:p>
        </w:tc>
        <w:tc>
          <w:tcPr>
            <w:tcW w:type="dxa" w:w="4320"/>
          </w:tcPr>
          <w:p>
            <w:r>
              <w:t>Bagian 'Standar Sarana dan Prasarana' Bab 5 No.1-7: checklist rinci dan konkret — (1) LPPM memiliki Ruang Pimpinan, Administrasi, Penyimpanan Arsip, Pertemuan, dan Seminar; (2) sarana pendukung (buku teks, jurnal nasional/internasional, repositori, software pengolah data, instrumentasi, TIK); (3) prasarana pendukung (pusat studi, Sentra HKI, perpustakaan, laboratorium, studio, bengkel, inkubator, lahan percobaan, ruang diskusi); (4)-(7) 4 aspek keselamatan-kesehatan-kenyamanan-keamanan kerja (K3) secara spesifik dan terpisah.</w:t>
            </w:r>
          </w:p>
        </w:tc>
      </w:tr>
    </w:tbl>
    <w:p>
      <w:r>
        <w:t>Analisis Kesesuaian: GAP KEDALAMAN RINCIAN (POLA IDENTIK DENGAN STANDAR MASUKAN PENELITIAN) — ketentuan FTII bersifat sangat umum ('Tersedia sesuai standar'), sedangkan R5 memberikan checklist yang sangat rinci dan konkret (5 jenis ruang LPPM, sarana referensi ilmiah, 9 jenis prasarana pendukung, dan 4 aspek K3 terpisah), serta R4 memberikan ambang persentase pemanfaatan/mutu/aksesibilitas yang terukur (≥85-90%→100%). Bandwidth internet 500 Mbps flat FTII TIDAK ADA pembanding kuantitatif pada kelima rujukan (kebijakan internal FTII). REKOMENDASI PRIORITAS: rinci indikator sarpras PkM FTII mengikuti checklist R5 (ruang unit pengelola PkM, sarana referensi ilmiah, prasarana pendukung spesifik bidang, 4 aspek K3 terpisah), dilengkapi ambang persentase pemanfaatan/mutu/aksesibilitas seperti R4.</w:t>
      </w:r>
    </w:p>
    <w:p>
      <w:pPr>
        <w:pStyle w:val="Heading2"/>
      </w:pPr>
      <w:r>
        <w:t>Tema 6. Sistem Informasi PkM</w:t>
      </w:r>
    </w:p>
    <w:p>
      <w:r>
        <w:t>Ketentuan FTII UNISBANK: Tersedia sistem informasi yang mendukung pelaksanaan PkM (SIRISBANK atau sistem lain) — target 'Tersedia' status biner seluruh tahun, tanpa ambang cakupan penggunaan.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sistem informasi PkM secara spesifik pada bagian yang diekstrak.</w:t>
            </w:r>
          </w:p>
        </w:tc>
      </w:tr>
      <w:tr>
        <w:tc>
          <w:tcPr>
            <w:tcW w:type="dxa" w:w="4320"/>
          </w:tcPr>
          <w:p>
            <w:r>
              <w:t>R2</w:t>
            </w:r>
          </w:p>
        </w:tc>
        <w:tc>
          <w:tcPr>
            <w:tcW w:type="dxa" w:w="4320"/>
          </w:tcPr>
          <w:p>
            <w:r>
              <w:t>Tidak ditemukan ambang sistem informasi PkM secara spesifik pada bagian yang diekstrak.</w:t>
            </w:r>
          </w:p>
        </w:tc>
      </w:tr>
      <w:tr>
        <w:tc>
          <w:tcPr>
            <w:tcW w:type="dxa" w:w="4320"/>
          </w:tcPr>
          <w:p>
            <w:r>
              <w:t>R3</w:t>
            </w:r>
          </w:p>
        </w:tc>
        <w:tc>
          <w:tcPr>
            <w:tcW w:type="dxa" w:w="4320"/>
          </w:tcPr>
          <w:p>
            <w:r>
              <w:t>Tidak ditemukan ambang sistem informasi PkM secara spesifik pada Butir 4.1.A-C yang diekstrak (fokus pada kebijakan sarpras-DTPR-pembiayaan-peta jalan secara umum).</w:t>
            </w:r>
          </w:p>
        </w:tc>
      </w:tr>
      <w:tr>
        <w:tc>
          <w:tcPr>
            <w:tcW w:type="dxa" w:w="4320"/>
          </w:tcPr>
          <w:p>
            <w:r>
              <w:t>R4</w:t>
            </w:r>
          </w:p>
        </w:tc>
        <w:tc>
          <w:tcPr>
            <w:tcW w:type="dxa" w:w="4320"/>
          </w:tcPr>
          <w:p>
            <w:r>
              <w:t>Standar Sarana dan Prasarana PkM IKU: persentase unit kerja menggunakan sistem informasi layanan sarpras PkM terintegrasi ≥85%→100%; persentase layanan SI yang terintegrasi dan mudah diakses ≥85%→100%; persentase rekomendasi hasil evaluasi SI yang ditindaklanjuti ≥70%→95%.</w:t>
            </w:r>
          </w:p>
        </w:tc>
      </w:tr>
      <w:tr>
        <w:tc>
          <w:tcPr>
            <w:tcW w:type="dxa" w:w="4320"/>
          </w:tcPr>
          <w:p>
            <w:r>
              <w:t>R5</w:t>
            </w:r>
          </w:p>
        </w:tc>
        <w:tc>
          <w:tcPr>
            <w:tcW w:type="dxa" w:w="4320"/>
          </w:tcPr>
          <w:p>
            <w:r>
              <w:t>Sistem informasi tercakup sebagai bagian dari sarana pendukung TIK/koneksi internet pada Bab 5 No.2 Standar Sarana dan Prasarana, tanpa ambang cakupan penggunaan terpisah.</w:t>
            </w:r>
          </w:p>
        </w:tc>
      </w:tr>
    </w:tbl>
    <w:p>
      <w:r>
        <w:t>Analisis Kesesuaian: SELARAS KONSEP, GAP KETERUKURAN — R4 menyediakan tiga ambang persentase eksplisit terkait cakupan penggunaan, integrasi, dan tindak lanjut evaluasi sistem informasi PkM (≥85%→100%), sedangkan FTII hanya menetapkan status biner 'Tersedia' untuk SIRISBANK. REKOMENDASI: ubah indikator Sistem Informasi PkM FTII dari status biner menjadi persentase cakupan program studi/unit yang aktif menggunakan sistem tersebut, mengikuti pola pengukuran R4.</w:t>
      </w:r>
    </w:p>
    <w:p>
      <w:pPr>
        <w:pStyle w:val="Heading2"/>
      </w:pPr>
      <w:r>
        <w:t>Tema 7. Pembiayaan/Dana PkM per Dosen per Tahun</w:t>
      </w:r>
    </w:p>
    <w:p>
      <w:r>
        <w:t>Ketentuan FTII UNISBANK: Tersedia dana PKM per dosen per tahun sebesar Rp5.000.000, target 'Terpenuhi' pada seluruh tahun 2023/24-2026/27 (flat, tidak ada peningkatan bertahap); tersedia alokasi dana universitas untuk DPPMP dan bukti kerja sama pendanaan PKM dengan lembaga lain (keduanya kualitatif 'Tersedia').</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dana PkM per dosen secara spesifik pada Standar 8 bagian yang diekstrak.</w:t>
            </w:r>
          </w:p>
        </w:tc>
      </w:tr>
      <w:tr>
        <w:tc>
          <w:tcPr>
            <w:tcW w:type="dxa" w:w="4320"/>
          </w:tcPr>
          <w:p>
            <w:r>
              <w:t>R2</w:t>
            </w:r>
          </w:p>
        </w:tc>
        <w:tc>
          <w:tcPr>
            <w:tcW w:type="dxa" w:w="4320"/>
          </w:tcPr>
          <w:p>
            <w:r>
              <w:t>Butir 11: DPkMD = rata-rata dana PkM DTPS/tahun dalam 3 tahun terakhir. Skor 4 jika DPkMD ≥ Rp5.000.000/dosen/tahun; jika &lt;Rp5.000.000, Skor = (4 x DPkMD)/5.000.000.</w:t>
            </w:r>
          </w:p>
        </w:tc>
      </w:tr>
      <w:tr>
        <w:tc>
          <w:tcPr>
            <w:tcW w:type="dxa" w:w="4320"/>
          </w:tcPr>
          <w:p>
            <w:r>
              <w:t>R3</w:t>
            </w:r>
          </w:p>
        </w:tc>
        <w:tc>
          <w:tcPr>
            <w:tcW w:type="dxa" w:w="4320"/>
          </w:tcPr>
          <w:p>
            <w:r>
              <w:t>Butir 4.1.A/C menyebut 'pembiayaan PkM' dan 'perolehan hibah PkM' sebagai unsur kebijakan yang harus tersedia lengkap dan sahih, namun tidak merinci ambang nominal per dosen secara spesifik.</w:t>
            </w:r>
          </w:p>
        </w:tc>
      </w:tr>
      <w:tr>
        <w:tc>
          <w:tcPr>
            <w:tcW w:type="dxa" w:w="4320"/>
          </w:tcPr>
          <w:p>
            <w:r>
              <w:t>R4</w:t>
            </w:r>
          </w:p>
        </w:tc>
        <w:tc>
          <w:tcPr>
            <w:tcW w:type="dxa" w:w="4320"/>
          </w:tcPr>
          <w:p>
            <w:r>
              <w:t>Standar Pendanaan PkM IKU: persentase kecukupan pendanaan PkM internal yang terpenuhi ≥90%→100%; persentase kegiatan PkM terlayani dukungan operasional pengelolaan ≥90%→100%; persentase usulan dinilai reviewer kompeten ≥90%→100%; jumlah kegiatan diseminasi/publikasi diikuti dosen ≥2 kegiatan/tahun.</w:t>
            </w:r>
          </w:p>
        </w:tc>
      </w:tr>
      <w:tr>
        <w:tc>
          <w:tcPr>
            <w:tcW w:type="dxa" w:w="4320"/>
          </w:tcPr>
          <w:p>
            <w:r>
              <w:t>R5</w:t>
            </w:r>
          </w:p>
        </w:tc>
        <w:tc>
          <w:tcPr>
            <w:tcW w:type="dxa" w:w="4320"/>
          </w:tcPr>
          <w:p>
            <w:r>
              <w:t>Bagian 'Standar Pendanaan' Bab 5 No.1-2: terdapat data PkM dengan pendanaan internal dan eksternal (jumlah dana dan jumlah kontrak per tahun); No.5: persentase penggunaan dana PkM terhadap total dana perguruan tinggi MINIMAL 5%.</w:t>
            </w:r>
          </w:p>
        </w:tc>
      </w:tr>
    </w:tbl>
    <w:p>
      <w:r>
        <w:t>Analisis Kesesuaian: SELARAS PENUH DENGAN AMBANG SKOR SEMPURNA R2 — target dana PkM FTII (Rp5.000.000/dosen/tahun) TEPAT SAMA DENGAN ambang skor sempurna R2 (DPkMD ≥Rp5.000.000), berbeda dengan pola dana Penelitian FTII yang 2x lipat ambang. Namun indikator terpisah 'Persentase penggunaan dana PKM terhadap total dana perguruan tinggi' FTII (1%→1,3%) JAUH DI BAWAH ambang minimal R5 (≥5%) — GAP SIGNIFIKAN. REKOMENDASI PRIORITAS: naikkan target persentase dana PkM terhadap total dana PT FTII secara bertahap menuju minimal 5% sesuai ambang R5; pertimbangkan pula menaikkan dana PkM per dosen dari flat Rp5 juta menjadi tren naik agar konsisten dengan pola peningkatan berkelanjutan pada Standar Masukan Penelitian.</w:t>
      </w:r>
    </w:p>
    <w:p>
      <w:pPr>
        <w:pStyle w:val="Heading2"/>
      </w:pPr>
      <w:r>
        <w:t>Tema 8. Reviewer dan Dukungan Operasional Pengelolaan PkM</w:t>
      </w:r>
    </w:p>
    <w:p>
      <w:r>
        <w:t>Ketentuan FTII UNISBANK: TIDAK DITEMUKAN indikator eksplisit terkait reviewer PkM atau dukungan operasional pengelolaan (seleksi, monev, pelaporan, diseminasi) pada dokumen Standar Masukan PkM FTII (kemungkinan diatur pada dokumen Standar Proses PkM yang terpisah, di luar cakupan pemetaan ini).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R4</w:t>
            </w:r>
          </w:p>
        </w:tc>
        <w:tc>
          <w:tcPr>
            <w:tcW w:type="dxa" w:w="4320"/>
          </w:tcPr>
          <w:p>
            <w:r>
              <w:t>Standar Pendanaan PkM IKU No.3-4: persentase kegiatan PkM terlayani dukungan operasional pengelolaan (seleksi, monev, pelaporan, diseminasi) ≥90%→100%; persentase usulan PkM dosen dinilai reviewer kompeten sesuai ketentuan universitas ≥90%→100%.</w:t>
            </w:r>
          </w:p>
        </w:tc>
      </w:tr>
      <w:tr>
        <w:tc>
          <w:tcPr>
            <w:tcW w:type="dxa" w:w="4320"/>
          </w:tcPr>
          <w:p>
            <w:r>
              <w:t>R1, R2, R3, R5</w:t>
            </w:r>
          </w:p>
        </w:tc>
        <w:tc>
          <w:tcPr>
            <w:tcW w:type="dxa" w:w="4320"/>
          </w:tcPr>
          <w:p>
            <w:r>
              <w:t>Tidak ditemukan ambang reviewer/dukungan operasional pengelolaan PkM secara eksplisit pada bagian MASUKAN yang diekstrak dari keempat dokumen ini (kemungkinan termuat pada standar Proses/Pengelolaan PkM yang terpisah).</w:t>
            </w:r>
          </w:p>
        </w:tc>
      </w:tr>
    </w:tbl>
    <w:p>
      <w:r>
        <w:t>Analisis Kesesuaian: CATATAN CAKUPAN — tema ini hanya ditemukan eksplisit pada R4 dan kemungkinan besar merupakan domain Standar PROSES PkM (bukan Masukan), karena reviewer dan dukungan operasional pengelolaan bersifat prosedural-pelaksanaan, bukan penyediaan sumber daya awal. TIDAK DIREKOMENDASIKAN untuk dipaksakan masuk ke Standar Masukan PkM FTII; cukup dicatat sebagai potensi tema untuk pemetaan Standar Proses PkM di kemudian hari.</w:t>
      </w:r>
    </w:p>
    <w:p>
      <w:pPr>
        <w:pStyle w:val="Heading2"/>
      </w:pPr>
      <w:r>
        <w:t>Tema 9. Keberlanjutan dan Integrasi PkM ke Pembelajaran</w:t>
      </w:r>
    </w:p>
    <w:p>
      <w:r>
        <w:t>Ketentuan FTII UNISBANK: Persentase mata kuliah yang mengintegrasikan hasil PkM: 10% (2023/24) naik ke 15% (2026/27); jumlah publikasi luaran PkM 7→13; jumlah HKI dari kegiatan PkM 3→4; tersedianya roadmap keberlanjutan PkM (kualitatif 'Tersedia').</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 R2</w:t>
            </w:r>
          </w:p>
        </w:tc>
        <w:tc>
          <w:tcPr>
            <w:tcW w:type="dxa" w:w="4320"/>
          </w:tcPr>
          <w:p>
            <w:r>
              <w:t>Tidak ditemukan ambang integrasi PkM ke pembelajaran atau roadmap keberlanjutan secara spesifik pada bagian PkM yang diekstrak (kedua rujukan fokus pada relevansi peta jalan dan keterlibatan mahasiswa).</w:t>
            </w:r>
          </w:p>
        </w:tc>
      </w:tr>
      <w:tr>
        <w:tc>
          <w:tcPr>
            <w:tcW w:type="dxa" w:w="4320"/>
          </w:tcPr>
          <w:p>
            <w:r>
              <w:t>R3</w:t>
            </w:r>
          </w:p>
        </w:tc>
        <w:tc>
          <w:tcPr>
            <w:tcW w:type="dxa" w:w="4320"/>
          </w:tcPr>
          <w:p>
            <w:r>
              <w:t>Butir 4.1.C menyebut 'keberlanjutan PkM' sebagai salah satu unsur kebijakan yang harus tersedia lengkap dan sahih, selaras secara kualitatif dengan indikator roadmap keberlanjutan FTII, namun tidak merinci ambang persentase integrasi ke pembelajaran.</w:t>
            </w:r>
          </w:p>
        </w:tc>
      </w:tr>
      <w:tr>
        <w:tc>
          <w:tcPr>
            <w:tcW w:type="dxa" w:w="4320"/>
          </w:tcPr>
          <w:p>
            <w:r>
              <w:t>R4, R5</w:t>
            </w:r>
          </w:p>
        </w:tc>
        <w:tc>
          <w:tcPr>
            <w:tcW w:type="dxa" w:w="4320"/>
          </w:tcPr>
          <w:p>
            <w:r>
              <w:t>Publikasi dan HKI hasil PkM merupakan domain Standar LUARAN PkM (bukan Masukan) pada kedua rujukan — tidak ditemukan pembanding pada bagian Masukan/Pelaksana/Sarpras/Pendanaan yang diekstrak.</w:t>
            </w:r>
          </w:p>
        </w:tc>
      </w:tr>
    </w:tbl>
    <w:p>
      <w:r>
        <w:t>Analisis Kesesuaian: CATATAN CAKUPAN LINTAS-STANDAR — indikator publikasi luaran PkM dan HKI yang tercantum pada draft Standar Masukan PkM FTII ini secara konsep merupakan domain Standar LUARAN PkM (dipetakan terpisah pada standarluaranpkm.docx), bukan Standar Masukan. Persentase integrasi mata kuliah dengan hasil PkM (10%→15%) SELARAS secara kualitatif dengan penekanan R3 pada keberlanjutan PkM, namun tanpa ambang pembanding kuantitatif langsung dari kelima rujukan. REKOMENDASI: pertimbangkan memindahkan indikator publikasi dan HKI dari Standar Masukan PkM ke Standar Luaran PkM agar tidak terjadi duplikasi/tumpang tindih antar-standar (dokumen Standar Luaran PkM FTII yang terpisah kemungkinan sudah memuat indikator ini secara lebih rinci).</w:t>
      </w:r>
    </w:p>
    <w:p>
      <w:pPr>
        <w:pStyle w:val="Heading2"/>
      </w:pPr>
      <w:r>
        <w:t>Tema 10. Kepuasan Dosen, Mahasiswa, dan Mitra terhadap Layanan PkM</w:t>
      </w:r>
    </w:p>
    <w:p>
      <w:r>
        <w:t>Ketentuan FTII UNISBANK: Indikator Kinerja Tambahan: persentase kepuasan dosen dan mahasiswa terhadap sarana dan prasarana PkM meningkat dari 80% (2024/25) menjadi 95% (2027/28); persentase kepuasan mitra PkM juga 80%→95%.</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 R2, R3, R5</w:t>
            </w:r>
          </w:p>
        </w:tc>
        <w:tc>
          <w:tcPr>
            <w:tcW w:type="dxa" w:w="4320"/>
          </w:tcPr>
          <w:p>
            <w:r>
              <w:t>Tidak ditemukan ambang survei kepuasan dosen/mahasiswa/mitra terhadap layanan PkM secara eksplisit pada bagian yang berhasil diekstrak dari keempat dokumen ini.</w:t>
            </w:r>
          </w:p>
        </w:tc>
      </w:tr>
      <w:tr>
        <w:tc>
          <w:tcPr>
            <w:tcW w:type="dxa" w:w="4320"/>
          </w:tcPr>
          <w:p>
            <w:r>
              <w:t>R4</w:t>
            </w:r>
          </w:p>
        </w:tc>
        <w:tc>
          <w:tcPr>
            <w:tcW w:type="dxa" w:w="4320"/>
          </w:tcPr>
          <w:p>
            <w:r>
              <w:t>Standar Sarana dan Prasarana serta Standar Pendanaan PkM menilai 'persentase layanan yang terpenuhi/dimanfaatkan sesuai standar' (≥85-90%→100%), BUKAN persentase kepuasan berbasis survei — metode berbeda dari FTII.</w:t>
            </w:r>
          </w:p>
        </w:tc>
      </w:tr>
    </w:tbl>
    <w:p>
      <w:r>
        <w:t>Analisis Kesesuaian: FTII LEBIH TERUKUR MELALUI SURVEI KEPUASAN — sama seperti pola pada Standar Masukan Penelitian, FTII adalah satu-satunya yang menetapkan target eksplisit berbasis survei kepuasan (dosen/mahasiswa dan mitra, masing-masing 80%→95%), sementara rujukan yang memuat ambang serupa (R4) mengukur persentase pemenuhan layanan terhadap standar internal, bukan kepuasan subjektif pengguna. Ini merupakan PRAKTIK BAIK FTII yang tidak dijumpai eksplisit pada kelima dokumen rujukan — direkomendasikan dipertahankan dan didokumentasikan sebagai nilai tambah.</w:t>
      </w:r>
    </w:p>
    <w:p>
      <w:pPr>
        <w:pStyle w:val="Heading2"/>
      </w:pPr>
      <w:r>
        <w:t>Tema 11. Monitoring, Evaluasi, Audit Mutu Internal (AMI), dan Siklus PPEPP</w:t>
      </w:r>
    </w:p>
    <w:p>
      <w:r>
        <w:t>Ketentuan FTII UNISBANK: Universitas wajib melakukan Audit Mutu Internal (AMI) secara berkala terhadap ketercapaian standar masukan PkM (perencanaan, SDM, sarpras, pembiayaan, sistem informasi, keberlanjutan program); tersedia dokumen AMI pada seluruh sub-bagian (Sarpras, SDM, Pembiayaan, Renstra/Roadmap).</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Standar 8 tercakup dalam siklus SPMI berbasis PDCA/OBE yang berlaku menyeluruh pada seluruh 8 standar penelitian dan 8 standar PkM sebagai praktik best-practice institusional.</w:t>
            </w:r>
          </w:p>
        </w:tc>
      </w:tr>
      <w:tr>
        <w:tc>
          <w:tcPr>
            <w:tcW w:type="dxa" w:w="4320"/>
          </w:tcPr>
          <w:p>
            <w:r>
              <w:t>R2</w:t>
            </w:r>
          </w:p>
        </w:tc>
        <w:tc>
          <w:tcPr>
            <w:tcW w:type="dxa" w:w="4320"/>
          </w:tcPr>
          <w:p>
            <w:r>
              <w:t>Kriteria VII 'Sistem Penjaminan Mutu' (di luar Kriteria 2.5/3.3 PkM) menilai keberadaan unit penjaminan mutu, keterlaksanaan SPMI dan AMI secara umum lintas bidang, termasuk PkM.</w:t>
            </w:r>
          </w:p>
        </w:tc>
      </w:tr>
      <w:tr>
        <w:tc>
          <w:tcPr>
            <w:tcW w:type="dxa" w:w="4320"/>
          </w:tcPr>
          <w:p>
            <w:r>
              <w:t>R3</w:t>
            </w:r>
          </w:p>
        </w:tc>
        <w:tc>
          <w:tcPr>
            <w:tcW w:type="dxa" w:w="4320"/>
          </w:tcPr>
          <w:p>
            <w:r>
              <w:t>Kriteria 1 'Budaya Mutu' dan pendekatan penilaian berjenjang (Butir 4.2-4.5: Pelaksanaan-Evaluasi-Pengendalian-Peningkatan) pada Kriteria 4 Relevansi PkM secara eksplisit mengikuti siklus PPEPP.</w:t>
            </w:r>
          </w:p>
        </w:tc>
      </w:tr>
      <w:tr>
        <w:tc>
          <w:tcPr>
            <w:tcW w:type="dxa" w:w="4320"/>
          </w:tcPr>
          <w:p>
            <w:r>
              <w:t>R4</w:t>
            </w:r>
          </w:p>
        </w:tc>
        <w:tc>
          <w:tcPr>
            <w:tcW w:type="dxa" w:w="4320"/>
          </w:tcPr>
          <w:p>
            <w:r>
              <w:t>Setiap Standar PkM (Pelaksana, Sarpras, Pendanaan) memiliki bagian 'Mekanisme Evaluasi' eksplisit: monitoring GPM Fakultas tahunan, AMI, rapat tinjauan manajemen fakultas, dengan frekuensi monev minimal ≥1x/tahun pada setiap sub-standar.</w:t>
            </w:r>
          </w:p>
        </w:tc>
      </w:tr>
      <w:tr>
        <w:tc>
          <w:tcPr>
            <w:tcW w:type="dxa" w:w="4320"/>
          </w:tcPr>
          <w:p>
            <w:r>
              <w:t>R5</w:t>
            </w:r>
          </w:p>
        </w:tc>
        <w:tc>
          <w:tcPr>
            <w:tcW w:type="dxa" w:w="4320"/>
          </w:tcPr>
          <w:p>
            <w:r>
              <w:t>Bab Strategi Pencapaian pada setiap Buku Standar PkM (Pelaksana, Sarpras, Pendanaan) mencakup evaluasi dan peningkatan standar melalui siklus continuous quality improvement dan pelaksanaan AMI.</w:t>
            </w:r>
          </w:p>
        </w:tc>
      </w:tr>
    </w:tbl>
    <w:p>
      <w:r>
        <w:t>Analisis Kesesuaian: SELARAS PENUH — mekanisme monitoring, evaluasi, AMI, dan siklus PPEPP/PDCA merupakan praktik universal SPMI perguruan tinggi Indonesia dan tercermin identik pada seluruh 5 dokumen rujukan maupun dokumen FTII. Tidak ada gap struktural; hanya perlu memastikan frekuensi monev PkM FTII eksplisit minimal 1x/tahun per sub-bagian mengikuti pola R4.</w:t>
      </w:r>
    </w:p>
    <w:p>
      <w:pPr>
        <w:pStyle w:val="Heading1"/>
      </w:pPr>
      <w:r>
        <w:t>C. Ringkasan Kesesuaian Target Kuantitatif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Indikator</w:t>
            </w:r>
          </w:p>
        </w:tc>
        <w:tc>
          <w:tcPr>
            <w:tcW w:type="dxa" w:w="1440"/>
          </w:tcPr>
          <w:p>
            <w:r>
              <w:t>Target FTII</w:t>
            </w:r>
          </w:p>
        </w:tc>
        <w:tc>
          <w:tcPr>
            <w:tcW w:type="dxa" w:w="1440"/>
          </w:tcPr>
          <w:p>
            <w:r>
              <w:t>Ambang R1/R2 (skor 4)</w:t>
            </w:r>
          </w:p>
        </w:tc>
        <w:tc>
          <w:tcPr>
            <w:tcW w:type="dxa" w:w="1440"/>
          </w:tcPr>
          <w:p>
            <w:r>
              <w:t>Ambang R4</w:t>
            </w:r>
          </w:p>
        </w:tc>
        <w:tc>
          <w:tcPr>
            <w:tcW w:type="dxa" w:w="1440"/>
          </w:tcPr>
          <w:p>
            <w:r>
              <w:t>Ambang R5</w:t>
            </w:r>
          </w:p>
        </w:tc>
        <w:tc>
          <w:tcPr>
            <w:tcW w:type="dxa" w:w="1440"/>
          </w:tcPr>
          <w:p>
            <w:r>
              <w:t>Status</w:t>
            </w:r>
          </w:p>
        </w:tc>
      </w:tr>
      <w:tr>
        <w:tc>
          <w:tcPr>
            <w:tcW w:type="dxa" w:w="1440"/>
          </w:tcPr>
          <w:p>
            <w:r>
              <w:t>Keterlibatan Mahasiswa dalam Judul PkM Dosen</w:t>
            </w:r>
          </w:p>
        </w:tc>
        <w:tc>
          <w:tcPr>
            <w:tcW w:type="dxa" w:w="1440"/>
          </w:tcPr>
          <w:p>
            <w:r>
              <w:t>tidak ada indikator (hanya % populasi mahasiswa 5%-&gt;8%)</w:t>
            </w:r>
          </w:p>
        </w:tc>
        <w:tc>
          <w:tcPr>
            <w:tcW w:type="dxa" w:w="1440"/>
          </w:tcPr>
          <w:p>
            <w:r>
              <w:t>R1 &gt;=25%; R2 &gt;=50%</w:t>
            </w:r>
          </w:p>
        </w:tc>
        <w:tc>
          <w:tcPr>
            <w:tcW w:type="dxa" w:w="1440"/>
          </w:tcPr>
          <w:p>
            <w:r>
              <w:t>tidak ditemukan</w:t>
            </w:r>
          </w:p>
        </w:tc>
        <w:tc>
          <w:tcPr>
            <w:tcW w:type="dxa" w:w="1440"/>
          </w:tcPr>
          <w:p>
            <w:r>
              <w:t>&gt;=25%</w:t>
            </w:r>
          </w:p>
        </w:tc>
        <w:tc>
          <w:tcPr>
            <w:tcW w:type="dxa" w:w="1440"/>
          </w:tcPr>
          <w:p>
            <w:r>
              <w:t>GAP - indikator judul PkM belum ada di FTII</w:t>
            </w:r>
          </w:p>
        </w:tc>
      </w:tr>
      <w:tr>
        <w:tc>
          <w:tcPr>
            <w:tcW w:type="dxa" w:w="1440"/>
          </w:tcPr>
          <w:p>
            <w:r>
              <w:t>Jumlah PkM per Dosen per Tahun</w:t>
            </w:r>
          </w:p>
        </w:tc>
        <w:tc>
          <w:tcPr>
            <w:tcW w:type="dxa" w:w="1440"/>
          </w:tcPr>
          <w:p>
            <w:r>
              <w:t>1 PkM (mutlak)</w:t>
            </w:r>
          </w:p>
        </w:tc>
        <w:tc>
          <w:tcPr>
            <w:tcW w:type="dxa" w:w="1440"/>
          </w:tcPr>
          <w:p>
            <w:r>
              <w:t>dinilai via rasio RI/RN/RW (R2): a=0,05; b=0,3; c=1</w:t>
            </w:r>
          </w:p>
        </w:tc>
        <w:tc>
          <w:tcPr>
            <w:tcW w:type="dxa" w:w="1440"/>
          </w:tcPr>
          <w:p>
            <w:r>
              <w:t>tidak ditemukan</w:t>
            </w:r>
          </w:p>
        </w:tc>
        <w:tc>
          <w:tcPr>
            <w:tcW w:type="dxa" w:w="1440"/>
          </w:tcPr>
          <w:p>
            <w:r>
              <w:t>PT/Mandiri minimal 1; LN minimal 0,02; DN minimal 0,2</w:t>
            </w:r>
          </w:p>
        </w:tc>
        <w:tc>
          <w:tcPr>
            <w:tcW w:type="dxa" w:w="1440"/>
          </w:tcPr>
          <w:p>
            <w:r>
              <w:t>Selaras substansi PT/Mandiri, gap rincian LN/DN</w:t>
            </w:r>
          </w:p>
        </w:tc>
      </w:tr>
      <w:tr>
        <w:tc>
          <w:tcPr>
            <w:tcW w:type="dxa" w:w="1440"/>
          </w:tcPr>
          <w:p>
            <w:r>
              <w:t>Pengembangan Kompetensi Pelaksana PkM (kegiatan/tahun)</w:t>
            </w:r>
          </w:p>
        </w:tc>
        <w:tc>
          <w:tcPr>
            <w:tcW w:type="dxa" w:w="1440"/>
          </w:tcPr>
          <w:p>
            <w:r>
              <w:t>2 kegiatan/tahun (flat)</w:t>
            </w:r>
          </w:p>
        </w:tc>
        <w:tc>
          <w:tcPr>
            <w:tcW w:type="dxa" w:w="1440"/>
          </w:tcPr>
          <w:p>
            <w:r>
              <w:t>tidak ditemukan</w:t>
            </w:r>
          </w:p>
        </w:tc>
        <w:tc>
          <w:tcPr>
            <w:tcW w:type="dxa" w:w="1440"/>
          </w:tcPr>
          <w:p>
            <w:r>
              <w:t>diukur % kepatuhan pelaksana, bukan jumlah kegiatan</w:t>
            </w:r>
          </w:p>
        </w:tc>
        <w:tc>
          <w:tcPr>
            <w:tcW w:type="dxa" w:w="1440"/>
          </w:tcPr>
          <w:p>
            <w:r>
              <w:t>minimal 2 kegiatan/tahun</w:t>
            </w:r>
          </w:p>
        </w:tc>
        <w:tc>
          <w:tcPr>
            <w:tcW w:type="dxa" w:w="1440"/>
          </w:tcPr>
          <w:p>
            <w:r>
              <w:t>Selaras persis dengan R5</w:t>
            </w:r>
          </w:p>
        </w:tc>
      </w:tr>
      <w:tr>
        <w:tc>
          <w:tcPr>
            <w:tcW w:type="dxa" w:w="1440"/>
          </w:tcPr>
          <w:p>
            <w:r>
              <w:t>Dana PkM per Dosen per Tahun</w:t>
            </w:r>
          </w:p>
        </w:tc>
        <w:tc>
          <w:tcPr>
            <w:tcW w:type="dxa" w:w="1440"/>
          </w:tcPr>
          <w:p>
            <w:r>
              <w:t>Rp5.000.000 (flat)</w:t>
            </w:r>
          </w:p>
        </w:tc>
        <w:tc>
          <w:tcPr>
            <w:tcW w:type="dxa" w:w="1440"/>
          </w:tcPr>
          <w:p>
            <w:r>
              <w:t>R2: &gt;=Rp5.000.000</w:t>
            </w:r>
          </w:p>
        </w:tc>
        <w:tc>
          <w:tcPr>
            <w:tcW w:type="dxa" w:w="1440"/>
          </w:tcPr>
          <w:p>
            <w:r>
              <w:t>diukur % kecukupan (&gt;=90%-&gt;100%)</w:t>
            </w:r>
          </w:p>
        </w:tc>
        <w:tc>
          <w:tcPr>
            <w:tcW w:type="dxa" w:w="1440"/>
          </w:tcPr>
          <w:p>
            <w:r>
              <w:t>ada data internal/eksternal, tanpa ambang nominal</w:t>
            </w:r>
          </w:p>
        </w:tc>
        <w:tc>
          <w:tcPr>
            <w:tcW w:type="dxa" w:w="1440"/>
          </w:tcPr>
          <w:p>
            <w:r>
              <w:t>Selaras persis dengan ambang skor sempurna R2</w:t>
            </w:r>
          </w:p>
        </w:tc>
      </w:tr>
      <w:tr>
        <w:tc>
          <w:tcPr>
            <w:tcW w:type="dxa" w:w="1440"/>
          </w:tcPr>
          <w:p>
            <w:r>
              <w:t>Persentase Dana PkM thd Total Dana PT</w:t>
            </w:r>
          </w:p>
        </w:tc>
        <w:tc>
          <w:tcPr>
            <w:tcW w:type="dxa" w:w="1440"/>
          </w:tcPr>
          <w:p>
            <w:r>
              <w:t>1% -&gt; 1,3%</w:t>
            </w:r>
          </w:p>
        </w:tc>
        <w:tc>
          <w:tcPr>
            <w:tcW w:type="dxa" w:w="1440"/>
          </w:tcPr>
          <w:p>
            <w:r>
              <w:t>tidak ditemukan</w:t>
            </w:r>
          </w:p>
        </w:tc>
        <w:tc>
          <w:tcPr>
            <w:tcW w:type="dxa" w:w="1440"/>
          </w:tcPr>
          <w:p>
            <w:r>
              <w:t>tidak ditemukan</w:t>
            </w:r>
          </w:p>
        </w:tc>
        <w:tc>
          <w:tcPr>
            <w:tcW w:type="dxa" w:w="1440"/>
          </w:tcPr>
          <w:p>
            <w:r>
              <w:t>minimal 5%</w:t>
            </w:r>
          </w:p>
        </w:tc>
        <w:tc>
          <w:tcPr>
            <w:tcW w:type="dxa" w:w="1440"/>
          </w:tcPr>
          <w:p>
            <w:r>
              <w:t>GAP SIGNIFIKAN - jauh di bawah ambang R5</w:t>
            </w:r>
          </w:p>
        </w:tc>
      </w:tr>
      <w:tr>
        <w:tc>
          <w:tcPr>
            <w:tcW w:type="dxa" w:w="1440"/>
          </w:tcPr>
          <w:p>
            <w:r>
              <w:t>Sarpras PkM - Kelengkapan</w:t>
            </w:r>
          </w:p>
        </w:tc>
        <w:tc>
          <w:tcPr>
            <w:tcW w:type="dxa" w:w="1440"/>
          </w:tcPr>
          <w:p>
            <w:r>
              <w:t>'Tersedia' (umum), bandwidth 500 Mbps flat</w:t>
            </w:r>
          </w:p>
        </w:tc>
        <w:tc>
          <w:tcPr>
            <w:tcW w:type="dxa" w:w="1440"/>
          </w:tcPr>
          <w:p>
            <w:r>
              <w:t>tidak dirinci</w:t>
            </w:r>
          </w:p>
        </w:tc>
        <w:tc>
          <w:tcPr>
            <w:tcW w:type="dxa" w:w="1440"/>
          </w:tcPr>
          <w:p>
            <w:r>
              <w:t>% pemanfaatan &gt;=90%-&gt;100%; % mutu &gt;=85%-&gt;100%; % akses &gt;=80%-&gt;100%</w:t>
            </w:r>
          </w:p>
        </w:tc>
        <w:tc>
          <w:tcPr>
            <w:tcW w:type="dxa" w:w="1440"/>
          </w:tcPr>
          <w:p>
            <w:r>
              <w:t>checklist rinci (5 jenis ruang LPPM, sarana, 9 jenis prasarana, 4 aspek K3)</w:t>
            </w:r>
          </w:p>
        </w:tc>
        <w:tc>
          <w:tcPr>
            <w:tcW w:type="dxa" w:w="1440"/>
          </w:tcPr>
          <w:p>
            <w:r>
              <w:t>GAP kedalaman rincian</w:t>
            </w:r>
          </w:p>
        </w:tc>
      </w:tr>
      <w:tr>
        <w:tc>
          <w:tcPr>
            <w:tcW w:type="dxa" w:w="1440"/>
          </w:tcPr>
          <w:p>
            <w:r>
              <w:t>Sistem Informasi PkM</w:t>
            </w:r>
          </w:p>
        </w:tc>
        <w:tc>
          <w:tcPr>
            <w:tcW w:type="dxa" w:w="1440"/>
          </w:tcPr>
          <w:p>
            <w:r>
              <w:t>'Tersedia' (status biner)</w:t>
            </w:r>
          </w:p>
        </w:tc>
        <w:tc>
          <w:tcPr>
            <w:tcW w:type="dxa" w:w="1440"/>
          </w:tcPr>
          <w:p>
            <w:r>
              <w:t>tidak ditemukan</w:t>
            </w:r>
          </w:p>
        </w:tc>
        <w:tc>
          <w:tcPr>
            <w:tcW w:type="dxa" w:w="1440"/>
          </w:tcPr>
          <w:p>
            <w:r>
              <w:t>% unit pakai &gt;=85%-&gt;100%; % terintegrasi &gt;=85%-&gt;100%</w:t>
            </w:r>
          </w:p>
        </w:tc>
        <w:tc>
          <w:tcPr>
            <w:tcW w:type="dxa" w:w="1440"/>
          </w:tcPr>
          <w:p>
            <w:r>
              <w:t>tercakup sbg sarana TIK, tanpa ambang cakupan</w:t>
            </w:r>
          </w:p>
        </w:tc>
        <w:tc>
          <w:tcPr>
            <w:tcW w:type="dxa" w:w="1440"/>
          </w:tcPr>
          <w:p>
            <w:r>
              <w:t>Selaras konsep, beda satuan ukur</w:t>
            </w:r>
          </w:p>
        </w:tc>
      </w:tr>
      <w:tr>
        <w:tc>
          <w:tcPr>
            <w:tcW w:type="dxa" w:w="1440"/>
          </w:tcPr>
          <w:p>
            <w:r>
              <w:t>Kepuasan Dosen/Mahasiswa/Mitra thd Layanan PkM</w:t>
            </w:r>
          </w:p>
        </w:tc>
        <w:tc>
          <w:tcPr>
            <w:tcW w:type="dxa" w:w="1440"/>
          </w:tcPr>
          <w:p>
            <w:r>
              <w:t>80% -&gt; 95%</w:t>
            </w:r>
          </w:p>
        </w:tc>
        <w:tc>
          <w:tcPr>
            <w:tcW w:type="dxa" w:w="1440"/>
          </w:tcPr>
          <w:p>
            <w:r>
              <w:t>tidak ditemukan</w:t>
            </w:r>
          </w:p>
        </w:tc>
        <w:tc>
          <w:tcPr>
            <w:tcW w:type="dxa" w:w="1440"/>
          </w:tcPr>
          <w:p>
            <w:r>
              <w:t>% layanan terpenuhi (bukan survei kepuasan)</w:t>
            </w:r>
          </w:p>
        </w:tc>
        <w:tc>
          <w:tcPr>
            <w:tcW w:type="dxa" w:w="1440"/>
          </w:tcPr>
          <w:p>
            <w:r>
              <w:t>tidak ditemukan</w:t>
            </w:r>
          </w:p>
        </w:tc>
        <w:tc>
          <w:tcPr>
            <w:tcW w:type="dxa" w:w="1440"/>
          </w:tcPr>
          <w:p>
            <w:r>
              <w:t>FTII lebih terukur - tidak ada pembanding langsung</w:t>
            </w:r>
          </w:p>
        </w:tc>
      </w:tr>
      <w:tr>
        <w:tc>
          <w:tcPr>
            <w:tcW w:type="dxa" w:w="1440"/>
          </w:tcPr>
          <w:p>
            <w:r>
              <w:t>Integrasi Mata Kuliah dengan Hasil PkM</w:t>
            </w:r>
          </w:p>
        </w:tc>
        <w:tc>
          <w:tcPr>
            <w:tcW w:type="dxa" w:w="1440"/>
          </w:tcPr>
          <w:p>
            <w:r>
              <w:t>10% -&gt; 15%</w:t>
            </w:r>
          </w:p>
        </w:tc>
        <w:tc>
          <w:tcPr>
            <w:tcW w:type="dxa" w:w="1440"/>
          </w:tcPr>
          <w:p>
            <w:r>
              <w:t>tidak ditemukan</w:t>
            </w:r>
          </w:p>
        </w:tc>
        <w:tc>
          <w:tcPr>
            <w:tcW w:type="dxa" w:w="1440"/>
          </w:tcPr>
          <w:p>
            <w:r>
              <w:t>tidak ditemukan (domain Luaran PkM)</w:t>
            </w:r>
          </w:p>
        </w:tc>
        <w:tc>
          <w:tcPr>
            <w:tcW w:type="dxa" w:w="1440"/>
          </w:tcPr>
          <w:p>
            <w:r>
              <w:t>tidak ditemukan (domain Luaran PkM)</w:t>
            </w:r>
          </w:p>
        </w:tc>
        <w:tc>
          <w:tcPr>
            <w:tcW w:type="dxa" w:w="1440"/>
          </w:tcPr>
          <w:p>
            <w:r>
              <w:t>Selaras kualitatif, tanpa pembanding kuantitatif</w:t>
            </w:r>
          </w:p>
        </w:tc>
      </w:tr>
    </w:tbl>
    <w:p>
      <w:pPr>
        <w:pStyle w:val="Heading1"/>
      </w:pPr>
      <w:r>
        <w:t>D. Kesimpulan dan Rekomendasi</w:t>
      </w:r>
    </w:p>
    <w:p>
      <w:r>
        <w:t>Kesimpulan Umum: Dokumen Standar Masukan PkM FTII UNISBANK SUDAH SELARAS dengan kelima dokumen rujukan pada aspek pendekatan gabungan (roadmap-SDM-sarpras-sistem informasi-pembiayaan dalam satu standar, sejalan dengan struktur Kriteria 4 LAM INFOKOM dan Kriteria 3.3 LAM Teknik yang juga menyatukan unsur-unsur ini), pada mekanisme monitoring-evaluasi-AMI-PPEPP, pada pengembangan kompetensi pelaksana (2 kegiatan/tahun, identik R5), serta pada dana PkM per dosen (Rp5 juta, identik ambang skor sempurna R2). Ditemukan beberapa gap signifikan yang memerlukan penyempurnaan, terutama pada keterukuran keterlibatan mahasiswa dalam judul PkM, kedalaman rincian sarana-prasarana, dan proporsi dana PkM terhadap total dana perguruan tinggi.</w:t>
      </w:r>
    </w:p>
    <w:p>
      <w:r>
        <w:t>Tambahkan indikator baru 'persentase judul PkM DTPS yang melibatkan mahasiswa program studi' dengan target bertahap menuju minimal 50% (mengikuti ambang skor sempurna R2, dua kali ambang R1/R5) — ini adalah gap prioritas tertinggi karena metrik yang ada saat ini (persentase populasi mahasiswa) tidak sebanding dengan ambang rujukan (Tema 2).</w:t>
      </w:r>
    </w:p>
    <w:p>
      <w:r>
        <w:t>Naikkan target 'Persentase Dana PkM terhadap Total Dana Perguruan Tinggi' FTII secara bertahap dari 1%-&gt;1,3% menuju minimal 5%, mengikuti ambang minimal R5 — ini adalah gap kuantitatif paling signifikan yang ditemukan pada seluruh pemetaan Standar Masukan PkM (Tema 7).</w:t>
      </w:r>
    </w:p>
    <w:p>
      <w:r>
        <w:t>Rinci indikator sarana dan prasarana PkM FTII mengikuti checklist konkret R5 (5 jenis ruang unit pengelola PkM/LPPM, daftar sarana referensi ilmiah, 9 jenis prasarana pendukung spesifik bidang, 4 aspek keselamatan-kesehatan-kenyamanan-keamanan kerja terpisah), dilengkapi ambang persentase pemanfaatan/mutu/aksesibilitas mengikuti R4 (Tema 5).</w:t>
      </w:r>
    </w:p>
    <w:p>
      <w:r>
        <w:t>Lengkapi indikator produktivitas PkM dosen dengan rincian proporsi sumber pendanaan (luar negeri/dalam negeri/PT-mandiri) per dosen per tahun, mengikuti pola rasio R2 (a=0,05; b=0,3; c=1) dan R5 (0,02; 0,2; 1) (Tema 4).</w:t>
      </w:r>
    </w:p>
    <w:p>
      <w:r>
        <w:t>Ubah indikator Sistem Informasi PkM dari status biner 'Tersedia/Tidak' menjadi persentase cakupan program studi/unit yang aktif menggunakan sistem tersebut, mengikuti pola pengukuran R4 (Tema 6).</w:t>
      </w:r>
    </w:p>
    <w:p>
      <w:r>
        <w:t>Rinci indikator roadmap/peta jalan PkM FTII menjadi 4 unsur konkret dan terukur (peta jalan memayungi tema dosen-mahasiswa, kesesuaian pelaksanaan, evaluasi berkala, pemanfaatan hasil evaluasi), dilengkapi ambang persentase kegiatan yang selaras mengikuti R4 (Tema 1).</w:t>
      </w:r>
    </w:p>
    <w:p>
      <w:r>
        <w:t>Pertimbangkan memindahkan indikator publikasi luaran PkM dan HKI dari Standar Masukan PkM ke Standar Luaran PkM agar tidak terjadi duplikasi/tumpang tindih antar-standar (Tema 9).</w:t>
      </w:r>
    </w:p>
    <w:p>
      <w:r>
        <w:t>Pertahankan dan dokumentasikan secara eksplisit sebagai praktik baik: (a) dana PkM per dosen Rp5 juta/tahun yang sudah tepat sama dengan ambang skor sempurna R2, (b) jumlah kegiatan pengembangan kompetensi pelaksana PkM (2 kegiatan/tahun) yang identik ambang minimal R5, dan (c) target survei kepuasan dosen/mahasiswa/mitra (80%-&gt;95%) yang tidak dimiliki rujukan lain (Tema 3, 7, 10).</w:t>
      </w:r>
    </w:p>
    <w:p>
      <w:r>
        <w:t>Pertimbangkan menampilkan tren peningkatan bertahap (bukan angka flat) pada indikator yang saat ini datar sepanjang periode, seperti dana PkM per dosen (Rp5 juta tiap tahun) dan bandwidth internet (500 Mbps tiap tahun), agar selaras dengan prinsip peningkatan mutu berkelanjutan pada siklus PPEPP (Tema 4, 5).</w:t>
      </w:r>
    </w:p>
    <w:p>
      <w: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