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ke-2 dari Standar Masukan PkM FTII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FTII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FTII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FTII versi Unggul; indikator publikasi dan HKI hasil PkM diatur pada Standar Luaran PkM FTII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t>Rektor, dalam menetapkan kebijakan pengelolaan sumber daya manusia pelaksana PkM.</w:t>
      </w:r>
    </w:p>
    <w:p>
      <w:pPr>
        <w:pStyle w:val="ListBullet"/>
        <w:spacing w:after="80"/>
      </w:pPr>
      <w:r>
        <w:t>Direktorat Penelitian, Pengabdian kepada Masyarakat dan Publikasi (DPPMP), dalam penyelenggaraan kegiatan pengembangan kompetensi pelaksana PkM dan verifikasi kualifikasi.</w:t>
      </w:r>
    </w:p>
    <w:p>
      <w:pPr>
        <w:pStyle w:val="ListBullet"/>
        <w:spacing w:after="80"/>
      </w:pPr>
      <w:r>
        <w:t>Dekan FTII, dalam pemantauan produktivitas PkM dosen tingkat fakultas.</w:t>
      </w:r>
    </w:p>
    <w:p>
      <w:pPr>
        <w:pStyle w:val="ListBullet"/>
        <w:spacing w:after="80"/>
      </w:pPr>
      <w:r>
        <w:t>Ketua Program Studi, dalam verifikasi kesesuaian kualifikasi ketua/anggota/tenaga bantu PkM dengan skema.</w:t>
      </w:r>
    </w:p>
    <w:p>
      <w:pPr>
        <w:pStyle w:val="ListBullet"/>
        <w:spacing w:after="80"/>
      </w:pPr>
      <w:r>
        <w:t>Direktorat Sumber Daya Manusia, dalam pengelolaan tenaga kependidikan dan laboran pendukung PkM.</w:t>
      </w:r>
    </w:p>
    <w:p>
      <w:pPr>
        <w:pStyle w:val="ListBullet"/>
        <w:spacing w:after="80"/>
      </w:pPr>
      <w: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t>FTII wajib menetapkan persyaratan dan kualifikasi ketua pelaksana, anggota, dan tenaga bantu PkM sesuai skema PkM yang berlaku, mengacu Buku Panduan PkM.</w:t>
      </w:r>
    </w:p>
    <w:p>
      <w:pPr>
        <w:pStyle w:val="ListNumber"/>
        <w:spacing w:after="120"/>
      </w:pPr>
      <w:r>
        <w:t>FTII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t>FTII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t>FTII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t>Rektor menetapkan kebijakan Standar Pelaksana PkM sebagai bagian dari SPMI Universitas, dengan ambang indikator disetarakan pada skor tertinggi instrumen LAM Teknik dan kriteria Unggul LAM INFOKOM.</w:t>
      </w:r>
    </w:p>
    <w:p>
      <w:pPr>
        <w:pStyle w:val="ListNumber"/>
        <w:spacing w:after="120"/>
      </w:pPr>
      <w: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t>Dekan dan Ketua Program Studi menjamin ketersediaan tenaga kependidikan dan laboran PkM sesuai kebutuhan bidang keilmuan program studi.</w:t>
      </w:r>
    </w:p>
    <w:p>
      <w:pPr>
        <w:pStyle w:val="ListNumber"/>
        <w:spacing w:after="120"/>
      </w:pPr>
      <w: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4</w:t>
            </w:r>
          </w:p>
        </w:tc>
        <w:tc>
          <w:tcPr>
            <w:tcW w:type="dxa" w:w="1234"/>
          </w:tcPr>
          <w:p>
            <w:r/>
            <w:r>
              <w:rPr>
                <w:b w:val="0"/>
                <w:sz w:val="19"/>
              </w:rPr>
              <w:t>Kesesuaian kualifikasi ketua/anggota/tenaga bantu PkM dengan skema [IKU]</w:t>
            </w:r>
          </w:p>
        </w:tc>
        <w:tc>
          <w:tcPr>
            <w:tcW w:type="dxa" w:w="1234"/>
          </w:tcPr>
          <w:p>
            <w:r/>
            <w:r>
              <w:rPr>
                <w:b w:val="0"/>
                <w:sz w:val="19"/>
              </w:rPr>
              <w:t>Status</w:t>
            </w:r>
          </w:p>
        </w:tc>
        <w:tc>
          <w:tcPr>
            <w:tcW w:type="dxa" w:w="1234"/>
          </w:tcPr>
          <w:p>
            <w:r/>
            <w:r>
              <w:rPr>
                <w:b w:val="0"/>
                <w:sz w:val="19"/>
              </w:rPr>
              <w:t>- (praktik baik referensi)</w:t>
            </w:r>
          </w:p>
        </w:tc>
        <w:tc>
          <w:tcPr>
            <w:tcW w:type="dxa" w:w="1234"/>
          </w:tcPr>
          <w:p>
            <w:r/>
            <w:r>
              <w:rPr>
                <w:b w:val="0"/>
                <w:sz w:val="19"/>
              </w:rPr>
              <w:t>Sesuai</w:t>
            </w:r>
          </w:p>
        </w:tc>
        <w:tc>
          <w:tcPr>
            <w:tcW w:type="dxa" w:w="1234"/>
          </w:tcPr>
          <w:p>
            <w:r/>
            <w:r>
              <w:rPr>
                <w:b w:val="0"/>
                <w:sz w:val="19"/>
              </w:rPr>
              <w:t>Sesuai</w:t>
            </w:r>
          </w:p>
        </w:tc>
        <w:tc>
          <w:tcPr>
            <w:tcW w:type="dxa" w:w="1234"/>
          </w:tcPr>
          <w:p>
            <w:r/>
            <w:r>
              <w:rPr>
                <w:b w:val="0"/>
                <w:sz w:val="19"/>
              </w:rPr>
              <w:t>Sesuai</w:t>
            </w:r>
          </w:p>
        </w:tc>
      </w:tr>
      <w:tr>
        <w:tc>
          <w:tcPr>
            <w:tcW w:type="dxa" w:w="1234"/>
          </w:tcPr>
          <w:p>
            <w:r/>
            <w:r>
              <w:rPr>
                <w:b w:val="0"/>
                <w:sz w:val="19"/>
              </w:rPr>
              <w:t>5</w:t>
            </w:r>
          </w:p>
        </w:tc>
        <w:tc>
          <w:tcPr>
            <w:tcW w:type="dxa" w:w="1234"/>
          </w:tcPr>
          <w:p>
            <w:r/>
            <w:r>
              <w:rPr>
                <w:b w:val="0"/>
                <w:sz w:val="19"/>
              </w:rPr>
              <w:t>Jumlah kegiatan pengembangan kompetensi pelaksana PkM per tahun [IKU]</w:t>
            </w:r>
          </w:p>
        </w:tc>
        <w:tc>
          <w:tcPr>
            <w:tcW w:type="dxa" w:w="1234"/>
          </w:tcPr>
          <w:p>
            <w:r/>
            <w:r>
              <w:rPr>
                <w:b w:val="0"/>
                <w:sz w:val="19"/>
              </w:rPr>
              <w:t>Kegiatan</w:t>
            </w:r>
          </w:p>
        </w:tc>
        <w:tc>
          <w:tcPr>
            <w:tcW w:type="dxa" w:w="1234"/>
          </w:tcPr>
          <w:p>
            <w:r/>
            <w:r>
              <w:rPr>
                <w:b w:val="0"/>
                <w:sz w:val="19"/>
              </w:rPr>
              <w:t>≥2 (praktik baik referensi)</w:t>
            </w:r>
          </w:p>
        </w:tc>
        <w:tc>
          <w:tcPr>
            <w:tcW w:type="dxa" w:w="1234"/>
          </w:tcPr>
          <w:p>
            <w:r/>
            <w:r>
              <w:rPr>
                <w:b w:val="0"/>
                <w:sz w:val="19"/>
              </w:rPr>
              <w:t>3</w:t>
            </w:r>
          </w:p>
        </w:tc>
        <w:tc>
          <w:tcPr>
            <w:tcW w:type="dxa" w:w="1234"/>
          </w:tcPr>
          <w:p>
            <w:r/>
            <w:r>
              <w:rPr>
                <w:b w:val="0"/>
                <w:sz w:val="19"/>
              </w:rPr>
              <w:t>3</w:t>
            </w:r>
          </w:p>
        </w:tc>
        <w:tc>
          <w:tcPr>
            <w:tcW w:type="dxa" w:w="1234"/>
          </w:tcPr>
          <w:p>
            <w:r/>
            <w:r>
              <w:rPr>
                <w:b w:val="0"/>
                <w:sz w:val="19"/>
              </w:rPr>
              <w:t>3</w:t>
            </w:r>
          </w:p>
        </w:tc>
      </w:tr>
      <w:tr>
        <w:tc>
          <w:tcPr>
            <w:tcW w:type="dxa" w:w="1234"/>
          </w:tcPr>
          <w:p>
            <w:r/>
            <w:r>
              <w:rPr>
                <w:b w:val="0"/>
                <w:sz w:val="19"/>
              </w:rPr>
              <w:t>6</w:t>
            </w:r>
          </w:p>
        </w:tc>
        <w:tc>
          <w:tcPr>
            <w:tcW w:type="dxa" w:w="1234"/>
          </w:tcPr>
          <w:p>
            <w:r/>
            <w:r>
              <w:rPr>
                <w:b w:val="0"/>
                <w:sz w:val="19"/>
              </w:rPr>
              <w:t>Persentase dosen mengikuti minimal 1 kegiatan pengembangan kompetensi pelaksana [IKU]</w:t>
            </w:r>
          </w:p>
        </w:tc>
        <w:tc>
          <w:tcPr>
            <w:tcW w:type="dxa" w:w="1234"/>
          </w:tcPr>
          <w:p>
            <w:r/>
            <w:r>
              <w:rPr>
                <w:b w:val="0"/>
                <w:sz w:val="19"/>
              </w:rPr>
              <w:t>%</w:t>
            </w:r>
          </w:p>
        </w:tc>
        <w:tc>
          <w:tcPr>
            <w:tcW w:type="dxa" w:w="1234"/>
          </w:tcPr>
          <w:p>
            <w:r/>
            <w:r>
              <w:rPr>
                <w:b w:val="0"/>
                <w:sz w:val="19"/>
              </w:rPr>
              <w:t>- (praktik baik referensi)</w:t>
            </w:r>
          </w:p>
        </w:tc>
        <w:tc>
          <w:tcPr>
            <w:tcW w:type="dxa" w:w="1234"/>
          </w:tcPr>
          <w:p>
            <w:r/>
            <w:r>
              <w:rPr>
                <w:b w:val="0"/>
                <w:sz w:val="19"/>
              </w:rPr>
              <w:t>90</w:t>
            </w:r>
          </w:p>
        </w:tc>
        <w:tc>
          <w:tcPr>
            <w:tcW w:type="dxa" w:w="1234"/>
          </w:tcPr>
          <w:p>
            <w:r/>
            <w:r>
              <w:rPr>
                <w:b w:val="0"/>
                <w:sz w:val="19"/>
              </w:rPr>
              <w:t>93</w:t>
            </w:r>
          </w:p>
        </w:tc>
        <w:tc>
          <w:tcPr>
            <w:tcW w:type="dxa" w:w="1234"/>
          </w:tcPr>
          <w:p>
            <w:r/>
            <w:r>
              <w:rPr>
                <w:b w:val="0"/>
                <w:sz w:val="19"/>
              </w:rPr>
              <w:t>95</w:t>
            </w:r>
          </w:p>
        </w:tc>
      </w:tr>
      <w:tr>
        <w:tc>
          <w:tcPr>
            <w:tcW w:type="dxa" w:w="1234"/>
          </w:tcPr>
          <w:p>
            <w:r/>
            <w:r>
              <w:rPr>
                <w:b w:val="0"/>
                <w:sz w:val="19"/>
              </w:rPr>
              <w:t>7</w:t>
            </w:r>
          </w:p>
        </w:tc>
        <w:tc>
          <w:tcPr>
            <w:tcW w:type="dxa" w:w="1234"/>
          </w:tcPr>
          <w:p>
            <w:r/>
            <w:r>
              <w:rPr>
                <w:b w:val="0"/>
                <w:sz w:val="19"/>
              </w:rPr>
              <w:t>Rata-rata jumlah PkM per dosen per tahun [IKU]</w:t>
            </w:r>
          </w:p>
        </w:tc>
        <w:tc>
          <w:tcPr>
            <w:tcW w:type="dxa" w:w="1234"/>
          </w:tcPr>
          <w:p>
            <w:r/>
            <w:r>
              <w:rPr>
                <w:b w:val="0"/>
                <w:sz w:val="19"/>
              </w:rPr>
              <w:t>Judul</w:t>
            </w:r>
          </w:p>
        </w:tc>
        <w:tc>
          <w:tcPr>
            <w:tcW w:type="dxa" w:w="1234"/>
          </w:tcPr>
          <w:p>
            <w:r/>
            <w:r>
              <w:rPr>
                <w:b w:val="0"/>
                <w:sz w:val="19"/>
              </w:rPr>
              <w:t>≥1 (R2/R5)</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8</w:t>
            </w:r>
          </w:p>
        </w:tc>
        <w:tc>
          <w:tcPr>
            <w:tcW w:type="dxa" w:w="1234"/>
          </w:tcPr>
          <w:p>
            <w:r/>
            <w:r>
              <w:rPr>
                <w:b w:val="0"/>
                <w:sz w:val="19"/>
              </w:rPr>
              <w:t>Pelaporan proporsi sumber pendanaan PkM (luar negeri/dalam negeri/PT-mandiri) per dosen [IKT]</w:t>
            </w:r>
          </w:p>
        </w:tc>
        <w:tc>
          <w:tcPr>
            <w:tcW w:type="dxa" w:w="1234"/>
          </w:tcPr>
          <w:p>
            <w:r/>
            <w:r>
              <w:rPr>
                <w:b w:val="0"/>
                <w:sz w:val="19"/>
              </w:rPr>
              <w:t>Status</w:t>
            </w:r>
          </w:p>
        </w:tc>
        <w:tc>
          <w:tcPr>
            <w:tcW w:type="dxa" w:w="1234"/>
          </w:tcPr>
          <w:p>
            <w:r/>
            <w:r>
              <w:rPr>
                <w:b w:val="0"/>
                <w:sz w:val="19"/>
              </w:rPr>
              <w:t>a=0,05;b=0,3;c=1 (R2); 0,02;0,2;1 (R5)</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9</w:t>
            </w:r>
          </w:p>
        </w:tc>
        <w:tc>
          <w:tcPr>
            <w:tcW w:type="dxa" w:w="1234"/>
          </w:tcPr>
          <w:p>
            <w:r/>
            <w:r>
              <w:rPr>
                <w:b w:val="0"/>
                <w:sz w:val="19"/>
              </w:rPr>
              <w:t>Ketersediaan tenaga kependidikan dan laboran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t>Wakil Rektor Bidang Pengembangan Institusi dan Sumber Daya, dalam perencanaan investasi sarana-prasarana PkM.</w:t>
      </w:r>
    </w:p>
    <w:p>
      <w:pPr>
        <w:pStyle w:val="ListBullet"/>
        <w:spacing w:after="80"/>
      </w:pPr>
      <w:r>
        <w:t>Divisi Pengelolaan Prasarana dan Aset (DPPA), dalam pengadaan, pemeliharaan, dan evaluasi kelayakan sarana-prasarana PkM.</w:t>
      </w:r>
    </w:p>
    <w:p>
      <w:pPr>
        <w:pStyle w:val="ListBullet"/>
        <w:spacing w:after="80"/>
      </w:pPr>
      <w:r>
        <w:t>Divisi Teknologi Sistem Informasi (DTSI), dalam pengelolaan jaringan internet dan Sistem Informasi PkM (SIRISBANK).</w:t>
      </w:r>
    </w:p>
    <w:p>
      <w:pPr>
        <w:pStyle w:val="ListBullet"/>
        <w:spacing w:after="80"/>
      </w:pPr>
      <w:r>
        <w:t>Kepala Perpustakaan dan Literasi, dalam penyediaan sumber referensi ilmiah pendukung PkM.</w:t>
      </w:r>
    </w:p>
    <w:p>
      <w:pPr>
        <w:pStyle w:val="ListBullet"/>
        <w:spacing w:after="80"/>
      </w:pPr>
      <w: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t>FTII wajib menjamin ketersediaan sarana dan prasarana PkM yang mencakup sekurang-kurangnya: ruang unit pengelola PkM (DPPMP tingkat fakultas), sarana referensi ilmiah (buku, e-book, e-jurnal, basis data ilmiah), prasarana pendukung PkM sesuai bidang keilmuan, dan pemenuhan 4 (empat) aspek Keselamatan, Kesehatan, Kenyamanan, dan Keamanan Kerja (K3).</w:t>
      </w:r>
    </w:p>
    <w:p>
      <w:pPr>
        <w:pStyle w:val="ListNumber"/>
        <w:spacing w:after="120"/>
      </w:pPr>
      <w:r>
        <w:t>FTII wajib menjamin tingkat pemanfaatan, kemutakhiran, dan aksesibilitas sarana-prasarana PkM paling sedikit 85%, meningkat menuju 100%.</w:t>
      </w:r>
    </w:p>
    <w:p>
      <w:pPr>
        <w:pStyle w:val="ListNumber"/>
        <w:spacing w:after="120"/>
      </w:pPr>
      <w:r>
        <w:t>FTII wajib menjamin ketersediaan jaringan internet yang andal untuk mendukung pelaksanaan PkM secara efektif dan berkelanjutan.</w:t>
      </w:r>
    </w:p>
    <w:p>
      <w:pPr>
        <w:pStyle w:val="ListNumber"/>
        <w:spacing w:after="120"/>
      </w:pPr>
      <w:r>
        <w:t>FTII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t>Rektor menetapkan kebijakan Standar Sarana dan Prasarana PkM sebagai bagian dari SPMI Universitas, dengan ambang indikator disetarakan pada skor tertinggi instrumen LAM Teknik dan kriteria Unggul LAM INFOKOM.</w:t>
      </w:r>
    </w:p>
    <w:p>
      <w:pPr>
        <w:pStyle w:val="ListNumber"/>
        <w:spacing w:after="120"/>
      </w:pPr>
      <w: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t>Kepala Perpustakaan dan Literasi menyediakan serta memperbarui sumber referensi ilmiah (buku, e-book, jurnal ilmiah, prosiding, basis data ilmiah) yang mendukung pelaksanaan PkM.</w:t>
      </w:r>
    </w:p>
    <w:p>
      <w:pPr>
        <w:pStyle w:val="ListNumber"/>
        <w:spacing w:after="120"/>
      </w:pPr>
      <w: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10</w:t>
            </w:r>
          </w:p>
        </w:tc>
        <w:tc>
          <w:tcPr>
            <w:tcW w:type="dxa" w:w="1234"/>
          </w:tcPr>
          <w:p>
            <w:r/>
            <w:r>
              <w:rPr>
                <w:b w:val="0"/>
                <w:sz w:val="19"/>
              </w:rPr>
              <w:t>Pemenuhan checklist sarana-prasarana PkM (ruang unit pengelola, sarana referensi ilmiah, prasarana, 4 aspek K3) [IKU]</w:t>
            </w:r>
          </w:p>
        </w:tc>
        <w:tc>
          <w:tcPr>
            <w:tcW w:type="dxa" w:w="1234"/>
          </w:tcPr>
          <w:p>
            <w:r/>
            <w:r>
              <w:rPr>
                <w:b w:val="0"/>
                <w:sz w:val="19"/>
              </w:rPr>
              <w:t>Jumlah unsur</w:t>
            </w:r>
          </w:p>
        </w:tc>
        <w:tc>
          <w:tcPr>
            <w:tcW w:type="dxa" w:w="1234"/>
          </w:tcPr>
          <w:p>
            <w:r/>
            <w:r>
              <w:rPr>
                <w:b w:val="0"/>
                <w:sz w:val="19"/>
              </w:rPr>
              <w:t>4 unsur (praktik baik referensi)</w:t>
            </w:r>
          </w:p>
        </w:tc>
        <w:tc>
          <w:tcPr>
            <w:tcW w:type="dxa" w:w="1234"/>
          </w:tcPr>
          <w:p>
            <w:r/>
            <w:r>
              <w:rPr>
                <w:b w:val="0"/>
                <w:sz w:val="19"/>
              </w:rPr>
              <w:t>4</w:t>
            </w:r>
          </w:p>
        </w:tc>
        <w:tc>
          <w:tcPr>
            <w:tcW w:type="dxa" w:w="1234"/>
          </w:tcPr>
          <w:p>
            <w:r/>
            <w:r>
              <w:rPr>
                <w:b w:val="0"/>
                <w:sz w:val="19"/>
              </w:rPr>
              <w:t>4</w:t>
            </w:r>
          </w:p>
        </w:tc>
        <w:tc>
          <w:tcPr>
            <w:tcW w:type="dxa" w:w="1234"/>
          </w:tcPr>
          <w:p>
            <w:r/>
            <w:r>
              <w:rPr>
                <w:b w:val="0"/>
                <w:sz w:val="19"/>
              </w:rPr>
              <w:t>4</w:t>
            </w:r>
          </w:p>
        </w:tc>
      </w:tr>
      <w:tr>
        <w:tc>
          <w:tcPr>
            <w:tcW w:type="dxa" w:w="1234"/>
          </w:tcPr>
          <w:p>
            <w:r/>
            <w:r>
              <w:rPr>
                <w:b w:val="0"/>
                <w:sz w:val="19"/>
              </w:rPr>
              <w:t>11</w:t>
            </w:r>
          </w:p>
        </w:tc>
        <w:tc>
          <w:tcPr>
            <w:tcW w:type="dxa" w:w="1234"/>
          </w:tcPr>
          <w:p>
            <w:r/>
            <w:r>
              <w:rPr>
                <w:b w:val="0"/>
                <w:sz w:val="19"/>
              </w:rPr>
              <w:t>Persentase pemanfaatan/kemutakhiran dan aksesibilitas sarana-prasarana PkM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r>
        <w:tc>
          <w:tcPr>
            <w:tcW w:type="dxa" w:w="1234"/>
          </w:tcPr>
          <w:p>
            <w:r/>
            <w:r>
              <w:rPr>
                <w:b w:val="0"/>
                <w:sz w:val="19"/>
              </w:rPr>
              <w:t>12</w:t>
            </w:r>
          </w:p>
        </w:tc>
        <w:tc>
          <w:tcPr>
            <w:tcW w:type="dxa" w:w="1234"/>
          </w:tcPr>
          <w:p>
            <w:r/>
            <w:r>
              <w:rPr>
                <w:b w:val="0"/>
                <w:sz w:val="19"/>
              </w:rPr>
              <w:t>Ketersediaan jaringan internet PkM andal [IKT]</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13</w:t>
            </w:r>
          </w:p>
        </w:tc>
        <w:tc>
          <w:tcPr>
            <w:tcW w:type="dxa" w:w="1234"/>
          </w:tcPr>
          <w:p>
            <w:r/>
            <w:r>
              <w:rPr>
                <w:b w:val="0"/>
                <w:sz w:val="19"/>
              </w:rPr>
              <w:t>Persentase cakupan unit/prodi aktif menggunakan Sistem Informasi PkM [IKU]</w:t>
            </w:r>
          </w:p>
        </w:tc>
        <w:tc>
          <w:tcPr>
            <w:tcW w:type="dxa" w:w="1234"/>
          </w:tcPr>
          <w:p>
            <w:r/>
            <w:r>
              <w:rPr>
                <w:b w:val="0"/>
                <w:sz w:val="19"/>
              </w:rPr>
              <w:t>%</w:t>
            </w:r>
          </w:p>
        </w:tc>
        <w:tc>
          <w:tcPr>
            <w:tcW w:type="dxa" w:w="1234"/>
          </w:tcPr>
          <w:p>
            <w:r/>
            <w:r>
              <w:rPr>
                <w:b w:val="0"/>
                <w:sz w:val="19"/>
              </w:rPr>
              <w:t>≥85→100 (R4)</w:t>
            </w:r>
          </w:p>
        </w:tc>
        <w:tc>
          <w:tcPr>
            <w:tcW w:type="dxa" w:w="1234"/>
          </w:tcPr>
          <w:p>
            <w:r/>
            <w:r>
              <w:rPr>
                <w:b w:val="0"/>
                <w:sz w:val="19"/>
              </w:rPr>
              <w:t>85</w:t>
            </w:r>
          </w:p>
        </w:tc>
        <w:tc>
          <w:tcPr>
            <w:tcW w:type="dxa" w:w="1234"/>
          </w:tcPr>
          <w:p>
            <w:r/>
            <w:r>
              <w:rPr>
                <w:b w:val="0"/>
                <w:sz w:val="19"/>
              </w:rPr>
              <w:t>92</w:t>
            </w:r>
          </w:p>
        </w:tc>
        <w:tc>
          <w:tcPr>
            <w:tcW w:type="dxa" w:w="1234"/>
          </w:tcPr>
          <w:p>
            <w:r/>
            <w:r>
              <w:rPr>
                <w:b w:val="0"/>
                <w:sz w:val="19"/>
              </w:rPr>
              <w:t>100</w:t>
            </w:r>
          </w:p>
        </w:tc>
      </w:tr>
    </w:tbl>
    <w:p/>
    <w:p>
      <w:pPr>
        <w:spacing w:before="280" w:after="120"/>
      </w:pPr>
      <w:r>
        <w:rPr>
          <w:b/>
          <w:sz w:val="26"/>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t>Rektor, dalam menetapkan kebijakan Standar Masukan PkM dan Renstra PkM Universitas.</w:t>
      </w:r>
    </w:p>
    <w:p>
      <w:pPr>
        <w:pStyle w:val="ListBullet"/>
        <w:spacing w:after="80"/>
      </w:pPr>
      <w:r>
        <w:t>Direktorat Penelitian, Pengabdian kepada Masyarakat dan Publikasi (DPPMP), dalam penyusunan roadmap PkM, Buku Panduan PkM, serta pelaksanaan monitoring-evaluasi.</w:t>
      </w:r>
    </w:p>
    <w:p>
      <w:pPr>
        <w:pStyle w:val="ListBullet"/>
        <w:spacing w:after="80"/>
      </w:pPr>
      <w:r>
        <w:t>Dekan FTII dan Ketua Program Studi, dalam penyusunan roadmap PkM program studi dan pemantauan pelaksanaannya.</w:t>
      </w:r>
    </w:p>
    <w:p>
      <w:pPr>
        <w:pStyle w:val="ListBullet"/>
        <w:spacing w:after="80"/>
      </w:pPr>
      <w: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t>FTII wajib memiliki dan menerapkan Standar Masukan PkM yang ditetapkan melalui keputusan Rektor sebagai acuan penyediaan sumber daya PkM.</w:t>
      </w:r>
    </w:p>
    <w:p>
      <w:pPr>
        <w:pStyle w:val="ListNumber"/>
        <w:spacing w:after="120"/>
      </w:pPr>
      <w:r>
        <w:t>FTII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t>FTII wajib menjamin persentase kegiatan PkM yang selaras dengan roadmap paling sedikit 90%, meningkat menuju 100%.</w:t>
      </w:r>
    </w:p>
    <w:p>
      <w:pPr>
        <w:pStyle w:val="ListNumber"/>
        <w:spacing w:after="120"/>
      </w:pPr>
      <w:r>
        <w:t>FTII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t>FTII wajib mengukur dan meningkatkan tingkat kepuasan dosen, mahasiswa, dan mitra PkM terhadap sarana-prasarana dan layanan PkM paling sedikit 80%, meningkat menuju paling sedikit 95%.</w:t>
      </w:r>
    </w:p>
    <w:p>
      <w:pPr>
        <w:pStyle w:val="ListNumber"/>
        <w:spacing w:after="120"/>
      </w:pPr>
      <w:r>
        <w:t>FTII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t>Rektor menetapkan kebijakan Standar Pengelolaan PkM sebagai bagian dari SPMI Universitas, dengan ambang indikator disetarakan pada skor tertinggi instrumen LAM Teknik dan kriteria Unggul LAM INFOKOM.</w:t>
      </w:r>
    </w:p>
    <w:p>
      <w:pPr>
        <w:pStyle w:val="ListNumber"/>
        <w:spacing w:after="120"/>
      </w:pPr>
      <w: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t>Fakultas dan DPPMP melaksanakan survei kepuasan dosen, mahasiswa, dan mitra PkM secara berkala, ditargetkan meningkat dari 80-85% menuju 95%.</w:t>
      </w:r>
    </w:p>
    <w:p>
      <w:pPr>
        <w:pStyle w:val="ListNumber"/>
        <w:spacing w:after="120"/>
      </w:pPr>
      <w: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Renstra PkM dan roadmap PkM memuat 4 unsur [IKU]</w:t>
            </w:r>
          </w:p>
        </w:tc>
        <w:tc>
          <w:tcPr>
            <w:tcW w:type="dxa" w:w="1234"/>
          </w:tcPr>
          <w:p>
            <w:r/>
            <w:r>
              <w:rPr>
                <w:b w:val="0"/>
                <w:sz w:val="19"/>
              </w:rPr>
              <w:t>Status</w:t>
            </w:r>
          </w:p>
        </w:tc>
        <w:tc>
          <w:tcPr>
            <w:tcW w:type="dxa" w:w="1234"/>
          </w:tcPr>
          <w:p>
            <w:r/>
            <w:r>
              <w:rPr>
                <w:b w:val="0"/>
                <w:sz w:val="19"/>
              </w:rPr>
              <w:t>4 unsur (R1/R2)</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Persentase kegiatan PkM yang selaras dengan roadmap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Ketersediaan Buku Panduan PkM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16</w:t>
            </w:r>
          </w:p>
        </w:tc>
        <w:tc>
          <w:tcPr>
            <w:tcW w:type="dxa" w:w="1234"/>
          </w:tcPr>
          <w:p>
            <w:r/>
            <w:r>
              <w:rPr>
                <w:b w:val="0"/>
                <w:sz w:val="19"/>
              </w:rPr>
              <w:t>Persentase kepuasan dosen dan mahasiswa terhadap sarana-prasarana dan layanan PkM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17</w:t>
            </w:r>
          </w:p>
        </w:tc>
        <w:tc>
          <w:tcPr>
            <w:tcW w:type="dxa" w:w="1234"/>
          </w:tcPr>
          <w:p>
            <w:r/>
            <w:r>
              <w:rPr>
                <w:b w:val="0"/>
                <w:sz w:val="19"/>
              </w:rPr>
              <w:t>Persentase kepuasan mitra PkM terhadap layanan PkM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18</w:t>
            </w:r>
          </w:p>
        </w:tc>
        <w:tc>
          <w:tcPr>
            <w:tcW w:type="dxa" w:w="1234"/>
          </w:tcPr>
          <w:p>
            <w:r/>
            <w:r>
              <w:rPr>
                <w:b w:val="0"/>
                <w:sz w:val="19"/>
              </w:rPr>
              <w:t>Frekuensi monitoring, evaluasi, dan AMI atas standar ini [IKT]</w:t>
            </w:r>
          </w:p>
        </w:tc>
        <w:tc>
          <w:tcPr>
            <w:tcW w:type="dxa" w:w="1234"/>
          </w:tcPr>
          <w:p>
            <w:r/>
            <w:r>
              <w:rPr>
                <w:b w:val="0"/>
                <w:sz w:val="19"/>
              </w:rPr>
              <w:t>Kali/tahun</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t>Wakil Rektor Bidang Pengembangan Institusi dan Sumber Daya, dalam perencanaan alokasi dana PkM.</w:t>
      </w:r>
    </w:p>
    <w:p>
      <w:pPr>
        <w:pStyle w:val="ListBullet"/>
        <w:spacing w:after="80"/>
      </w:pPr>
      <w:r>
        <w:t>Direktorat Keuangan (DKEU), dalam pencatatan, pelaporan, dan pertanggungjawaban dana PkM.</w:t>
      </w:r>
    </w:p>
    <w:p>
      <w:pPr>
        <w:pStyle w:val="ListBullet"/>
        <w:spacing w:after="80"/>
      </w:pPr>
      <w:r>
        <w:t>Direktorat Penelitian, Pengabdian kepada Masyarakat dan Publikasi (DPPMP), dalam pengelolaan skema hibah PkM internal dan pendampingan hibah eksternal.</w:t>
      </w:r>
    </w:p>
    <w:p>
      <w:pPr>
        <w:pStyle w:val="ListBullet"/>
        <w:spacing w:after="80"/>
      </w:pPr>
      <w: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t>FTII wajib menjamin dana PkM per dosen per tahun paling sedikit Rp5.000.000, tetap setara ambang skor sempurna LAM Teknik, meningkat secara bertahap menuju Rp6.500.000 sebagai margin unggul.</w:t>
      </w:r>
    </w:p>
    <w:p>
      <w:pPr>
        <w:pStyle w:val="ListNumber"/>
        <w:spacing w:after="120"/>
      </w:pPr>
      <w:r>
        <w:t>FTII wajib menjamin persentase dana PkM terhadap total dana perguruan tinggi paling sedikit 5%, meningkat secara bertahap dari kondisi saat ini.</w:t>
      </w:r>
    </w:p>
    <w:p>
      <w:pPr>
        <w:pStyle w:val="ListNumber"/>
        <w:spacing w:after="120"/>
      </w:pPr>
      <w:r>
        <w:t>FTII wajib memiliki mekanisme pengelolaan, penggunaan, dan pertanggungjawaban dana PkM yang transparan, akuntabel, efektif, dan efisien.</w:t>
      </w:r>
    </w:p>
    <w:p>
      <w:pPr>
        <w:pStyle w:val="ListNumber"/>
        <w:spacing w:after="120"/>
      </w:pPr>
      <w:r>
        <w:t>FTII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t>Wakil Rektor Bidang Pengembangan dan Sumber Daya bersama DKEU menjamin dana PkM per dosen meningkat dari Rp5 juta menuju Rp6,5 juta per tahun, tetap setara/melampaui ambang LAM Teknik.</w:t>
      </w:r>
    </w:p>
    <w:p>
      <w:pPr>
        <w:pStyle w:val="ListNumber"/>
        <w:spacing w:after="120"/>
      </w:pPr>
      <w:r>
        <w:t>Direktorat Keuangan bersama DPPMP menyusun mekanisme pelaporan persentase dana PkM terhadap total dana perguruan tinggi, ditargetkan meningkat dari 2% menuju 5%.</w:t>
      </w:r>
    </w:p>
    <w:p>
      <w:pPr>
        <w:pStyle w:val="ListNumber"/>
        <w:spacing w:after="120"/>
      </w:pPr>
      <w:r>
        <w:t>DPPMP mengembangkan kerja sama dengan pemerintah, DUDI, perguruan tinggi, dan lembaga donor untuk meningkatkan diversifikasi sumber pendanaan PkM eksternal, dengan pelaporan proporsi per dosen per tahun.</w:t>
      </w:r>
    </w:p>
    <w:p>
      <w:pPr>
        <w:pStyle w:val="ListNumber"/>
        <w:spacing w:after="120"/>
      </w:pPr>
      <w: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14</w:t>
            </w:r>
          </w:p>
        </w:tc>
        <w:tc>
          <w:tcPr>
            <w:tcW w:type="dxa" w:w="1234"/>
          </w:tcPr>
          <w:p>
            <w:r/>
            <w:r>
              <w:rPr>
                <w:b w:val="0"/>
                <w:sz w:val="19"/>
              </w:rPr>
              <w:t>Dana PkM per dosen per tahun [IKU]</w:t>
            </w:r>
          </w:p>
        </w:tc>
        <w:tc>
          <w:tcPr>
            <w:tcW w:type="dxa" w:w="1234"/>
          </w:tcPr>
          <w:p>
            <w:r/>
            <w:r>
              <w:rPr>
                <w:b w:val="0"/>
                <w:sz w:val="19"/>
              </w:rPr>
              <w:t>Rp juta</w:t>
            </w:r>
          </w:p>
        </w:tc>
        <w:tc>
          <w:tcPr>
            <w:tcW w:type="dxa" w:w="1234"/>
          </w:tcPr>
          <w:p>
            <w:r/>
            <w:r>
              <w:rPr>
                <w:b w:val="0"/>
                <w:sz w:val="19"/>
              </w:rPr>
              <w:t>≥5 (LAM Teknik)</w:t>
            </w:r>
          </w:p>
        </w:tc>
        <w:tc>
          <w:tcPr>
            <w:tcW w:type="dxa" w:w="1234"/>
          </w:tcPr>
          <w:p>
            <w:r/>
            <w:r>
              <w:rPr>
                <w:b w:val="0"/>
                <w:sz w:val="19"/>
              </w:rPr>
              <w:t>5</w:t>
            </w:r>
          </w:p>
        </w:tc>
        <w:tc>
          <w:tcPr>
            <w:tcW w:type="dxa" w:w="1234"/>
          </w:tcPr>
          <w:p>
            <w:r/>
            <w:r>
              <w:rPr>
                <w:b w:val="0"/>
                <w:sz w:val="19"/>
              </w:rPr>
              <w:t>6</w:t>
            </w:r>
          </w:p>
        </w:tc>
        <w:tc>
          <w:tcPr>
            <w:tcW w:type="dxa" w:w="1234"/>
          </w:tcPr>
          <w:p>
            <w:r/>
            <w:r>
              <w:rPr>
                <w:b w:val="0"/>
                <w:sz w:val="19"/>
              </w:rPr>
              <w:t>6.5</w:t>
            </w:r>
          </w:p>
        </w:tc>
      </w:tr>
      <w:tr>
        <w:tc>
          <w:tcPr>
            <w:tcW w:type="dxa" w:w="1234"/>
          </w:tcPr>
          <w:p>
            <w:r/>
            <w:r>
              <w:rPr>
                <w:b w:val="0"/>
                <w:sz w:val="19"/>
              </w:rPr>
              <w:t>15</w:t>
            </w:r>
          </w:p>
        </w:tc>
        <w:tc>
          <w:tcPr>
            <w:tcW w:type="dxa" w:w="1234"/>
          </w:tcPr>
          <w:p>
            <w:r/>
            <w:r>
              <w:rPr>
                <w:b w:val="0"/>
                <w:sz w:val="19"/>
              </w:rPr>
              <w:t>Persentase dana PkM terhadap total dana perguruan tinggi [IKU]</w:t>
            </w:r>
          </w:p>
        </w:tc>
        <w:tc>
          <w:tcPr>
            <w:tcW w:type="dxa" w:w="1234"/>
          </w:tcPr>
          <w:p>
            <w:r/>
            <w:r>
              <w:rPr>
                <w:b w:val="0"/>
                <w:sz w:val="19"/>
              </w:rPr>
              <w:t>%</w:t>
            </w:r>
          </w:p>
        </w:tc>
        <w:tc>
          <w:tcPr>
            <w:tcW w:type="dxa" w:w="1234"/>
          </w:tcPr>
          <w:p>
            <w:r/>
            <w:r>
              <w:rPr>
                <w:b w:val="0"/>
                <w:sz w:val="19"/>
              </w:rPr>
              <w:t>≥5 (praktik baik referensi)</w:t>
            </w:r>
          </w:p>
        </w:tc>
        <w:tc>
          <w:tcPr>
            <w:tcW w:type="dxa" w:w="1234"/>
          </w:tcPr>
          <w:p>
            <w:r/>
            <w:r>
              <w:rPr>
                <w:b w:val="0"/>
                <w:sz w:val="19"/>
              </w:rPr>
              <w:t>2</w:t>
            </w:r>
          </w:p>
        </w:tc>
        <w:tc>
          <w:tcPr>
            <w:tcW w:type="dxa" w:w="1234"/>
          </w:tcPr>
          <w:p>
            <w:r/>
            <w:r>
              <w:rPr>
                <w:b w:val="0"/>
                <w:sz w:val="19"/>
              </w:rPr>
              <w:t>3.5</w:t>
            </w:r>
          </w:p>
        </w:tc>
        <w:tc>
          <w:tcPr>
            <w:tcW w:type="dxa" w:w="1234"/>
          </w:tcPr>
          <w:p>
            <w:r/>
            <w:r>
              <w:rPr>
                <w:b w:val="0"/>
                <w:sz w:val="19"/>
              </w:rPr>
              <w:t>5</w:t>
            </w:r>
          </w:p>
        </w:tc>
      </w:tr>
      <w:tr>
        <w:tc>
          <w:tcPr>
            <w:tcW w:type="dxa" w:w="1234"/>
          </w:tcPr>
          <w:p>
            <w:r/>
            <w:r>
              <w:rPr>
                <w:sz w:val="19"/>
              </w:rPr>
              <w:t>*19</w:t>
            </w:r>
          </w:p>
        </w:tc>
        <w:tc>
          <w:tcPr>
            <w:tcW w:type="dxa" w:w="1234"/>
          </w:tcPr>
          <w:p>
            <w:r/>
            <w:r>
              <w:rPr>
                <w:sz w:val="19"/>
              </w:rPr>
              <w:t>Pemenuhan pengelolaan dana PkM atas 5 aspek (transparansi, kepatuhan regulasi, efisiensi-efektivitas, pengelolaan risiko, audit internal-eksternal) [IKU]</w:t>
            </w:r>
          </w:p>
        </w:tc>
        <w:tc>
          <w:tcPr>
            <w:tcW w:type="dxa" w:w="1234"/>
          </w:tcPr>
          <w:p>
            <w:r/>
            <w:r>
              <w:rPr>
                <w:sz w:val="19"/>
              </w:rPr>
              <w:t>Status</w:t>
            </w:r>
          </w:p>
        </w:tc>
        <w:tc>
          <w:tcPr>
            <w:tcW w:type="dxa" w:w="1234"/>
          </w:tcPr>
          <w:p>
            <w:r/>
            <w:r>
              <w:rPr>
                <w:sz w:val="19"/>
              </w:rPr>
              <w:t>5 aspek (LAM Teknik Butir 8)</w:t>
            </w:r>
          </w:p>
        </w:tc>
        <w:tc>
          <w:tcPr>
            <w:tcW w:type="dxa" w:w="1234"/>
          </w:tcPr>
          <w:p>
            <w:r/>
            <w:r>
              <w:rPr>
                <w:sz w:val="19"/>
              </w:rPr>
              <w:t>5 aspek</w:t>
            </w:r>
          </w:p>
        </w:tc>
        <w:tc>
          <w:tcPr>
            <w:tcW w:type="dxa" w:w="1234"/>
          </w:tcPr>
          <w:p>
            <w:r/>
            <w:r>
              <w:rPr>
                <w:sz w:val="19"/>
              </w:rPr>
              <w:t>5 aspek</w:t>
            </w:r>
          </w:p>
        </w:tc>
        <w:tc>
          <w:tcPr>
            <w:tcW w:type="dxa" w:w="1234"/>
          </w:tcPr>
          <w:p>
            <w:r/>
            <w:r>
              <w:rPr>
                <w:sz w:val="19"/>
              </w:rPr>
              <w:t>5 aspek</w:t>
            </w:r>
          </w:p>
        </w:tc>
      </w:tr>
      <w:tr>
        <w:tc>
          <w:tcPr>
            <w:tcW w:type="dxa" w:w="1234"/>
          </w:tcPr>
          <w:p>
            <w:r/>
            <w:r>
              <w:rPr>
                <w:sz w:val="19"/>
              </w:rPr>
              <w:t>*20</w:t>
            </w:r>
          </w:p>
        </w:tc>
        <w:tc>
          <w:tcPr>
            <w:tcW w:type="dxa" w:w="1234"/>
          </w:tcPr>
          <w:p>
            <w:r/>
            <w:r>
              <w:rPr>
                <w:sz w:val="19"/>
              </w:rPr>
              <w:t>Persentase dana PkM eksternal (luar negeri/dalam negeri/kerja sama DUDI-pemerintah) terhadap total dana PkM per dosen [IKT]</w:t>
            </w:r>
          </w:p>
        </w:tc>
        <w:tc>
          <w:tcPr>
            <w:tcW w:type="dxa" w:w="1234"/>
          </w:tcPr>
          <w:p>
            <w:r/>
            <w:r>
              <w:rPr>
                <w:sz w:val="19"/>
              </w:rPr>
              <w:t>%</w:t>
            </w:r>
          </w:p>
        </w:tc>
        <w:tc>
          <w:tcPr>
            <w:tcW w:type="dxa" w:w="1234"/>
          </w:tcPr>
          <w:p>
            <w:r/>
            <w:r>
              <w:rPr>
                <w:sz w:val="19"/>
              </w:rPr>
              <w:t>-</w:t>
            </w:r>
          </w:p>
        </w:tc>
        <w:tc>
          <w:tcPr>
            <w:tcW w:type="dxa" w:w="1234"/>
          </w:tcPr>
          <w:p>
            <w:r/>
            <w:r>
              <w:rPr>
                <w:sz w:val="19"/>
              </w:rPr>
              <w:t>10</w:t>
            </w:r>
          </w:p>
        </w:tc>
        <w:tc>
          <w:tcPr>
            <w:tcW w:type="dxa" w:w="1234"/>
          </w:tcPr>
          <w:p>
            <w:r/>
            <w:r>
              <w:rPr>
                <w:sz w:val="19"/>
              </w:rPr>
              <w:t>15</w:t>
            </w:r>
          </w:p>
        </w:tc>
        <w:tc>
          <w:tcPr>
            <w:tcW w:type="dxa" w:w="1234"/>
          </w:tcPr>
          <w:p>
            <w:r/>
            <w:r>
              <w:rPr>
                <w:sz w:val="19"/>
              </w:rPr>
              <w:t>20</w:t>
            </w:r>
          </w:p>
        </w:tc>
      </w:tr>
    </w:tbl>
    <w:p/>
    <w:p>
      <w:pPr>
        <w:spacing w:before="280" w:after="120"/>
      </w:pPr>
      <w:r>
        <w:rPr>
          <w:b/>
          <w:sz w:val="26"/>
        </w:rPr>
        <w:t>DOKUMEN TERKAIT PELAKSANAAN STANDAR</w:t>
      </w:r>
    </w:p>
    <w:p>
      <w:pPr>
        <w:pStyle w:val="ListNumber"/>
        <w:spacing w:after="120"/>
      </w:pPr>
      <w:r>
        <w:t>Dokumen kebijakan dan penetapan Standar Masukan PkM FTII (Surat Keputusan Rektor).</w:t>
      </w:r>
    </w:p>
    <w:p>
      <w:pPr>
        <w:pStyle w:val="ListNumber"/>
        <w:spacing w:after="120"/>
      </w:pPr>
      <w:r>
        <w:t>Dokumen Renstra PkM dan roadmap PkM program studi yang memuat 4 unsur wajib, beserta laporan kesesuaian kegiatan PkM terhadap roadmap.</w:t>
      </w:r>
    </w:p>
    <w:p>
      <w:pPr>
        <w:pStyle w:val="ListNumber"/>
        <w:spacing w:after="120"/>
      </w:pPr>
      <w:r>
        <w:t>Buku Panduan PkM FTII/Universitas.</w:t>
      </w:r>
    </w:p>
    <w:p>
      <w:pPr>
        <w:pStyle w:val="ListNumber"/>
        <w:spacing w:after="120"/>
      </w:pPr>
      <w:r>
        <w:t>Dokumen usulan PkM dan hasil seleksi yang menunjukkan kesesuaian kualifikasi ketua/anggota/tenaga bantu PkM dengan skema.</w:t>
      </w:r>
    </w:p>
    <w:p>
      <w:pPr>
        <w:pStyle w:val="ListNumber"/>
        <w:spacing w:after="120"/>
      </w:pPr>
      <w:r>
        <w:t>Dokumentasi kegiatan pengembangan kompetensi pelaksana PkM (pelatihan, workshop, seminar, pendampingan proposal hibah, pendampingan artikel ilmiah) dan daftar hadir/partisipasi dosen.</w:t>
      </w:r>
    </w:p>
    <w:p>
      <w:pPr>
        <w:pStyle w:val="ListNumber"/>
        <w:spacing w:after="120"/>
      </w:pPr>
      <w:r>
        <w:t>Laporan PkM dosen per tahun beserta pelaporan proporsi sumber pendanaan (luar negeri/dalam negeri/PT-mandiri).</w:t>
      </w:r>
    </w:p>
    <w:p>
      <w:pPr>
        <w:pStyle w:val="ListNumber"/>
        <w:spacing w:after="120"/>
      </w:pPr>
      <w:r>
        <w:t>Daftar tenaga kependidikan dan laboran PkM.</w:t>
      </w:r>
    </w:p>
    <w:p>
      <w:pPr>
        <w:pStyle w:val="ListNumber"/>
        <w:spacing w:after="120"/>
      </w:pPr>
      <w:r>
        <w:t>Dokumen inventarisasi sarana-prasarana PkM (ruang unit pengelola, sarana referensi ilmiah, prasarana, K3) dan laporan audit fasilitas.</w:t>
      </w:r>
    </w:p>
    <w:p>
      <w:pPr>
        <w:pStyle w:val="ListNumber"/>
        <w:spacing w:after="120"/>
      </w:pPr>
      <w:r>
        <w:t>Data log aktivitas dan cakupan penggunaan Sistem Informasi PkM.</w:t>
      </w:r>
    </w:p>
    <w:p>
      <w:pPr>
        <w:pStyle w:val="ListNumber"/>
        <w:spacing w:after="120"/>
      </w:pPr>
      <w:r>
        <w:t>Laporan realisasi dana PkM per dosen dan persentase dana PkM terhadap total dana perguruan tinggi.</w:t>
      </w:r>
    </w:p>
    <w:p>
      <w:pPr>
        <w:pStyle w:val="ListNumber"/>
        <w:spacing w:after="120"/>
      </w:pPr>
      <w:r>
        <w:t>Dokumen kerja sama pendanaan PkM eksternal (MoU/MoA/IA) beserta proporsi sumber pendanaan per dosen.</w:t>
      </w:r>
    </w:p>
    <w:p>
      <w:pPr>
        <w:pStyle w:val="ListNumber"/>
        <w:spacing w:after="120"/>
      </w:pPr>
      <w:r>
        <w:t>Laporan survei kepuasan dosen, mahasiswa, dan mitra PkM.</w:t>
      </w:r>
    </w:p>
    <w:p>
      <w:pPr>
        <w:pStyle w:val="ListNumber"/>
        <w:spacing w:after="120"/>
      </w:pPr>
      <w:r>
        <w:t>Dokumen root-cause analysis dan SWOT tahunan atas keempat sub-standar Masukan PkM, sesuai template Standar Penjaminan Mutu Internal FTII, beserta berita acara pembahasannya dalam RTM.</w:t>
      </w:r>
    </w:p>
    <w:p>
      <w:pPr>
        <w:pStyle w:val="ListNumber"/>
        <w:spacing w:after="120"/>
      </w:pPr>
      <w:r>
        <w:t>Laporan Audit Mutu Internal (AMI) dan Berita Acara Rapat Tinjauan Manajemen (RTM) atas Standar Masukan PkM.</w:t>
      </w:r>
    </w:p>
    <w:p>
      <w:pPr>
        <w:pStyle w:val="ListNumber"/>
        <w:spacing w:after="120"/>
      </w:pPr>
      <w:r>
        <w:t>Rencana Tindak Lanjut (RTL) hasil evaluasi dan AMI periode berjalan.</w:t>
      </w:r>
    </w:p>
    <w:p>
      <w:pPr>
        <w:pStyle w:val="ListNumber"/>
        <w:spacing w:after="120"/>
      </w:pPr>
      <w:r>
        <w:t>Dokumen pemetaan gap Standar Masukan PkM terhadap dokumen rujukan (standarmasukanpkm.docx).</w:t>
      </w:r>
    </w:p>
    <w:p>
      <w:pPr>
        <w:spacing w:before="280" w:after="120"/>
      </w:pPr>
      <w:r>
        <w:rPr>
          <w:b/>
          <w:sz w:val="26"/>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Visi Misi FTII versi Unggul (Standar_Visi_Misi_Unggul_FTII.docx).</w:t>
      </w:r>
    </w:p>
    <w:p>
      <w:pPr>
        <w:pStyle w:val="ListNumber"/>
        <w:spacing w:after="120"/>
      </w:pPr>
      <w:r>
        <w:t>Standar Penjaminan Mutu Internal FTII versi Unggul (Standar_Penjaminan_Mutu_Internal_Unggul_FTII.docx).</w:t>
      </w:r>
    </w:p>
    <w:p>
      <w:pPr>
        <w:pStyle w:val="ListNumber"/>
        <w:spacing w:after="120"/>
      </w:pPr>
      <w:r>
        <w:t>Standar Masukan Penelitian FTII versi Unggul (standarmasukanpenelitianunggul.docx).</w:t>
      </w:r>
    </w:p>
    <w:p>
      <w:pPr>
        <w:pStyle w:val="ListNumber"/>
        <w:spacing w:after="120"/>
      </w:pPr>
      <w:r>
        <w:t>Dokumen pemetaan gap Standar Masukan PkM FTII (standarmasukanpkm.docx).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