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PEMETAAN STANDAR PROSES PENDIDIKAN</w:t>
      </w:r>
    </w:p>
    <w:p>
      <w:r>
        <w:rPr>
          <w:b w:val="0"/>
          <w:i/>
        </w:rPr>
        <w:t>Fakultas Teknologi Informasi dan Industri (FTII) UNISBANK terhadap 5 Dokumen Rujukan Eksternal</w:t>
      </w:r>
    </w:p>
    <w:p>
      <w:pPr>
        <w:pStyle w:val="Heading1"/>
      </w:pPr>
      <w:r>
        <w:t>A. Dokumen yang Dibandingkan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Kode</w:t>
            </w:r>
          </w:p>
        </w:tc>
        <w:tc>
          <w:tcPr>
            <w:tcW w:type="dxa" w:w="2880"/>
          </w:tcPr>
          <w:p>
            <w:r>
              <w:rPr>
                <w:b/>
              </w:rPr>
              <w:t>Dokumen</w:t>
            </w:r>
          </w:p>
        </w:tc>
        <w:tc>
          <w:tcPr>
            <w:tcW w:type="dxa" w:w="2880"/>
          </w:tcPr>
          <w:p>
            <w:r>
              <w:rPr>
                <w:b/>
              </w:rPr>
              <w:t>Sumber / Institusi</w:t>
            </w:r>
          </w:p>
        </w:tc>
      </w:tr>
      <w:tr>
        <w:tc>
          <w:tcPr>
            <w:tcW w:type="dxa" w:w="2880"/>
          </w:tcPr>
          <w:p>
            <w:r>
              <w:t>FTII</w:t>
            </w:r>
          </w:p>
        </w:tc>
        <w:tc>
          <w:tcPr>
            <w:tcW w:type="dxa" w:w="2880"/>
          </w:tcPr>
          <w:p>
            <w:r>
              <w:t>Standar Proses Pendidikan FTII UNISBANK (draft pembaruan)</w:t>
            </w:r>
          </w:p>
        </w:tc>
        <w:tc>
          <w:tcPr>
            <w:tcW w:type="dxa" w:w="2880"/>
          </w:tcPr>
          <w:p>
            <w:r>
              <w:t>Fakultas Teknologi Informasi dan Industri, Universitas Stikubank (UNISBANK) Semarang</w:t>
            </w:r>
          </w:p>
        </w:tc>
      </w:tr>
      <w:tr>
        <w:tc>
          <w:tcPr>
            <w:tcW w:type="dxa" w:w="2880"/>
          </w:tcPr>
          <w:p>
            <w:r>
              <w:t>R1</w:t>
            </w:r>
          </w:p>
        </w:tc>
        <w:tc>
          <w:tcPr>
            <w:tcW w:type="dxa" w:w="2880"/>
          </w:tcPr>
          <w:p>
            <w:r>
              <w:t>Dokumen Panduan SPMI Program Sarjana dan Sarjana Terapan - 2024, bagian Standar 6: Pendidikan (butir 6.1-6.8, mencakup Kompetensi Lulusan, Isi, Proses, Penilaian, Integrasi Penelitian/PkM, Suasana Akademik, Kepuasan Mahasiswa, dan MBKM)</w:t>
            </w:r>
          </w:p>
        </w:tc>
        <w:tc>
          <w:tcPr>
            <w:tcW w:type="dxa" w:w="2880"/>
          </w:tcPr>
          <w:p>
            <w:r>
              <w:t>perguruan tinggi rujukan R1</w:t>
            </w:r>
          </w:p>
        </w:tc>
      </w:tr>
      <w:tr>
        <w:tc>
          <w:tcPr>
            <w:tcW w:type="dxa" w:w="2880"/>
          </w:tcPr>
          <w:p>
            <w:r>
              <w:t>R2</w:t>
            </w:r>
          </w:p>
        </w:tc>
        <w:tc>
          <w:tcPr>
            <w:tcW w:type="dxa" w:w="2880"/>
          </w:tcPr>
          <w:p>
            <w:r>
              <w:t>Matriks Penilaian Laporan Evaluasi Diri dan Laporan Kinerja Program Studi - Program Sarjana (APS-AV 2025 1.0), butir No.15-21 (RPS, Proses Pembelajaran, Integrasi Penelitian/PkM, PJP, Suasana Akademik) dan No.44-45 (Masa Studi, Kelulusan Tepat Waktu)</w:t>
            </w:r>
          </w:p>
        </w:tc>
        <w:tc>
          <w:tcPr>
            <w:tcW w:type="dxa" w:w="2880"/>
          </w:tcPr>
          <w:p>
            <w:r>
              <w:t>Lembaga Akreditasi Mandiri Teknik (LAM Teknik)</w:t>
            </w:r>
          </w:p>
        </w:tc>
      </w:tr>
      <w:tr>
        <w:tc>
          <w:tcPr>
            <w:tcW w:type="dxa" w:w="2880"/>
          </w:tcPr>
          <w:p>
            <w:r>
              <w:t>R3</w:t>
            </w:r>
          </w:p>
        </w:tc>
        <w:tc>
          <w:tcPr>
            <w:tcW w:type="dxa" w:w="2880"/>
          </w:tcPr>
          <w:p>
            <w:r>
              <w:t>Standar untuk Memperoleh Status Terakreditasi Unggul bagi Program Studi yang Tercakup dalam LAM INFOKOM, butir 2.1.C/2.2.C dan 2.1.D/2.2.D (fleksibilitas proses pembelajaran, RPL, suasana akademik, penilaian, prestasi mahasiswa)</w:t>
            </w:r>
          </w:p>
        </w:tc>
        <w:tc>
          <w:tcPr>
            <w:tcW w:type="dxa" w:w="2880"/>
          </w:tcPr>
          <w:p>
            <w:r>
              <w:t>Lembaga Akreditasi Mandiri Informatika dan Komputer (LAM INFOKOM) - Lampiran Peraturan BAN-PT No. 39 Tahun 2025</w:t>
            </w:r>
          </w:p>
        </w:tc>
      </w:tr>
      <w:tr>
        <w:tc>
          <w:tcPr>
            <w:tcW w:type="dxa" w:w="2880"/>
          </w:tcPr>
          <w:p>
            <w:r>
              <w:t>R4</w:t>
            </w:r>
          </w:p>
        </w:tc>
        <w:tc>
          <w:tcPr>
            <w:tcW w:type="dxa" w:w="2880"/>
          </w:tcPr>
          <w:p>
            <w:r>
              <w:t>Dokumen SPMI lengkap (171 halaman), bagian Standar Proses Pembelajaran, Standar Pembelajaran di Luar Program Studi, Standar Penilaian Pembelajaran, Standar Pengelolaan Pembelajaran, dan Standar Suasana Akademik</w:t>
            </w:r>
          </w:p>
        </w:tc>
        <w:tc>
          <w:tcPr>
            <w:tcW w:type="dxa" w:w="2880"/>
          </w:tcPr>
          <w:p>
            <w:r>
              <w:t>Fakultas Ilmu Komputer, perguruan tinggi rujukan R4</w:t>
            </w:r>
          </w:p>
        </w:tc>
      </w:tr>
      <w:tr>
        <w:tc>
          <w:tcPr>
            <w:tcW w:type="dxa" w:w="2880"/>
          </w:tcPr>
          <w:p>
            <w:r>
              <w:t>R5</w:t>
            </w:r>
          </w:p>
        </w:tc>
        <w:tc>
          <w:tcPr>
            <w:tcW w:type="dxa" w:w="2880"/>
          </w:tcPr>
          <w:p>
            <w:r>
              <w:t>Seri Buku Standar SPMI: (3) Standar Proses Pembelajaran, (4) Standar Penilaian Pembelajaran, (5) Standar MBKM, (7) Standar Pengelolaan Pembelajaran, (9) Standar Suasana Akademik</w:t>
            </w:r>
          </w:p>
        </w:tc>
        <w:tc>
          <w:tcPr>
            <w:tcW w:type="dxa" w:w="2880"/>
          </w:tcPr>
          <w:p>
            <w:r>
              <w:t>Lembaga Penjaminan Mutu, perguruan tinggi rujukan R5</w:t>
            </w:r>
          </w:p>
        </w:tc>
      </w:tr>
    </w:tbl>
    <w:p/>
    <w:p>
      <w:r>
        <w:rPr>
          <w:b w:val="0"/>
          <w:i w:val="0"/>
        </w:rPr>
        <w:t>Catatan metodologis: pemetaan disusun berdasarkan ekstraksi teks langsung (pdftotext) dari kelima dokumen rujukan pada bagian/bab yang relevan dengan proses pendidikan (bukan bagian kompetensi/luaran lulusan), serta dari isi lengkap draft Standar Proses Pendidikan FTII (28 pernyataan standar mencakup Standar Proses Pembelajaran, Standar Penilaian, dan Standar Pengelolaan/Suasana Akademik; 28 Indikator Kinerja Utama; 4 Indikator Kinerja Tambahan; 50 strategi pencapaian). Kutipan pada tabel di bawah diringkas dari teks asli masing-masing dokumen; jika suatu rujukan tidak memuat ketentuan sebanding pada bagian yang berhasil diekstrak, hal ini dinyatakan secara eksplisit.</w:t>
      </w:r>
    </w:p>
    <w:p>
      <w:pPr>
        <w:pStyle w:val="Heading1"/>
      </w:pPr>
      <w:r>
        <w:t>B. Pemetaan per Tema Standar</w:t>
      </w:r>
    </w:p>
    <w:p>
      <w:pPr>
        <w:pStyle w:val="Heading2"/>
      </w:pPr>
      <w:r>
        <w:t>Tema 1. Kurikulum OBE dan Kesesuaian RPS dengan CPL</w:t>
      </w:r>
    </w:p>
    <w:p>
      <w:r>
        <w:rPr>
          <w:b w:val="0"/>
          <w:i w:val="0"/>
        </w:rPr>
        <w:t>Ketentuan FTII UNISBANK: Setiap dosen wajib menyusun/memperbarui RPS untuk setiap mata kuliah, memastikan kesesuaian dengan CPL, KKNI Level 6, dan kurikulum OBE. IKU: "Kesesuaian RPS dengan CPL berbasis KKNI Level 6" ditargetkan "Sesuai" (kualitatif, seluruh tahun 2023/24-2026/27), tanpa ambang persentase eksplisit.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6.5 (6.2.2 RPS): skor 4 jika dokumen RPS mencakup 4 aspek (target capaian/bahan kajian/metode/waktu; tahapan asesmen; ditinjau berkala; dapat diakses &amp; dilaksanakan konsisten mahasiswa) - skor turun bertahap jika aspek tidak lengkap. Butir 6.6 (6.2.3): skor 4 jika kedalaman/keluasan materi RPS sesuai CPL level 6 KKNI dan ditinjau ulang berkala.</w:t>
            </w:r>
          </w:p>
        </w:tc>
      </w:tr>
      <w:tr>
        <w:tc>
          <w:tcPr>
            <w:tcW w:type="dxa" w:w="4320"/>
          </w:tcPr>
          <w:p>
            <w:r>
              <w:t>R2 (LAM Teknik)</w:t>
            </w:r>
          </w:p>
        </w:tc>
        <w:tc>
          <w:tcPr>
            <w:tcW w:type="dxa" w:w="4320"/>
          </w:tcPr>
          <w:p>
            <w:r>
              <w:t>Butir No.15 "Rencana Proses Pembelajaran (RPS)": dokumen RPS harus memuat 9 komponen lengkap serta ditinjau secara berkala untuk skor tertinggi; skor menurun jika komponen tidak lengkap atau tidak ditinjau berkala.</w:t>
            </w:r>
          </w:p>
        </w:tc>
      </w:tr>
      <w:tr>
        <w:tc>
          <w:tcPr>
            <w:tcW w:type="dxa" w:w="4320"/>
          </w:tcPr>
          <w:p>
            <w:r>
              <w:t>R3 (LAM INFOKOM)</w:t>
            </w:r>
          </w:p>
        </w:tc>
        <w:tc>
          <w:tcPr>
            <w:tcW w:type="dxa" w:w="4320"/>
          </w:tcPr>
          <w:p>
            <w:r>
              <w:t>Butir 2.1.B: kebijakan/standar/indikator isi pembelajaran &amp; rancangan kurikulum OBE mencakup soft dan hard competence (KKNI level 6), dinilai berjenjang skor deskriptif berdasar kelengkapan aspek kebijakan dan keterlibatan pemangku kepentingan.</w:t>
            </w:r>
          </w:p>
        </w:tc>
      </w:tr>
      <w:tr>
        <w:tc>
          <w:tcPr>
            <w:tcW w:type="dxa" w:w="4320"/>
          </w:tcPr>
          <w:p>
            <w:r>
              <w:t>R4</w:t>
            </w:r>
          </w:p>
        </w:tc>
        <w:tc>
          <w:tcPr>
            <w:tcW w:type="dxa" w:w="4320"/>
          </w:tcPr>
          <w:p>
            <w:r>
              <w:t>IKU: "Persentase program studi yang menerapkan Standar Proses Pembelajaran universitas" ditargetkan ≥90% (2023) meningkat ke 100% (2025-2026) - berbasis kepatuhan prodi, bukan performa RPS per mata kuliah.</w:t>
            </w:r>
          </w:p>
        </w:tc>
      </w:tr>
      <w:tr>
        <w:tc>
          <w:tcPr>
            <w:tcW w:type="dxa" w:w="4320"/>
          </w:tcPr>
          <w:p>
            <w:r>
              <w:t>R5 (R5 - Buku Standar Proses Pembelajaran)</w:t>
            </w:r>
          </w:p>
        </w:tc>
        <w:tc>
          <w:tcPr>
            <w:tcW w:type="dxa" w:w="4320"/>
          </w:tcPr>
          <w:p>
            <w:r>
              <w:t>Bab 5 No.2.f: RPS wajib ditinjau/direvisi minimal setiap 2 tahun sekali. No.2.h: RPS harus disahkan dan tersedia untuk seluruh mata kuliah sebelum perkuliahan semester dimulai.</w:t>
            </w:r>
          </w:p>
        </w:tc>
      </w:tr>
    </w:tbl>
    <w:p/>
    <w:p>
      <w:r>
        <w:rPr>
          <w:b/>
        </w:rPr>
        <w:t xml:space="preserve">Analisis Kesesuaian: </w:t>
      </w:r>
      <w:r>
        <w:t>SEBAGIAN SELARAS, PERLU DIPERJELAS - Seluruh rujukan menuntut RPS lengkap dan ditinjau berkala, namun R1 dan R2 memberi rubrik skor bertingkat berbasis kelengkapan komponen/persentase mata kuliah dengan RPS lengkap, sedangkan R5 menetapkan siklus tinjauan konkret (2 tahun). Indikator FTII "Sesuai" bersifat kualitatif biner tanpa ambang persentase atau siklus tinjauan eksplisit. REKOMENDASI: tambahkan target persentase mata kuliah dengan RPS lengkap terdokumentasi (mis. mengacu ambang R1: 75-100% untuk skor tertinggi) dan siklus tinjauan RPS (mis. 2 tahun mengacu R5).</w:t>
      </w:r>
    </w:p>
    <w:p/>
    <w:p>
      <w:pPr>
        <w:pStyle w:val="Heading2"/>
      </w:pPr>
      <w:r>
        <w:t>Tema 2. Kesesuaian Metode Pembelajaran (SCL/PBL/CBL) dan Pembelajaran Inovatif</w:t>
      </w:r>
    </w:p>
    <w:p>
      <w:r>
        <w:rPr>
          <w:b w:val="0"/>
          <w:i w:val="0"/>
        </w:rPr>
        <w:t>Ketentuan FTII UNISBANK: IKU "Pembelajaran inovatif (PBL/CBL, micro-credential, RPL)": target 70% (2023/24) naik ke 75%, 75%, 78% (2026/27). IKU tambahan "Persentase mahasiswa mengikuti program micro-credential": 10% naik ke 15%.</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6.11 (6.3.2.E): skor 4 jika metode pembelajaran sesuai capaian pembelajaran yang direncanakan pada 75%-100% mata kuliah; skor 3 untuk 50%-&lt;75%; skor 2 untuk 25%-&lt;50%; skor 1 untuk &lt;25%.</w:t>
            </w:r>
          </w:p>
        </w:tc>
      </w:tr>
      <w:tr>
        <w:tc>
          <w:tcPr>
            <w:tcW w:type="dxa" w:w="4320"/>
          </w:tcPr>
          <w:p>
            <w:r>
              <w:t>R2 (LAM Teknik)</w:t>
            </w:r>
          </w:p>
        </w:tc>
        <w:tc>
          <w:tcPr>
            <w:tcW w:type="dxa" w:w="4320"/>
          </w:tcPr>
          <w:p>
            <w:r>
              <w:t>Butir No.16 menilai efektivitas proses pembelajaran secara kualitatif berjenjang (mempertimbangkan metode, media, interaksi dosen-mahasiswa, daya analisis kritis) - tidak memberi ambang persentase mata kuliah PBL/CBL secara eksplisit pada bagian yang diekstrak.</w:t>
            </w:r>
          </w:p>
        </w:tc>
      </w:tr>
      <w:tr>
        <w:tc>
          <w:tcPr>
            <w:tcW w:type="dxa" w:w="4320"/>
          </w:tcPr>
          <w:p>
            <w:r>
              <w:t>R3 (LAM INFOKOM)</w:t>
            </w:r>
          </w:p>
        </w:tc>
        <w:tc>
          <w:tcPr>
            <w:tcW w:type="dxa" w:w="4320"/>
          </w:tcPr>
          <w:p>
            <w:r>
              <w:t>Butir 2.1.C/2.2.C menyebut eksplisit fleksibilitas proses pembelajaran mencakup CBL, PBL, dan micro-credential, dinilai skala deskriptif berjenjang (memenuhi aspek 1-4), bukan ambang persentase mata kuliah.</w:t>
            </w:r>
          </w:p>
        </w:tc>
      </w:tr>
      <w:tr>
        <w:tc>
          <w:tcPr>
            <w:tcW w:type="dxa" w:w="4320"/>
          </w:tcPr>
          <w:p>
            <w:r>
              <w:t>R4</w:t>
            </w:r>
          </w:p>
        </w:tc>
        <w:tc>
          <w:tcPr>
            <w:tcW w:type="dxa" w:w="4320"/>
          </w:tcPr>
          <w:p>
            <w:r>
              <w:t>Tidak ditemukan indikator numerik spesifik persentase mata kuliah PBL/CBL/micro-credential pada bagian yang diekstrak (fokus IKU pada kepatuhan implementasi standar tingkat prodi).</w:t>
            </w:r>
          </w:p>
        </w:tc>
      </w:tr>
      <w:tr>
        <w:tc>
          <w:tcPr>
            <w:tcW w:type="dxa" w:w="4320"/>
          </w:tcPr>
          <w:p>
            <w:r>
              <w:t>R5 (R5 - Buku Standar Proses Pembelajaran)</w:t>
            </w:r>
          </w:p>
        </w:tc>
        <w:tc>
          <w:tcPr>
            <w:tcW w:type="dxa" w:w="4320"/>
          </w:tcPr>
          <w:p>
            <w:r>
              <w:t>Bab 5 No.10: "Persentase mata kuliah yang menerapkan model pembelajaran berbasis proyek atau pembelajaran sejenis (PBL/CBL) minimal 70%" - ambang kuantitatif eksplisit.</w:t>
            </w:r>
          </w:p>
        </w:tc>
      </w:tr>
    </w:tbl>
    <w:p/>
    <w:p>
      <w:r>
        <w:rPr>
          <w:b/>
        </w:rPr>
        <w:t xml:space="preserve">Analisis Kesesuaian: </w:t>
      </w:r>
      <w:r>
        <w:t>SELARAS PENUH, BAHKAN SEDIKIT LEBIH TINGGI - Target awal FTII (70%) IDENTIK dengan ambang minimal R5 (70%), dan target akhir FTII (78%) berada dalam rentang skor sempurna R1 (75%-100%). Ini merupakan salah satu area dengan kesesuaian kuantitatif terkuat antara draft FTII dan rujukan eksternal. Pertahankan dan dokumentasikan target ini sebagai praktik baik.</w:t>
      </w:r>
    </w:p>
    <w:p/>
    <w:p>
      <w:pPr>
        <w:pStyle w:val="Heading2"/>
      </w:pPr>
      <w:r>
        <w:t>Tema 3. Integrasi Hasil Penelitian dan PkM ke dalam Pembelajaran</w:t>
      </w:r>
    </w:p>
    <w:p>
      <w:r>
        <w:rPr>
          <w:b w:val="0"/>
          <w:i w:val="0"/>
        </w:rPr>
        <w:t>Ketentuan FTII UNISBANK: (Termuat pada draft Standar Masukan Pendidikan yang berpasangan) IKU "Persentase mata kuliah yang memanfaatkan hasil penelitian, PkM, proyek, dan kasus": 20% (2023/24-2024/25) naik ke 25% (2025/26-2026/27). Draft Standar Proses Pendidikan menegaskan kewajiban integrasi ini secara kualitatif dalam pernyataan standar dan strategi pencapaian tanpa mengulang angka target.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6.18 (6.6.1): dinilai dari NMKI (jumlah mata kuliah yang dikembangkan berdasarkan hasil penelitian/PkM DTPS dalam 1 tahun terakhir) - skor 4 jika NMKI &gt; 3 (angka absolut, bukan persentase).</w:t>
            </w:r>
          </w:p>
        </w:tc>
      </w:tr>
      <w:tr>
        <w:tc>
          <w:tcPr>
            <w:tcW w:type="dxa" w:w="4320"/>
          </w:tcPr>
          <w:p>
            <w:r>
              <w:t>R2 (LAM Teknik)</w:t>
            </w:r>
          </w:p>
        </w:tc>
        <w:tc>
          <w:tcPr>
            <w:tcW w:type="dxa" w:w="4320"/>
          </w:tcPr>
          <w:p>
            <w:r>
              <w:t>Butir No.17: hasil penelitian dan PkM dijadikan bahan ajar minimal 10% dari mata kuliah inti program studi untuk skor 4 - ambang persentase eksplisit.</w:t>
            </w:r>
          </w:p>
        </w:tc>
      </w:tr>
      <w:tr>
        <w:tc>
          <w:tcPr>
            <w:tcW w:type="dxa" w:w="4320"/>
          </w:tcPr>
          <w:p>
            <w:r>
              <w:t>R3 (LAM INFOKOM)</w:t>
            </w:r>
          </w:p>
        </w:tc>
        <w:tc>
          <w:tcPr>
            <w:tcW w:type="dxa" w:w="4320"/>
          </w:tcPr>
          <w:p>
            <w:r>
              <w:t>Tidak ditemukan butir spesifik terpisah untuk integrasi penelitian/PkM ke pembelajaran pada bagian yang diekstrak (kemungkinan tercakup implisit dalam butir isi pembelajaran/kurikulum OBE 2.1.B).</w:t>
            </w:r>
          </w:p>
        </w:tc>
      </w:tr>
      <w:tr>
        <w:tc>
          <w:tcPr>
            <w:tcW w:type="dxa" w:w="4320"/>
          </w:tcPr>
          <w:p>
            <w:r>
              <w:t>R4</w:t>
            </w:r>
          </w:p>
        </w:tc>
        <w:tc>
          <w:tcPr>
            <w:tcW w:type="dxa" w:w="4320"/>
          </w:tcPr>
          <w:p>
            <w:r>
              <w:t>Tidak ditemukan indikator numerik spesifik pada bagian yang diekstrak.</w:t>
            </w:r>
          </w:p>
        </w:tc>
      </w:tr>
      <w:tr>
        <w:tc>
          <w:tcPr>
            <w:tcW w:type="dxa" w:w="4320"/>
          </w:tcPr>
          <w:p>
            <w:r>
              <w:t>R5 (R5 - Buku Standar Proses Pembelajaran)</w:t>
            </w:r>
          </w:p>
        </w:tc>
        <w:tc>
          <w:tcPr>
            <w:tcW w:type="dxa" w:w="4320"/>
          </w:tcPr>
          <w:p>
            <w:r>
              <w:t>Bab 5 No.3.q: mata kuliah terintegrasi hasil penelitian minimal 4 mata kuliah. No.3.r: mata kuliah terintegrasi hasil PkM minimal 4 mata kuliah (angka absolut).</w:t>
            </w:r>
          </w:p>
        </w:tc>
      </w:tr>
    </w:tbl>
    <w:p/>
    <w:p>
      <w:r>
        <w:rPr>
          <w:b/>
        </w:rPr>
        <w:t xml:space="preserve">Analisis Kesesuaian: </w:t>
      </w:r>
      <w:r>
        <w:t>FTII LEBIH TERUKUR DAN SUDAH MELAMPAUI AMBANG R2 - Target FTII (20%-25% dari seluruh mata kuliah) sudah melampaui ambang persentase eksplisit R2 (10% dari mata kuliah inti). Namun R1 dan R5 memakai satuan berbeda (jumlah absolut mata kuliah: &gt;3 atau ≥4 MK), sehingga kesetaraan tidak dapat dipastikan tanpa mengetahui jumlah total mata kuliah per program studi FTII. REKOMENDASI: sertakan juga angka absolut jumlah mata kuliah terintegrasi penelitian dan PkM (masing-masing, bukan digabung) di dokumen pendukung LKPS/LED agar dapat dibandingkan langsung dengan ambang R1 (&gt;3 MK) dan R5 (≥4 MK).</w:t>
      </w:r>
    </w:p>
    <w:p/>
    <w:p>
      <w:pPr>
        <w:pStyle w:val="Heading2"/>
      </w:pPr>
      <w:r>
        <w:t>Tema 4. Beban Belajar (SKS) dan Keterlaksanaan 16 Kali Pertemuan</w:t>
      </w:r>
    </w:p>
    <w:p>
      <w:r>
        <w:rPr>
          <w:b w:val="0"/>
          <w:i w:val="0"/>
        </w:rPr>
        <w:t>Ketentuan FTII UNISBANK: Beban belajar program sarjana paling sedikit 146 SKS, semester 1-2 maksimal 20 SKS, semester 3-8 maksimal 24 SKS; pembelajaran wajib terlaksana minimal 16 kali pertemuan dibuktikan presensi/BAP (seluruh target "Tersedia/Terlaksana", kualitatif).</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6.12 (6.3.3): kesesuaian alokasi waktu 1 SKS (LM = n sks x 50' + n sks x 60') skor 4 jika tepat sesuai rumus - menguji ketepatan alokasi waktu per SKS, bukan jumlah minggu secara langsung, namun berimplikasi pada pemenuhan jumlah pertemuan.</w:t>
            </w:r>
          </w:p>
        </w:tc>
      </w:tr>
      <w:tr>
        <w:tc>
          <w:tcPr>
            <w:tcW w:type="dxa" w:w="4320"/>
          </w:tcPr>
          <w:p>
            <w:r>
              <w:t>R2 (LAM Teknik)</w:t>
            </w:r>
          </w:p>
        </w:tc>
        <w:tc>
          <w:tcPr>
            <w:tcW w:type="dxa" w:w="4320"/>
          </w:tcPr>
          <w:p>
            <w:r>
              <w:t>Tidak ditemukan butir eksplisit mengenai jumlah minimum SKS kurikulum atau jumlah pertemuan pada bagian yang diekstrak.</w:t>
            </w:r>
          </w:p>
        </w:tc>
      </w:tr>
      <w:tr>
        <w:tc>
          <w:tcPr>
            <w:tcW w:type="dxa" w:w="4320"/>
          </w:tcPr>
          <w:p>
            <w:r>
              <w:t>R3 (LAM INFOKOM)</w:t>
            </w:r>
          </w:p>
        </w:tc>
        <w:tc>
          <w:tcPr>
            <w:tcW w:type="dxa" w:w="4320"/>
          </w:tcPr>
          <w:p>
            <w:r>
              <w:t>Butir 2.1.C/2.2.C menyebut "pemenuhan beban belajar" sebagai salah satu dari 4 aspek yang dinilai, namun tanpa angka SKS eksplisit pada bagian yang diekstrak.</w:t>
            </w:r>
          </w:p>
        </w:tc>
      </w:tr>
      <w:tr>
        <w:tc>
          <w:tcPr>
            <w:tcW w:type="dxa" w:w="4320"/>
          </w:tcPr>
          <w:p>
            <w:r>
              <w:t>R4</w:t>
            </w:r>
          </w:p>
        </w:tc>
        <w:tc>
          <w:tcPr>
            <w:tcW w:type="dxa" w:w="4320"/>
          </w:tcPr>
          <w:p>
            <w:r>
              <w:t>Tidak ditemukan ambang SKS/jumlah pertemuan eksplisit pada bagian yang diekstrak.</w:t>
            </w:r>
          </w:p>
        </w:tc>
      </w:tr>
      <w:tr>
        <w:tc>
          <w:tcPr>
            <w:tcW w:type="dxa" w:w="4320"/>
          </w:tcPr>
          <w:p>
            <w:r>
              <w:t>R5 (R5 - Buku Standar Proses Pembelajaran)</w:t>
            </w:r>
          </w:p>
        </w:tc>
        <w:tc>
          <w:tcPr>
            <w:tcW w:type="dxa" w:w="4320"/>
          </w:tcPr>
          <w:p>
            <w:r>
              <w:t>Bab 5 No.3.k: proses pembelajaran paling sedikit 16 minggu termasuk UTS dan UAS - IDENTIK dengan ketentuan FTII. Bab 5 No.9: kurikulum sarjana/sarjana terapan total minimal 144 SKS dalam 8 semester dan dipenuhi 100% mahasiswa.</w:t>
            </w:r>
          </w:p>
        </w:tc>
      </w:tr>
    </w:tbl>
    <w:p/>
    <w:p>
      <w:r>
        <w:rPr>
          <w:b/>
        </w:rPr>
        <w:t xml:space="preserve">Analisis Kesesuaian: </w:t>
      </w:r>
      <w:r>
        <w:t>SELARAS PENUH DAN SEDIKIT MELAMPAUI - Ketentuan 16 kali pertemuan FTII identik dengan R5. Beban belajar minimal FTII (146 SKS) melampaui ambang minimal R5/SN-Dikti (144 SKS), konsisten dengan semangat peningkatan mutu berkelanjutan. Tidak ada gap.</w:t>
      </w:r>
    </w:p>
    <w:p/>
    <w:p>
      <w:pPr>
        <w:pStyle w:val="Heading2"/>
      </w:pPr>
      <w:r>
        <w:t>Tema 5. Persentase Jam Pembelajaran Praktik (PJP): Praktikum, Praktik Lapangan, dan Magang</w:t>
      </w:r>
    </w:p>
    <w:p>
      <w:r>
        <w:rPr>
          <w:b w:val="0"/>
          <w:i w:val="0"/>
        </w:rPr>
        <w:t>Ketentuan FTII UNISBANK: Draft FTII mewajibkan pelaksanaan magang, praktikum, dan tugas akhir secara kualitatif ("Terlaksana"/"Tersedia") tanpa menetapkan ambang persentase jam pembelajaran praktik (PJP) terhadap total jam pembelajaran selama masa studi.</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6.13 (6.3.4): PJP = (Jam pembelajaran praktikum/praktik/praktik lapangan/MBKM) / (Jam pembelajaran total) x 100%. Skor 4 jika 20% &lt;= PJP &lt;= 50% (skala LAM Teknik dalam dokumen ini); skor menurun proporsional di luar rentang tersebut.</w:t>
            </w:r>
          </w:p>
        </w:tc>
      </w:tr>
      <w:tr>
        <w:tc>
          <w:tcPr>
            <w:tcW w:type="dxa" w:w="4320"/>
          </w:tcPr>
          <w:p>
            <w:r>
              <w:t>R2 (LAM Teknik)</w:t>
            </w:r>
          </w:p>
        </w:tc>
        <w:tc>
          <w:tcPr>
            <w:tcW w:type="dxa" w:w="4320"/>
          </w:tcPr>
          <w:p>
            <w:r>
              <w:t>Butir No.18: rumus identik (PJP = JP/JB x 100%); skor 4 jika 20% &lt;= PJP &lt;= 50%; skor = 20 x PJP jika PJP &lt; 20%; skor = 8 - (8 x PJP) jika PJP &gt; 50%.</w:t>
            </w:r>
          </w:p>
        </w:tc>
      </w:tr>
      <w:tr>
        <w:tc>
          <w:tcPr>
            <w:tcW w:type="dxa" w:w="4320"/>
          </w:tcPr>
          <w:p>
            <w:r>
              <w:t>R3, R4, R5</w:t>
            </w:r>
          </w:p>
        </w:tc>
        <w:tc>
          <w:tcPr>
            <w:tcW w:type="dxa" w:w="4320"/>
          </w:tcPr>
          <w:p>
            <w:r>
              <w:t>Tidak ditemukan formula PJP eksplisit pada bagian yang diekstrak dari ketiga dokumen ini (LAM INFOKOM dan R5 tidak secara eksplisit memakai rasio jam praktik terhadap total jam sebagai indikator terpisah pada bagian yang diekstrak).</w:t>
            </w:r>
          </w:p>
        </w:tc>
      </w:tr>
    </w:tbl>
    <w:p/>
    <w:p>
      <w:r>
        <w:rPr>
          <w:b/>
        </w:rPr>
        <w:t>Analisis Kesesuaian: GAP TERIDENTIFIKASI (khusus konteks LAM Teknik/R1) - Draft FTII belum memiliki indikator kuantitatif PJP sebagaimana disyaratkan R1 dan R2 (ambang skor sempurna 20%-50%). Catatan konteks: R1 dan R2 berasal dari lingkup LAM Teknik, sedangkan program studi di FTII umumnya diakreditasi LAM INFOKOM yang tidak secara eksplisit mensyaratkan rasio PJP yang sama; kegunaan gap ini paling relevan bagi program studi FTII yang berada di bawah lingkup LAM Teknik. REKOMENDASI: bila terdapat program studi FTII terkait Teknik/Industri, pertimbangkan menambahkan target PJP eksplisit (20%-50%) pada IKU Standar Proses Pendidikan.</w:t>
      </w:r>
      <w:r/>
    </w:p>
    <w:p/>
    <w:p>
      <w:pPr>
        <w:pStyle w:val="Heading2"/>
      </w:pPr>
      <w:r>
        <w:t>Tema 6. Merdeka Belajar Kampus Merdeka (MBKM): Perencanaan, Pelaksanaan, dan Monev</w:t>
      </w:r>
    </w:p>
    <w:p>
      <w:r>
        <w:rPr>
          <w:b w:val="0"/>
          <w:i w:val="0"/>
        </w:rPr>
        <w:t>Ketentuan FTII UNISBANK: FTII wajib memiliki kebijakan/pedoman MBKM, menyediakan pembimbing, dokumen rekognisi MBKM, dan melaksanakan program magang di DUDIKA. Seluruh IKU terkait ("Tersedia Kebijakan Pedoman MBKM", "Tersedia Dokumen Rekognisi MBKM", "Terlaksana Program Magang") bersifat kualitatif tanpa ambang persentase partisipasi mahasiswa dalam MBKM secara eksplisit.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6.20 (6.7.2): skor 4 jika tersedia 5-6 dari 6 dokumen perencanaan MBKM (kebijakan/payung implementasi, kurikulum MBKM, MoU mitra, panduan dosen, panduan mahasiswa, panduan admin/monev). Butir 6.21 (6.7.3): skor 4 jika 4 dari 4 aspek monev MBKM terpenuhi (kesesuaian waktu, kesesuaian bentuk kegiatan dengan MK konversi, bukti logbook, pengukuran CPL hasil MBKM).</w:t>
            </w:r>
          </w:p>
        </w:tc>
      </w:tr>
      <w:tr>
        <w:tc>
          <w:tcPr>
            <w:tcW w:type="dxa" w:w="4320"/>
          </w:tcPr>
          <w:p>
            <w:r>
              <w:t>R2 (LAM Teknik)</w:t>
            </w:r>
          </w:p>
        </w:tc>
        <w:tc>
          <w:tcPr>
            <w:tcW w:type="dxa" w:w="4320"/>
          </w:tcPr>
          <w:p>
            <w:r>
              <w:t>Tidak ditemukan butir MBKM tersendiri secara eksplisit pada bagian yang diekstrak (kemungkinan tercakup dalam butir Proses Pembelajaran No.16 secara implisit).</w:t>
            </w:r>
          </w:p>
        </w:tc>
      </w:tr>
      <w:tr>
        <w:tc>
          <w:tcPr>
            <w:tcW w:type="dxa" w:w="4320"/>
          </w:tcPr>
          <w:p>
            <w:r>
              <w:t>R3 (LAM INFOKOM)</w:t>
            </w:r>
          </w:p>
        </w:tc>
        <w:tc>
          <w:tcPr>
            <w:tcW w:type="dxa" w:w="4320"/>
          </w:tcPr>
          <w:p>
            <w:r>
              <w:t>Butir 2.1.C/2.2.C menyebut fleksibilitas proses pembelajaran mencakup RPL yang relevan dengan bidang keilmuan PS, dinilai skor deskriptif berjenjang bersama aspek suasana akademik, penilaian, dan beban belajar (tidak dipisah sebagai butir MBKM tersendiri).</w:t>
            </w:r>
          </w:p>
        </w:tc>
      </w:tr>
      <w:tr>
        <w:tc>
          <w:tcPr>
            <w:tcW w:type="dxa" w:w="4320"/>
          </w:tcPr>
          <w:p>
            <w:r>
              <w:t>R4</w:t>
            </w:r>
          </w:p>
        </w:tc>
        <w:tc>
          <w:tcPr>
            <w:tcW w:type="dxa" w:w="4320"/>
          </w:tcPr>
          <w:p>
            <w:r>
              <w:t>IKU eksplisit: "Persentase program studi yang mengimplementasikan kebijakan MBKM sesuai ketentuan universitas": ≥80% (2023) naik ke 100% (2025-2026) - berbasis kepatuhan prodi.</w:t>
            </w:r>
          </w:p>
        </w:tc>
      </w:tr>
      <w:tr>
        <w:tc>
          <w:tcPr>
            <w:tcW w:type="dxa" w:w="4320"/>
          </w:tcPr>
          <w:p>
            <w:r>
              <w:t>R5 (R5 - Buku Standar MBKM)</w:t>
            </w:r>
          </w:p>
        </w:tc>
        <w:tc>
          <w:tcPr>
            <w:tcW w:type="dxa" w:w="4320"/>
          </w:tcPr>
          <w:p>
            <w:r>
              <w:t>Bab 5: 6 indikator meliputi ketersediaan prosedur MBKM, kerjasama mitra, ketersediaan mata kuliah yang dapat diimplementasikan MBKM, persentase keikutsertaan mahasiswa dalam 8 kegiatan MBKM, persentase keterlibatan dosen pendamping, dan ketersediaan sarana prasarana penunjang - seluruhnya dinyatakan kualitatif/persentase tanpa angka ambang pasti pada dokumen yang diekstrak.</w:t>
            </w:r>
          </w:p>
        </w:tc>
      </w:tr>
    </w:tbl>
    <w:p/>
    <w:p>
      <w:r>
        <w:rPr>
          <w:b/>
        </w:rPr>
        <w:t>Analisis Kesesuaian: SEBAGIAN SELARAS, PERLU PERINCIAN LEBIH LANJUT - FTII sudah mencakup unsur kebijakan, pembimbing, rekognisi, dan magang sesuai pola umum kelima rujukan, namun belum merinci checklist dokumen perencanaan MBKM (6 dokumen ala R1) maupun 4 aspek monev MBKM secara eksplisit yang menjadi syarat skor sempurna pada R1/LAM Teknik. FTII juga belum mencantumkan indikator "persentase mahasiswa mengikuti MBKM" (hanya micro-credential yang diberi target persentase). REKOMENDASI: tambahkan rincian checklist dokumen MBKM dan 4 aspek monev MBKM secara eksplisit ke pedoman pelaksanaan, serta tambahkan IKU persentase partisipasi mahasiswa dalam kegiatan MBKM.</w:t>
      </w:r>
      <w:r/>
    </w:p>
    <w:p/>
    <w:p>
      <w:pPr>
        <w:pStyle w:val="Heading2"/>
      </w:pPr>
      <w:r>
        <w:t>Tema 7. Recognition of Prior Learning (RPL)</w:t>
      </w:r>
    </w:p>
    <w:p>
      <w:r>
        <w:rPr>
          <w:b w:val="0"/>
          <w:i w:val="0"/>
        </w:rPr>
        <w:t>Ketentuan FTII UNISBANK: FTII wajib memiliki "Pedoman Penerimaan Mahasiswa Jalur RPL" - IKU "Tersedia Pedoman Penerimaan Mahasiswa Jalur RPL" bersifat kualitatif ("Tersedia") tanpa ambang persentase SKS yang dapat diakui atau jumlah pemanfaat RPL.</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RPL disebut sebagai salah satu bentuk pembelajaran MBKM dalam konteks butir 6.20/6.21, namun tidak diberi ambang kuantitatif tersendiri pada bagian yang diekstrak.</w:t>
            </w:r>
          </w:p>
        </w:tc>
      </w:tr>
      <w:tr>
        <w:tc>
          <w:tcPr>
            <w:tcW w:type="dxa" w:w="4320"/>
          </w:tcPr>
          <w:p>
            <w:r>
              <w:t>R3 (LAM INFOKOM)</w:t>
            </w:r>
          </w:p>
        </w:tc>
        <w:tc>
          <w:tcPr>
            <w:tcW w:type="dxa" w:w="4320"/>
          </w:tcPr>
          <w:p>
            <w:r>
              <w:t>Butir 2.1.C/2.2.C menyebut RPL sebagai bagian dari 4 aspek fleksibilitas proses pembelajaran yang dinilai skor deskriptif berjenjang, tanpa ambang persentase SKS.</w:t>
            </w:r>
          </w:p>
        </w:tc>
      </w:tr>
      <w:tr>
        <w:tc>
          <w:tcPr>
            <w:tcW w:type="dxa" w:w="4320"/>
          </w:tcPr>
          <w:p>
            <w:r>
              <w:t>R5 (R5 - Buku Standar Proses Pembelajaran)</w:t>
            </w:r>
          </w:p>
        </w:tc>
        <w:tc>
          <w:tcPr>
            <w:tcW w:type="dxa" w:w="4320"/>
          </w:tcPr>
          <w:p>
            <w:r>
              <w:t>Bab 5 No.7: layanan RPL dinilai melalui (a) persentase SKS yang diakui melalui RPL terhadap total SKS program studi, maksimal 70%; dan (b) jumlah mahasiswa yang memanfaatkan RPL per semester/tahun akademik - ambang kuantitatif eksplisit.</w:t>
            </w:r>
          </w:p>
        </w:tc>
      </w:tr>
      <w:tr>
        <w:tc>
          <w:tcPr>
            <w:tcW w:type="dxa" w:w="4320"/>
          </w:tcPr>
          <w:p>
            <w:r>
              <w:t>R2, R4</w:t>
            </w:r>
          </w:p>
        </w:tc>
        <w:tc>
          <w:tcPr>
            <w:tcW w:type="dxa" w:w="4320"/>
          </w:tcPr>
          <w:p>
            <w:r>
              <w:t>Tidak ditemukan ketentuan RPL kuantitatif pada bagian yang diekstrak dari kedua dokumen ini.</w:t>
            </w:r>
          </w:p>
        </w:tc>
      </w:tr>
    </w:tbl>
    <w:p/>
    <w:p>
      <w:r>
        <w:rPr>
          <w:b/>
        </w:rPr>
        <w:t>Analisis Kesesuaian: GAP TERUKUR - FTII baru menyatakan ketersediaan pedoman RPL secara kualitatif, sementara R5 menetapkan ambang kuantitatif eksplisit (maksimal 70% SKS dapat diakui via RPL, serta jumlah pemanfaat per semester/tahun). REKOMENDASI: tambahkan indikator kuantitatif RPL (persentase maksimal SKS yang dapat diakui dan target jumlah pemanfaat) pada IKU/IKT Standar Proses Pendidikan FTII, dengan ambang yang disarankan mengacu pada R5 (maksimal 70% SKS program studi).</w:t>
      </w:r>
      <w:r/>
    </w:p>
    <w:p/>
    <w:p>
      <w:pPr>
        <w:pStyle w:val="Heading2"/>
      </w:pPr>
      <w:r>
        <w:t>Tema 8. Penilaian Pembelajaran: Prinsip, Teknik, Instrumen, dan Pelaporan Nilai</w:t>
      </w:r>
    </w:p>
    <w:p>
      <w:r>
        <w:rPr>
          <w:b w:val="0"/>
          <w:i w:val="0"/>
        </w:rPr>
        <w:t>Ketentuan FTII UNISBANK: FTII menjamin prinsip penilaian edukatif, objektif, akuntabel, transparan; pengumuman hasil IPS/IPK paling lambat 2 minggu setelah ujian; laporan hasil penilaian seluruh lulusan serta ijazah/transkrip/SKPI "Tersedia" bagi seluruh lulusan (kualitatif).</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6.15 (6.5.2): skor 4 jika kesesuaian teknik dan instrumen penilaian terhadap capaian pembelajaran tercapai pada 75%-100% mata kuliah (dilengkapi bukti/rubrik/portofolio). Butir 6.16 (6.5.3): skor 4 jika pelaksanaan penilaian mencakup 7 unsur (kontrak penilaian, pelaksanaan sesuai kontrak, umpan balik, dokumentasi, prosedur lengkap, pelaporan huruf/angka, tindak lanjut monev). Butir 6.17 (6.5.4): skor 4 jika ada dokumen pemeriksaan kesesuaian alat ukur asesmen dan diperiksa secara kontinu.</w:t>
            </w:r>
          </w:p>
        </w:tc>
      </w:tr>
      <w:tr>
        <w:tc>
          <w:tcPr>
            <w:tcW w:type="dxa" w:w="4320"/>
          </w:tcPr>
          <w:p>
            <w:r>
              <w:t>R2 (LAM Teknik)</w:t>
            </w:r>
          </w:p>
        </w:tc>
        <w:tc>
          <w:tcPr>
            <w:tcW w:type="dxa" w:w="4320"/>
          </w:tcPr>
          <w:p>
            <w:r>
              <w:t>Tidak ditemukan butir penilaian pembelajaran tersendiri secara eksplisit dengan ambang persentase pada bagian yang diekstrak (kemungkinan tercakup pada instrumen bagian lain dari 56 kriteria total dokumen ini).</w:t>
            </w:r>
          </w:p>
        </w:tc>
      </w:tr>
      <w:tr>
        <w:tc>
          <w:tcPr>
            <w:tcW w:type="dxa" w:w="4320"/>
          </w:tcPr>
          <w:p>
            <w:r>
              <w:t>R3 (LAM INFOKOM)</w:t>
            </w:r>
          </w:p>
        </w:tc>
        <w:tc>
          <w:tcPr>
            <w:tcW w:type="dxa" w:w="4320"/>
          </w:tcPr>
          <w:p>
            <w:r>
              <w:t>Butir 2.1.C/2.2.C mencantumkan "penilaian pembelajaran" sebagai satu dari 4 aspek yang dinilai bersama fleksibilitas proses, suasana akademik, dan beban belajar - dinilai skor deskriptif berjenjang, tanpa ambang persentase MK.</w:t>
            </w:r>
          </w:p>
        </w:tc>
      </w:tr>
      <w:tr>
        <w:tc>
          <w:tcPr>
            <w:tcW w:type="dxa" w:w="4320"/>
          </w:tcPr>
          <w:p>
            <w:r>
              <w:t>R4</w:t>
            </w:r>
          </w:p>
        </w:tc>
        <w:tc>
          <w:tcPr>
            <w:tcW w:type="dxa" w:w="4320"/>
          </w:tcPr>
          <w:p>
            <w:r>
              <w:t>Terdapat bagian "STANDAR PENILAIAN PEMBELAJARAN" tersendiri (halaman 26-29 dokumen) namun rincian ambang IKU spesifik tidak tereskstrak secara rinci pada pemetaan ini; secara struktural pola IKU-nya konsisten dengan format "persentase prodi menerapkan standar ≥90%-&gt;100%" seperti standar lain di dokumen ini.</w:t>
            </w:r>
          </w:p>
        </w:tc>
      </w:tr>
      <w:tr>
        <w:tc>
          <w:tcPr>
            <w:tcW w:type="dxa" w:w="4320"/>
          </w:tcPr>
          <w:p>
            <w:r>
              <w:t>R5 (R5 - Buku Standar Penilaian Pembelajaran)</w:t>
            </w:r>
          </w:p>
        </w:tc>
        <w:tc>
          <w:tcPr>
            <w:tcW w:type="dxa" w:w="4320"/>
          </w:tcPr>
          <w:p>
            <w:r>
              <w:t>Bab 5 No.2.e: persentase penilaian mata kuliah dalam bentuk tugas minimal 20% dari seluruh bentuk penilaian. Bab 5 No.5.b: dosen wajib menginput, mengumumkan, dan memvalidasi nilai melalui Sistem Informasi paling lambat 1 minggu setelah jadwal ujian - LEBIH KETAT dibanding tenggat FTII (2 minggu).</w:t>
            </w:r>
          </w:p>
        </w:tc>
      </w:tr>
    </w:tbl>
    <w:p/>
    <w:p>
      <w:r>
        <w:rPr>
          <w:b/>
        </w:rPr>
        <w:t>Analisis Kesesuaian: SEBAGIAN SELARAS, ADA AREA UNTUK DIPERKETAT - Prinsip penilaian FTII (edukatif/objektif/akuntabel/transparan) selaras dengan seluruh rujukan. Namun dua gap teridentifikasi: (1) FTII belum menetapkan ambang persentase mata kuliah dengan dokumentasi penilaian lengkap (R1 mensyaratkan 75-100% untuk skor tertinggi); (2) tenggat pengumuman nilai FTII (2 minggu) lebih longgar dibanding R5 (1 minggu). REKOMENDASI: tambahkan indikator persentase mata kuliah dengan bukti penilaian/rubrik lengkap, dan pertimbangkan mempercepat tenggat pengumuman nilai menjadi 1 minggu atau berikan justifikasi tertulis bila tenggat 2 minggu tetap dipertahankan.</w:t>
      </w:r>
      <w:r/>
    </w:p>
    <w:p/>
    <w:p>
      <w:pPr>
        <w:pStyle w:val="Heading2"/>
      </w:pPr>
      <w:r>
        <w:t>Tema 9. Kelulusan Tepat Waktu</w:t>
      </w:r>
    </w:p>
    <w:p>
      <w:r>
        <w:rPr>
          <w:b w:val="0"/>
          <w:i w:val="0"/>
        </w:rPr>
        <w:t>Ketentuan FTII UNISBANK: Draft Standar Proses Pendidikan menargetkan persentase kelulusan tepat waktu 50% (2023/24), naik ke 55% (2024/25), 60% (2025/26 dan 2026/27). CATATAN INTERNAL PENTING: draft Standar Luaran Pendidikan FTII (dokumen terpisah, sudah dipetakan sebelumnya) menargetkan indikator yang SAMA pada nilai BERBEDA: 55% (2023/24), 60% (2024/25-2026/27) - terdapat selisih 5 poin persentase pada tahun dasar (2023/24) antara kedua dokumen.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R2 (LAM Teknik)</w:t>
            </w:r>
          </w:p>
        </w:tc>
        <w:tc>
          <w:tcPr>
            <w:tcW w:type="dxa" w:w="4320"/>
          </w:tcPr>
          <w:p>
            <w:r>
              <w:t>Butir No.45: skor 4 jika Persentase Tepat Waktu (PTW) &gt;= 50%; skor menurun linear di bawah ambang tersebut (skor = 1 + 6xPTW jika 0% &lt; PTW &lt; 50%).</w:t>
            </w:r>
          </w:p>
        </w:tc>
      </w:tr>
      <w:tr>
        <w:tc>
          <w:tcPr>
            <w:tcW w:type="dxa" w:w="4320"/>
          </w:tcPr>
          <w:p>
            <w:r>
              <w:t>R5 (R5 - Buku Standar Kompetensi Lulusan, telah dipetakan pada dokumen sebelumnya)</w:t>
            </w:r>
          </w:p>
        </w:tc>
        <w:tc>
          <w:tcPr>
            <w:tcW w:type="dxa" w:w="4320"/>
          </w:tcPr>
          <w:p>
            <w:r>
              <w:t>Bab 5 No.16: kelulusan tepat waktu minimal 50% untuk program Sarjana.</w:t>
            </w:r>
          </w:p>
        </w:tc>
      </w:tr>
      <w:tr>
        <w:tc>
          <w:tcPr>
            <w:tcW w:type="dxa" w:w="4320"/>
          </w:tcPr>
          <w:p>
            <w:r>
              <w:t>R1, R3, R4</w:t>
            </w:r>
          </w:p>
        </w:tc>
        <w:tc>
          <w:tcPr>
            <w:tcW w:type="dxa" w:w="4320"/>
          </w:tcPr>
          <w:p>
            <w:r>
              <w:t>Tidak ditemukan ambang persentase eksplisit pada bagian yang diekstrak dari ketiga dokumen ini terkait proses pendidikan (indikator ini secara substansi lebih banyak dibahas dalam konteks Standar Luaran Pendidikan/Kompetensi Lulusan).</w:t>
            </w:r>
          </w:p>
        </w:tc>
      </w:tr>
    </w:tbl>
    <w:p/>
    <w:p>
      <w:r>
        <w:rPr>
          <w:b/>
        </w:rPr>
        <w:t xml:space="preserve">Analisis Kesesuaian: </w:t>
      </w:r>
      <w:r>
        <w:t>TARGET SUDAH SELARAS/MELAMPAUI RUJUKAN, TETAPI DITEMUKAN INKONSISTENSI INTERNAL ANTAR-DOKUMEN FTII - Seluruh target FTII (50%-60%) sudah memenuhi atau melampaui ambang skor sempurna R2 dan ambang minimal R5 (keduanya 50%). Namun angka target pada tahun dasar (2023/24) berbeda antara draft Standar Proses Pendidikan (50%) dan draft Standar Luaran Pendidikan (55%) untuk indikator yang identik. REKOMENDASI PRIORITAS: sinkronkan angka target Kelulusan Tepat Waktu di seluruh dokumen Standar FTII (Proses Pendidikan dan Luaran Pendidikan) sebelum ditetapkan Rektor, agar tidak menimbulkan ambiguitas saat penyusunan LED/LKPS akreditasi.</w:t>
      </w:r>
    </w:p>
    <w:p/>
    <w:p>
      <w:pPr>
        <w:pStyle w:val="Heading2"/>
      </w:pPr>
      <w:r>
        <w:t>Tema 10. Suasana Akademik dan Satgas Pencegahan Kekerasan Seksual (PPKS)</w:t>
      </w:r>
    </w:p>
    <w:p>
      <w:r>
        <w:rPr>
          <w:b w:val="0"/>
          <w:i w:val="0"/>
        </w:rPr>
        <w:t>Ketentuan FTII UNISBANK: FTII wajib memiliki kebijakan/pedoman suasana akademik, menyelenggarakan kegiatan peningkatan suasana akademik, melakukan survei kepuasan, menyusun analisis/perencanaan strategis, serta menjamin tersedianya Satgas PPKS - seluruh IKU terkait bersifat kualitatif ("Tersedia") tanpa ambang frekuensi kegiatan atau persentase kepuasan mahasiswa yang eksplisit.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6.19 (6.7.1): skor 4 jika kegiatan ilmiah terjadwal (kuliah umum, seminar, bedah buku) dilaksanakan SETIAP BULAN; skor menurun jika frekuensi lebih jarang. Butir 6.22 (6.8.1): skor 4 jika &gt;75% mahasiswa menyatakan puas terhadap pengalaman belajar DAN &gt;75% mata kuliah ber-Indeks Persepsi Dosen (IPD) rata-rata &gt;3,25. Butir 6.23 (6.8.2): skor 4 jika hasil pengukuran kepuasan dianalisis dan ditindaklanjuti minimal 2 kali setiap semester.</w:t>
            </w:r>
          </w:p>
        </w:tc>
      </w:tr>
      <w:tr>
        <w:tc>
          <w:tcPr>
            <w:tcW w:type="dxa" w:w="4320"/>
          </w:tcPr>
          <w:p>
            <w:r>
              <w:t>R2 (LAM Teknik)</w:t>
            </w:r>
          </w:p>
        </w:tc>
        <w:tc>
          <w:tcPr>
            <w:tcW w:type="dxa" w:w="4320"/>
          </w:tcPr>
          <w:p>
            <w:r>
              <w:t>Butir No.21: skor 4 jika kebijakan, program, fasilitas suasana akademik tersedia dan dievaluasi berkala, DAN kebebasan akademik/mimbar akademik/otonomi keilmuan terjadwal SETIAP 1-2 BULAN.</w:t>
            </w:r>
          </w:p>
        </w:tc>
      </w:tr>
      <w:tr>
        <w:tc>
          <w:tcPr>
            <w:tcW w:type="dxa" w:w="4320"/>
          </w:tcPr>
          <w:p>
            <w:r>
              <w:t>R3 (LAM INFOKOM)</w:t>
            </w:r>
          </w:p>
        </w:tc>
        <w:tc>
          <w:tcPr>
            <w:tcW w:type="dxa" w:w="4320"/>
          </w:tcPr>
          <w:p>
            <w:r>
              <w:t>Butir 2.1.C/2.2.C mencantumkan "penciptaan suasana akademik" sebagai satu dari 4 aspek yang dinilai berjenjang, tanpa ambang frekuensi eksplisit pada bagian yang diekstrak.</w:t>
            </w:r>
          </w:p>
        </w:tc>
      </w:tr>
      <w:tr>
        <w:tc>
          <w:tcPr>
            <w:tcW w:type="dxa" w:w="4320"/>
          </w:tcPr>
          <w:p>
            <w:r>
              <w:t>R4</w:t>
            </w:r>
          </w:p>
        </w:tc>
        <w:tc>
          <w:tcPr>
            <w:tcW w:type="dxa" w:w="4320"/>
          </w:tcPr>
          <w:p>
            <w:r>
              <w:t>Terdapat bagian "STANDAR SUASANA AKADEMIK" tersendiri (halaman 50-53) namun rincian ambang IKU spesifik tidak tereskstrak detail pada pemetaan ini.</w:t>
            </w:r>
          </w:p>
        </w:tc>
      </w:tr>
      <w:tr>
        <w:tc>
          <w:tcPr>
            <w:tcW w:type="dxa" w:w="4320"/>
          </w:tcPr>
          <w:p>
            <w:r>
              <w:t>R5 (R5 - Buku Standar Suasana Akademik)</w:t>
            </w:r>
          </w:p>
        </w:tc>
        <w:tc>
          <w:tcPr>
            <w:tcW w:type="dxa" w:w="4320"/>
          </w:tcPr>
          <w:p>
            <w:r>
              <w:t>Bab 5 No.6: program dan kegiatan akademik (seminar, forum diskusi, simposium, lokakarya, bedah buku, kuliah umum) dilaksanakan SETIAP 3 BULAN - lebih longgar dibanding ambang skor sempurna R1 (bulanan) dan R2 (1-2 bulan).</w:t>
            </w:r>
          </w:p>
        </w:tc>
      </w:tr>
    </w:tbl>
    <w:p/>
    <w:p>
      <w:r>
        <w:rPr>
          <w:b/>
        </w:rPr>
        <w:t xml:space="preserve">Analisis Kesesuaian: </w:t>
      </w:r>
      <w:r>
        <w:t>GAP TERUKUR PADA FREKUENSI DAN AMBANG KEPUASAN, NAMUN NILAI LEBIH PADA ASPEK PPKS - FTII belum menetapkan frekuensi baku kegiatan peningkatan suasana akademik (rujukan bervariasi: R1 bulanan, R2 1-2 bulanan, R5 3 bulanan) maupun ambang persentase kepuasan mahasiswa (R1: &gt;75%). REKOMENDASI: tetapkan target frekuensi kegiatan suasana akademik (disarankan minimal setiap 2 bulan sebagai titik tengah R1-R2) dan ambang kepuasan mahasiswa &gt;=75% pada IKU. Sebaliknya, ketentuan FTII mengenai Satgas PPKS (merujuk Permendikbudristek No.55/2024) TIDAK memiliki padanan eksplisit pada R1, R2, R3, maupun R5 (regulasi lebih lama) - ini merupakan NILAI LEBIH FTII yang mencerminkan kepatuhan pada regulasi nasional terbaru dan sebaiknya dipertahankan serta didokumentasikan sebagai praktik baik.</w:t>
      </w:r>
    </w:p>
    <w:p/>
    <w:p>
      <w:pPr>
        <w:pStyle w:val="Heading2"/>
      </w:pPr>
      <w:r>
        <w:t>Tema 11. Pengelolaan Pembelajaran, Pelaporan PD DIKTI, dan Siklus Monev-AMI-PPEPP</w:t>
      </w:r>
    </w:p>
    <w:p>
      <w:r>
        <w:rPr>
          <w:b w:val="0"/>
          <w:i w:val="0"/>
        </w:rPr>
        <w:t>Ketentuan FTII UNISBANK: FTII wajib melaksanakan pelaporan PD DIKTI lengkap dan tepat waktu setiap semester, monitoring dan evaluasi pembelajaran secara berkala (dirinci "paling sedikit dua kali setiap semester" dalam bagian Strategi Pencapaian), Audit Mutu Internal (AMI), Rencana Tindak Lanjut (RTL), dan siklus PPEPP.</w:t>
      </w:r>
    </w:p>
    <w:tbl>
      <w:tblPr>
        <w:tblStyle w:val="LightGrid-Accent1"/>
        <w:tblW w:type="auto" w:w="0"/>
        <w:tblLook w:firstColumn="1" w:firstRow="1" w:lastColumn="0" w:lastRow="0" w:noHBand="0" w:noVBand="1" w:val="04A0"/>
      </w:tblPr>
      <w:tblGrid>
        <w:gridCol w:w="4320"/>
        <w:gridCol w:w="4320"/>
      </w:tblGrid>
      <w:tr>
        <w:tc>
          <w:tcPr>
            <w:tcW w:type="dxa" w:w="4320"/>
          </w:tcPr>
          <w:p>
            <w:r>
              <w:rPr>
                <w:b/>
              </w:rPr>
              <w:t>Dokumen Rujukan</w:t>
            </w:r>
          </w:p>
        </w:tc>
        <w:tc>
          <w:tcPr>
            <w:tcW w:type="dxa" w:w="4320"/>
          </w:tcPr>
          <w:p>
            <w:r>
              <w:rPr>
                <w:b/>
              </w:rPr>
              <w:t>Ketentuan / Indikator Terkait</w:t>
            </w:r>
          </w:p>
        </w:tc>
      </w:tr>
      <w:tr>
        <w:tc>
          <w:tcPr>
            <w:tcW w:type="dxa" w:w="4320"/>
          </w:tcPr>
          <w:p>
            <w:r>
              <w:t>R1</w:t>
            </w:r>
          </w:p>
        </w:tc>
        <w:tc>
          <w:tcPr>
            <w:tcW w:type="dxa" w:w="4320"/>
          </w:tcPr>
          <w:p>
            <w:r>
              <w:t>Butir 6.4.1 (nomor duplikat 6.13 pada dokumen): monev proses pembelajaran skor 4 jika dilakukan secara periodik, konsisten, ditindaklanjuti, dan sistem monev dilakukan secara daring/online.</w:t>
            </w:r>
          </w:p>
        </w:tc>
      </w:tr>
      <w:tr>
        <w:tc>
          <w:tcPr>
            <w:tcW w:type="dxa" w:w="4320"/>
          </w:tcPr>
          <w:p>
            <w:r>
              <w:t>R5 (R5 - Buku Standar Pengelolaan Pembelajaran)</w:t>
            </w:r>
          </w:p>
        </w:tc>
        <w:tc>
          <w:tcPr>
            <w:tcW w:type="dxa" w:w="4320"/>
          </w:tcPr>
          <w:p>
            <w:r>
              <w:t>Bab 5: fakultas wajib memiliki dokumen formal perencanaan/pelaksanaan/evaluasi pembelajaran, Renstra/Renop tingkat universitas dan fakultas, laporan kinerja program studi setiap semester melalui PD DIKTI, dan sistem informasi untuk pengukuran capaian standar - pola SELARAS PENUH dengan ketentuan FTII.</w:t>
            </w:r>
          </w:p>
        </w:tc>
      </w:tr>
      <w:tr>
        <w:tc>
          <w:tcPr>
            <w:tcW w:type="dxa" w:w="4320"/>
          </w:tcPr>
          <w:p>
            <w:r>
              <w:t>R2, R3, R4</w:t>
            </w:r>
          </w:p>
        </w:tc>
        <w:tc>
          <w:tcPr>
            <w:tcW w:type="dxa" w:w="4320"/>
          </w:tcPr>
          <w:p>
            <w:r>
              <w:t>Ketentuan monitoring-evaluasi-AMI-PPEPP bersifat umum dan konsisten di seluruh sistem SPMI perguruan tinggi Indonesia (mengikuti Permendikbudristek No.53/2023), tidak diekstrak secara rinci per butir spesifik proses pendidikan pada dokumen-dokumen ini karena mekanismenya bersifat lintas-standar (dibahas tuntas dalam kriteria "Sistem Penjaminan Mutu" pada pemetaan dokumen sebelumnya, Tema 14 standarkomptensilulusan.docx).</w:t>
            </w:r>
          </w:p>
        </w:tc>
      </w:tr>
    </w:tbl>
    <w:p/>
    <w:p>
      <w:r>
        <w:rPr>
          <w:b/>
        </w:rPr>
        <w:t xml:space="preserve">Analisis Kesesuaian: </w:t>
      </w:r>
      <w:r>
        <w:t>SELARAS PENUH - Pola pelaporan PD DIKTI, monev berkala, AMI, dan PPEPP FTII konsisten dengan R1 dan R5, serta merupakan praktik universal SPMI perguruan tinggi di Indonesia. Rekomendasi kecil: naikkan indikator "Terlaksana monev pembelajaran" dari IKU (saat ini kualitatif) menjadi eksplisit "minimal 2 kali per semester" (sudah disebut di Strategi Pencapaian FTII) agar konsisten dan terukur di level IKU, bukan hanya di narasi strategi.</w:t>
      </w:r>
    </w:p>
    <w:p/>
    <w:p>
      <w:pPr>
        <w:pStyle w:val="Heading1"/>
      </w:pPr>
      <w:r>
        <w:t>C. Ringkasan Kesesuaian Target Kuantitatif</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Indikator</w:t>
            </w:r>
          </w:p>
        </w:tc>
        <w:tc>
          <w:tcPr>
            <w:tcW w:type="dxa" w:w="1440"/>
          </w:tcPr>
          <w:p>
            <w:r>
              <w:rPr>
                <w:b/>
              </w:rPr>
              <w:t>Target FTII (2026/27)</w:t>
            </w:r>
          </w:p>
        </w:tc>
        <w:tc>
          <w:tcPr>
            <w:tcW w:type="dxa" w:w="1440"/>
          </w:tcPr>
          <w:p>
            <w:r>
              <w:rPr>
                <w:b/>
              </w:rPr>
              <w:t>Ambang R1 (R1, skor 4)</w:t>
            </w:r>
          </w:p>
        </w:tc>
        <w:tc>
          <w:tcPr>
            <w:tcW w:type="dxa" w:w="1440"/>
          </w:tcPr>
          <w:p>
            <w:r>
              <w:rPr>
                <w:b/>
              </w:rPr>
              <w:t>Ambang R2 (LAM Teknik, skor 4)</w:t>
            </w:r>
          </w:p>
        </w:tc>
        <w:tc>
          <w:tcPr>
            <w:tcW w:type="dxa" w:w="1440"/>
          </w:tcPr>
          <w:p>
            <w:r>
              <w:rPr>
                <w:b/>
              </w:rPr>
              <w:t>Ambang R5</w:t>
            </w:r>
          </w:p>
        </w:tc>
        <w:tc>
          <w:tcPr>
            <w:tcW w:type="dxa" w:w="1440"/>
          </w:tcPr>
          <w:p>
            <w:r>
              <w:rPr>
                <w:b/>
              </w:rPr>
              <w:t>Status</w:t>
            </w:r>
          </w:p>
        </w:tc>
      </w:tr>
      <w:tr>
        <w:tc>
          <w:tcPr>
            <w:tcW w:type="dxa" w:w="1440"/>
          </w:tcPr>
          <w:p>
            <w:r>
              <w:t>Pembelajaran Inovatif (PBL/CBL/micro-credential/RPL)</w:t>
            </w:r>
          </w:p>
        </w:tc>
        <w:tc>
          <w:tcPr>
            <w:tcW w:type="dxa" w:w="1440"/>
          </w:tcPr>
          <w:p>
            <w:r>
              <w:t>78%</w:t>
            </w:r>
          </w:p>
        </w:tc>
        <w:tc>
          <w:tcPr>
            <w:tcW w:type="dxa" w:w="1440"/>
          </w:tcPr>
          <w:p>
            <w:r>
              <w:t>75%-100% MK</w:t>
            </w:r>
          </w:p>
        </w:tc>
        <w:tc>
          <w:tcPr>
            <w:tcW w:type="dxa" w:w="1440"/>
          </w:tcPr>
          <w:p>
            <w:r>
              <w:t>tidak ditemukan eksplisit</w:t>
            </w:r>
          </w:p>
        </w:tc>
        <w:tc>
          <w:tcPr>
            <w:tcW w:type="dxa" w:w="1440"/>
          </w:tcPr>
          <w:p>
            <w:r>
              <w:t>minimal 70% MK</w:t>
            </w:r>
          </w:p>
        </w:tc>
        <w:tc>
          <w:tcPr>
            <w:tcW w:type="dxa" w:w="1440"/>
          </w:tcPr>
          <w:p>
            <w:r>
              <w:t>Selaras/melampaui</w:t>
            </w:r>
          </w:p>
        </w:tc>
      </w:tr>
      <w:tr>
        <w:tc>
          <w:tcPr>
            <w:tcW w:type="dxa" w:w="1440"/>
          </w:tcPr>
          <w:p>
            <w:r>
              <w:t>Mahasiswa mengikuti micro-credential</w:t>
            </w:r>
          </w:p>
        </w:tc>
        <w:tc>
          <w:tcPr>
            <w:tcW w:type="dxa" w:w="1440"/>
          </w:tcPr>
          <w:p>
            <w:r>
              <w:t>15%</w:t>
            </w:r>
          </w:p>
        </w:tc>
        <w:tc>
          <w:tcPr>
            <w:tcW w:type="dxa" w:w="1440"/>
          </w:tcPr>
          <w:p>
            <w:r>
              <w:t>tidak ditemukan</w:t>
            </w:r>
          </w:p>
        </w:tc>
        <w:tc>
          <w:tcPr>
            <w:tcW w:type="dxa" w:w="1440"/>
          </w:tcPr>
          <w:p>
            <w:r>
              <w:t>tidak ditemukan</w:t>
            </w:r>
          </w:p>
        </w:tc>
        <w:tc>
          <w:tcPr>
            <w:tcW w:type="dxa" w:w="1440"/>
          </w:tcPr>
          <w:p>
            <w:r>
              <w:t>tidak ditemukan</w:t>
            </w:r>
          </w:p>
        </w:tc>
        <w:tc>
          <w:tcPr>
            <w:tcW w:type="dxa" w:w="1440"/>
          </w:tcPr>
          <w:p>
            <w:r>
              <w:t>Tidak dapat dibandingkan</w:t>
            </w:r>
          </w:p>
        </w:tc>
      </w:tr>
      <w:tr>
        <w:tc>
          <w:tcPr>
            <w:tcW w:type="dxa" w:w="1440"/>
          </w:tcPr>
          <w:p>
            <w:r>
              <w:t>Integrasi Penelitian/PkM ke Mata Kuliah</w:t>
            </w:r>
          </w:p>
        </w:tc>
        <w:tc>
          <w:tcPr>
            <w:tcW w:type="dxa" w:w="1440"/>
          </w:tcPr>
          <w:p>
            <w:r>
              <w:t>25% dari seluruh MK</w:t>
            </w:r>
          </w:p>
        </w:tc>
        <w:tc>
          <w:tcPr>
            <w:tcW w:type="dxa" w:w="1440"/>
          </w:tcPr>
          <w:p>
            <w:r>
              <w:t>&gt;3 MK (absolut)</w:t>
            </w:r>
          </w:p>
        </w:tc>
        <w:tc>
          <w:tcPr>
            <w:tcW w:type="dxa" w:w="1440"/>
          </w:tcPr>
          <w:p>
            <w:r>
              <w:t>minimal 10% MK inti</w:t>
            </w:r>
          </w:p>
        </w:tc>
        <w:tc>
          <w:tcPr>
            <w:tcW w:type="dxa" w:w="1440"/>
          </w:tcPr>
          <w:p>
            <w:r>
              <w:t>&gt;=4 MK per kategori (absolut)</w:t>
            </w:r>
          </w:p>
        </w:tc>
        <w:tc>
          <w:tcPr>
            <w:tcW w:type="dxa" w:w="1440"/>
          </w:tcPr>
          <w:p>
            <w:r>
              <w:t>Melampaui R2; beda satuan dgn R1/R5</w:t>
            </w:r>
          </w:p>
        </w:tc>
      </w:tr>
      <w:tr>
        <w:tc>
          <w:tcPr>
            <w:tcW w:type="dxa" w:w="1440"/>
          </w:tcPr>
          <w:p>
            <w:r>
              <w:t>Beban Belajar Program Sarjana</w:t>
            </w:r>
          </w:p>
        </w:tc>
        <w:tc>
          <w:tcPr>
            <w:tcW w:type="dxa" w:w="1440"/>
          </w:tcPr>
          <w:p>
            <w:r>
              <w:t>minimal 146 SKS</w:t>
            </w:r>
          </w:p>
        </w:tc>
        <w:tc>
          <w:tcPr>
            <w:tcW w:type="dxa" w:w="1440"/>
          </w:tcPr>
          <w:p>
            <w:r>
              <w:t>tidak eksplisit</w:t>
            </w:r>
          </w:p>
        </w:tc>
        <w:tc>
          <w:tcPr>
            <w:tcW w:type="dxa" w:w="1440"/>
          </w:tcPr>
          <w:p>
            <w:r>
              <w:t>tidak ditemukan</w:t>
            </w:r>
          </w:p>
        </w:tc>
        <w:tc>
          <w:tcPr>
            <w:tcW w:type="dxa" w:w="1440"/>
          </w:tcPr>
          <w:p>
            <w:r>
              <w:t>minimal 144 SKS</w:t>
            </w:r>
          </w:p>
        </w:tc>
        <w:tc>
          <w:tcPr>
            <w:tcW w:type="dxa" w:w="1440"/>
          </w:tcPr>
          <w:p>
            <w:r>
              <w:t>Melampaui R5</w:t>
            </w:r>
          </w:p>
        </w:tc>
      </w:tr>
      <w:tr>
        <w:tc>
          <w:tcPr>
            <w:tcW w:type="dxa" w:w="1440"/>
          </w:tcPr>
          <w:p>
            <w:r>
              <w:t>Jumlah Minimal Pertemuan per Semester</w:t>
            </w:r>
          </w:p>
        </w:tc>
        <w:tc>
          <w:tcPr>
            <w:tcW w:type="dxa" w:w="1440"/>
          </w:tcPr>
          <w:p>
            <w:r>
              <w:t>16 kali</w:t>
            </w:r>
          </w:p>
        </w:tc>
        <w:tc>
          <w:tcPr>
            <w:tcW w:type="dxa" w:w="1440"/>
          </w:tcPr>
          <w:p>
            <w:r>
              <w:t>sesuai alokasi waktu (implisit)</w:t>
            </w:r>
          </w:p>
        </w:tc>
        <w:tc>
          <w:tcPr>
            <w:tcW w:type="dxa" w:w="1440"/>
          </w:tcPr>
          <w:p>
            <w:r>
              <w:t>tidak ditemukan</w:t>
            </w:r>
          </w:p>
        </w:tc>
        <w:tc>
          <w:tcPr>
            <w:tcW w:type="dxa" w:w="1440"/>
          </w:tcPr>
          <w:p>
            <w:r>
              <w:t>16 minggu (identik)</w:t>
            </w:r>
          </w:p>
        </w:tc>
        <w:tc>
          <w:tcPr>
            <w:tcW w:type="dxa" w:w="1440"/>
          </w:tcPr>
          <w:p>
            <w:r>
              <w:t>Selaras penuh</w:t>
            </w:r>
          </w:p>
        </w:tc>
      </w:tr>
      <w:tr>
        <w:tc>
          <w:tcPr>
            <w:tcW w:type="dxa" w:w="1440"/>
          </w:tcPr>
          <w:p>
            <w:r>
              <w:t>Persentase Jam Pembelajaran Praktik (PJP)</w:t>
            </w:r>
          </w:p>
        </w:tc>
        <w:tc>
          <w:tcPr>
            <w:tcW w:type="dxa" w:w="1440"/>
          </w:tcPr>
          <w:p>
            <w:r>
              <w:t>tidak ada target eksplisit</w:t>
            </w:r>
          </w:p>
        </w:tc>
        <w:tc>
          <w:tcPr>
            <w:tcW w:type="dxa" w:w="1440"/>
          </w:tcPr>
          <w:p>
            <w:r>
              <w:t>20%-50%</w:t>
            </w:r>
          </w:p>
        </w:tc>
        <w:tc>
          <w:tcPr>
            <w:tcW w:type="dxa" w:w="1440"/>
          </w:tcPr>
          <w:p>
            <w:r>
              <w:t>20%-50%</w:t>
            </w:r>
          </w:p>
        </w:tc>
        <w:tc>
          <w:tcPr>
            <w:tcW w:type="dxa" w:w="1440"/>
          </w:tcPr>
          <w:p>
            <w:r>
              <w:t>tidak ditemukan</w:t>
            </w:r>
          </w:p>
        </w:tc>
        <w:tc>
          <w:tcPr>
            <w:tcW w:type="dxa" w:w="1440"/>
          </w:tcPr>
          <w:p>
            <w:r>
              <w:t>Gap (khusus konteks LAM Teknik)</w:t>
            </w:r>
          </w:p>
        </w:tc>
      </w:tr>
      <w:tr>
        <w:tc>
          <w:tcPr>
            <w:tcW w:type="dxa" w:w="1440"/>
          </w:tcPr>
          <w:p>
            <w:r>
              <w:t>Persentase SKS diakui via RPL</w:t>
            </w:r>
          </w:p>
        </w:tc>
        <w:tc>
          <w:tcPr>
            <w:tcW w:type="dxa" w:w="1440"/>
          </w:tcPr>
          <w:p>
            <w:r>
              <w:t>tidak ada target eksplisit</w:t>
            </w:r>
          </w:p>
        </w:tc>
        <w:tc>
          <w:tcPr>
            <w:tcW w:type="dxa" w:w="1440"/>
          </w:tcPr>
          <w:p>
            <w:r>
              <w:t>tidak ditemukan</w:t>
            </w:r>
          </w:p>
        </w:tc>
        <w:tc>
          <w:tcPr>
            <w:tcW w:type="dxa" w:w="1440"/>
          </w:tcPr>
          <w:p>
            <w:r>
              <w:t>tidak ditemukan</w:t>
            </w:r>
          </w:p>
        </w:tc>
        <w:tc>
          <w:tcPr>
            <w:tcW w:type="dxa" w:w="1440"/>
          </w:tcPr>
          <w:p>
            <w:r>
              <w:t>maksimal 70%</w:t>
            </w:r>
          </w:p>
        </w:tc>
        <w:tc>
          <w:tcPr>
            <w:tcW w:type="dxa" w:w="1440"/>
          </w:tcPr>
          <w:p>
            <w:r>
              <w:t>Gap</w:t>
            </w:r>
          </w:p>
        </w:tc>
      </w:tr>
      <w:tr>
        <w:tc>
          <w:tcPr>
            <w:tcW w:type="dxa" w:w="1440"/>
          </w:tcPr>
          <w:p>
            <w:r>
              <w:t>Kelulusan Tepat Waktu</w:t>
            </w:r>
          </w:p>
        </w:tc>
        <w:tc>
          <w:tcPr>
            <w:tcW w:type="dxa" w:w="1440"/>
          </w:tcPr>
          <w:p>
            <w:r>
              <w:t>60% (namun 50% pada 2023/24)</w:t>
            </w:r>
          </w:p>
        </w:tc>
        <w:tc>
          <w:tcPr>
            <w:tcW w:type="dxa" w:w="1440"/>
          </w:tcPr>
          <w:p>
            <w:r>
              <w:t>tidak ditemukan</w:t>
            </w:r>
          </w:p>
        </w:tc>
        <w:tc>
          <w:tcPr>
            <w:tcW w:type="dxa" w:w="1440"/>
          </w:tcPr>
          <w:p>
            <w:r>
              <w:t>minimal 50%</w:t>
            </w:r>
          </w:p>
        </w:tc>
        <w:tc>
          <w:tcPr>
            <w:tcW w:type="dxa" w:w="1440"/>
          </w:tcPr>
          <w:p>
            <w:r>
              <w:t>minimal 50%</w:t>
            </w:r>
          </w:p>
        </w:tc>
        <w:tc>
          <w:tcPr>
            <w:tcW w:type="dxa" w:w="1440"/>
          </w:tcPr>
          <w:p>
            <w:r>
              <w:t>Selaras/melampaui, TAPI tidak konsisten dgn draft Luaran Pendidikan (55%)</w:t>
            </w:r>
          </w:p>
        </w:tc>
      </w:tr>
      <w:tr>
        <w:tc>
          <w:tcPr>
            <w:tcW w:type="dxa" w:w="1440"/>
          </w:tcPr>
          <w:p>
            <w:r>
              <w:t>Frekuensi Kegiatan Suasana Akademik</w:t>
            </w:r>
          </w:p>
        </w:tc>
        <w:tc>
          <w:tcPr>
            <w:tcW w:type="dxa" w:w="1440"/>
          </w:tcPr>
          <w:p>
            <w:r>
              <w:t>tidak ada target frekuensi eksplisit</w:t>
            </w:r>
          </w:p>
        </w:tc>
        <w:tc>
          <w:tcPr>
            <w:tcW w:type="dxa" w:w="1440"/>
          </w:tcPr>
          <w:p>
            <w:r>
              <w:t>setiap bulan</w:t>
            </w:r>
          </w:p>
        </w:tc>
        <w:tc>
          <w:tcPr>
            <w:tcW w:type="dxa" w:w="1440"/>
          </w:tcPr>
          <w:p>
            <w:r>
              <w:t>setiap 1-2 bulan</w:t>
            </w:r>
          </w:p>
        </w:tc>
        <w:tc>
          <w:tcPr>
            <w:tcW w:type="dxa" w:w="1440"/>
          </w:tcPr>
          <w:p>
            <w:r>
              <w:t>setiap 3 bulan</w:t>
            </w:r>
          </w:p>
        </w:tc>
        <w:tc>
          <w:tcPr>
            <w:tcW w:type="dxa" w:w="1440"/>
          </w:tcPr>
          <w:p>
            <w:r>
              <w:t>Gap</w:t>
            </w:r>
          </w:p>
        </w:tc>
      </w:tr>
      <w:tr>
        <w:tc>
          <w:tcPr>
            <w:tcW w:type="dxa" w:w="1440"/>
          </w:tcPr>
          <w:p>
            <w:r>
              <w:t>Kepuasan Mahasiswa terhadap Proses Pendidikan</w:t>
            </w:r>
          </w:p>
        </w:tc>
        <w:tc>
          <w:tcPr>
            <w:tcW w:type="dxa" w:w="1440"/>
          </w:tcPr>
          <w:p>
            <w:r>
              <w:t>tidak ada ambang % eksplisit</w:t>
            </w:r>
          </w:p>
        </w:tc>
        <w:tc>
          <w:tcPr>
            <w:tcW w:type="dxa" w:w="1440"/>
          </w:tcPr>
          <w:p>
            <w:r>
              <w:t>&gt;75%</w:t>
            </w:r>
          </w:p>
        </w:tc>
        <w:tc>
          <w:tcPr>
            <w:tcW w:type="dxa" w:w="1440"/>
          </w:tcPr>
          <w:p>
            <w:r>
              <w:t>tidak ditemukan ambang %</w:t>
            </w:r>
          </w:p>
        </w:tc>
        <w:tc>
          <w:tcPr>
            <w:tcW w:type="dxa" w:w="1440"/>
          </w:tcPr>
          <w:p>
            <w:r>
              <w:t>tidak ditemukan ambang %</w:t>
            </w:r>
          </w:p>
        </w:tc>
        <w:tc>
          <w:tcPr>
            <w:tcW w:type="dxa" w:w="1440"/>
          </w:tcPr>
          <w:p>
            <w:r>
              <w:t>Gap</w:t>
            </w:r>
          </w:p>
        </w:tc>
      </w:tr>
      <w:tr>
        <w:tc>
          <w:tcPr>
            <w:tcW w:type="dxa" w:w="1440"/>
          </w:tcPr>
          <w:p>
            <w:r>
              <w:t>Persentase Mata Kuliah dengan Dokumentasi Penilaian Lengkap</w:t>
            </w:r>
          </w:p>
        </w:tc>
        <w:tc>
          <w:tcPr>
            <w:tcW w:type="dxa" w:w="1440"/>
          </w:tcPr>
          <w:p>
            <w:r>
              <w:t>tidak ada target eksplisit</w:t>
            </w:r>
          </w:p>
        </w:tc>
        <w:tc>
          <w:tcPr>
            <w:tcW w:type="dxa" w:w="1440"/>
          </w:tcPr>
          <w:p>
            <w:r>
              <w:t>75%-100%</w:t>
            </w:r>
          </w:p>
        </w:tc>
        <w:tc>
          <w:tcPr>
            <w:tcW w:type="dxa" w:w="1440"/>
          </w:tcPr>
          <w:p>
            <w:r>
              <w:t>tidak ditemukan</w:t>
            </w:r>
          </w:p>
        </w:tc>
        <w:tc>
          <w:tcPr>
            <w:tcW w:type="dxa" w:w="1440"/>
          </w:tcPr>
          <w:p>
            <w:r>
              <w:t>tidak ditemukan</w:t>
            </w:r>
          </w:p>
        </w:tc>
        <w:tc>
          <w:tcPr>
            <w:tcW w:type="dxa" w:w="1440"/>
          </w:tcPr>
          <w:p>
            <w:r>
              <w:t>Gap</w:t>
            </w:r>
          </w:p>
        </w:tc>
      </w:tr>
      <w:tr>
        <w:tc>
          <w:tcPr>
            <w:tcW w:type="dxa" w:w="1440"/>
          </w:tcPr>
          <w:p>
            <w:r>
              <w:t>Tenggat Pengumuman Nilai</w:t>
            </w:r>
          </w:p>
        </w:tc>
        <w:tc>
          <w:tcPr>
            <w:tcW w:type="dxa" w:w="1440"/>
          </w:tcPr>
          <w:p>
            <w:r>
              <w:t>maksimal 2 minggu</w:t>
            </w:r>
          </w:p>
        </w:tc>
        <w:tc>
          <w:tcPr>
            <w:tcW w:type="dxa" w:w="1440"/>
          </w:tcPr>
          <w:p>
            <w:r>
              <w:t>tidak ditemukan</w:t>
            </w:r>
          </w:p>
        </w:tc>
        <w:tc>
          <w:tcPr>
            <w:tcW w:type="dxa" w:w="1440"/>
          </w:tcPr>
          <w:p>
            <w:r>
              <w:t>tidak ditemukan</w:t>
            </w:r>
          </w:p>
        </w:tc>
        <w:tc>
          <w:tcPr>
            <w:tcW w:type="dxa" w:w="1440"/>
          </w:tcPr>
          <w:p>
            <w:r>
              <w:t>maksimal 1 minggu</w:t>
            </w:r>
          </w:p>
        </w:tc>
        <w:tc>
          <w:tcPr>
            <w:tcW w:type="dxa" w:w="1440"/>
          </w:tcPr>
          <w:p>
            <w:r>
              <w:t>Lebih longgar dari R5</w:t>
            </w:r>
          </w:p>
        </w:tc>
      </w:tr>
    </w:tbl>
    <w:p/>
    <w:p>
      <w:pPr>
        <w:pStyle w:val="Heading1"/>
      </w:pPr>
      <w:r>
        <w:t>D. Kesimpulan dan Rekomendasi</w:t>
      </w:r>
    </w:p>
    <w:p>
      <w:r>
        <w:rPr>
          <w:b w:val="0"/>
          <w:i w:val="0"/>
        </w:rPr>
        <w:t>Kesimpulan Umum: Dokumen Standar Proses Pendidikan FTII UNISBANK secara struktural dan substansial SUDAH SELARAS dengan kelima dokumen rujukan (Panduan SPMI Program Sarjana (R1), LAM Teknik, LAM INFOKOM, SPMI fakultas sejenis (R4), dan seri Buku Standar R5), khususnya pada aspek kurikulum berbasis OBE, target pembelajaran inovatif (PBL/CBL) yang bahkan identik/melampaui ambang tertinggi rujukan, beban belajar dan jumlah pertemuan, integrasi penelitian/PkM ke pembelajaran, kelulusan tepat waktu, serta mekanisme pengelolaan-monev-AMI-PPEPP. Beberapa area memerlukan penambahan indikator kuantitatif atau perincian lebih lanjut sebagaimana dirinci berikut.</w:t>
      </w:r>
    </w:p>
    <w:p>
      <w:pPr>
        <w:pStyle w:val="ListNumber"/>
      </w:pPr>
      <w:r>
        <w:t>PRIORITAS TINGGI: Sinkronkan angka target Kelulusan Tepat Waktu antara draft Standar Proses Pendidikan (50% pada 2023/24) dan draft Standar Luaran Pendidikan (55% pada 2023/24) untuk indikator yang identik, sebelum kedua dokumen ditetapkan oleh Rektor, agar tidak menimbulkan ambiguitas dalam pelaporan LED/LKPS (Tema 9).</w:t>
      </w:r>
    </w:p>
    <w:p>
      <w:pPr>
        <w:pStyle w:val="ListNumber"/>
      </w:pPr>
      <w:r>
        <w:t>Tambahkan indikator kuantitatif Recognition of Prior Learning (RPL) berupa persentase maksimal SKS yang dapat diakui melalui RPL (disarankan mengacu ambang R5: maksimal 70% dari total SKS program studi) dan target jumlah mahasiswa pemanfaat RPL per tahun (Tema 7).</w:t>
      </w:r>
    </w:p>
    <w:p>
      <w:pPr>
        <w:pStyle w:val="ListNumber"/>
      </w:pPr>
      <w:r>
        <w:t>Tetapkan target frekuensi baku kegiatan peningkatan suasana akademik (disarankan minimal setiap 2 bulan, mengacu titik tengah antara ambang R1/bulanan dan LAM Teknik/1-2 bulanan) serta ambang persentase kepuasan mahasiswa terhadap proses pendidikan minimal 75% (mengacu R1), dan cantumkan keduanya sebagai IKU eksplisit, bukan hanya "Tersedia" (Tema 10).</w:t>
      </w:r>
    </w:p>
    <w:p>
      <w:pPr>
        <w:pStyle w:val="ListNumber"/>
      </w:pPr>
      <w:r>
        <w:t>Perinci secara eksplisit checklist dokumen perencanaan MBKM (6 jenis dokumen: kebijakan, kurikulum MBKM, MoU mitra, panduan dosen, panduan mahasiswa, panduan admin/monev - mengacu R1) dan 4 aspek monev pelaksanaan MBKM (kesesuaian waktu, kesesuaian bentuk kegiatan dengan konversi MK, bukti logbook, pengukuran CPL hasil MBKM) ke dalam pedoman pelaksanaan MBKM FTII, serta tambahkan IKU persentase mahasiswa yang mengikuti kegiatan MBKM (Tema 6).</w:t>
      </w:r>
    </w:p>
    <w:p>
      <w:pPr>
        <w:pStyle w:val="ListNumber"/>
      </w:pPr>
      <w:r>
        <w:t>Tambahkan indikator persentase mata kuliah dengan dokumentasi penilaian lengkap (bukti/rubrik/portofolio) mengacu ambang skor sempurna R1 (75%-100% mata kuliah), dan pertimbangkan mempercepat tenggat pengumuman nilai dari 2 minggu menjadi 1 minggu mengacu R5, atau sertakan justifikasi tertulis bila tenggat 2 minggu tetap dipertahankan (Tema 8).</w:t>
      </w:r>
    </w:p>
    <w:p>
      <w:pPr>
        <w:pStyle w:val="ListNumber"/>
      </w:pPr>
      <w:r>
        <w:t>Bagi program studi FTII yang relevan dengan lingkup LAM Teknik (rekayasa/industri), pertimbangkan menambahkan target Persentase Jam Pembelajaran Praktik (PJP) eksplisit sebesar 20%-50% dari total jam pembelajaran, mengacu formula identik R1 dan LAM Teknik (Tema 5).</w:t>
      </w:r>
    </w:p>
    <w:p>
      <w:pPr>
        <w:pStyle w:val="ListNumber"/>
      </w:pPr>
      <w:r>
        <w:t>Pertahankan dan dokumentasikan secara eksplisit target pembelajaran inovatif PBL/CBL/micro-credential/RPL (70% naik ke 78%) sebagai praktik baik, karena target ini identik dengan ambang minimal R5 (70%) dan berada dalam rentang skor sempurna R1 (75%-100%) pada tahun-tahun akhir periode (Tema 2).</w:t>
      </w:r>
    </w:p>
    <w:p>
      <w:pPr>
        <w:pStyle w:val="ListNumber"/>
      </w:pPr>
      <w:r>
        <w:t>Lengkapi laporan akreditasi dengan konversi indikator "integrasi penelitian/PkM ke mata kuliah" dari persentase (20%-25% seluruh mata kuliah) menjadi juga angka absolut per kategori (penelitian dan PkM terpisah), agar dapat diverifikasi langsung terhadap ambang R1 (&gt;3 MK) dan R5 (&gt;=4 MK per kategori) (Tema 3).</w:t>
      </w:r>
    </w:p>
    <w:p>
      <w:pPr>
        <w:pStyle w:val="ListNumber"/>
      </w:pPr>
      <w:r>
        <w:t>Pertahankan ketentuan Satgas Pencegahan dan Penanganan Kekerasan Seksual (PPKS) yang merujuk Permendikbudristek No.55/2024, karena hal ini merupakan nilai tambah FTII dibanding kelima dokumen rujukan yang disusun sebelum atau tanpa merujuk regulasi tersebut secara eksplisit (Tema 10).</w:t>
      </w:r>
    </w:p>
    <w:p/>
    <w:p>
      <w:pPr>
        <w:jc w:val="left"/>
      </w:pPr>
      <w:r>
        <w:rPr>
          <w:i/>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