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PEMETAAN STANDAR PROSES PENELITIAN</w:t>
      </w:r>
    </w:p>
    <w:p>
      <w:r>
        <w:t>Fakultas Teknologi Informasi dan Industri (FTII) UNISBANK terhadap 5 Dokumen Rujukan Eksternal</w:t>
      </w:r>
    </w:p>
    <w:p>
      <w:pPr>
        <w:pStyle w:val="Heading1"/>
      </w:pPr>
      <w:r>
        <w:t>A. Dokumen yang Dibandingkan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Kode</w:t>
            </w:r>
          </w:p>
        </w:tc>
        <w:tc>
          <w:tcPr>
            <w:tcW w:type="dxa" w:w="2880"/>
          </w:tcPr>
          <w:p>
            <w:r>
              <w:t>Dokumen</w:t>
            </w:r>
          </w:p>
        </w:tc>
        <w:tc>
          <w:tcPr>
            <w:tcW w:type="dxa" w:w="2880"/>
          </w:tcPr>
          <w:p>
            <w:r>
              <w:t>Sumber / Institusi</w:t>
            </w:r>
          </w:p>
        </w:tc>
      </w:tr>
      <w:tr>
        <w:tc>
          <w:tcPr>
            <w:tcW w:type="dxa" w:w="2880"/>
          </w:tcPr>
          <w:p>
            <w:r>
              <w:t>FTII</w:t>
            </w:r>
          </w:p>
        </w:tc>
        <w:tc>
          <w:tcPr>
            <w:tcW w:type="dxa" w:w="2880"/>
          </w:tcPr>
          <w:p>
            <w:r>
              <w:t>Draft Standar Proses Penelitian FTII UNISBANK</w:t>
            </w:r>
          </w:p>
        </w:tc>
        <w:tc>
          <w:tcPr>
            <w:tcW w:type="dxa" w:w="2880"/>
          </w:tcPr>
          <w:p>
            <w:r>
              <w:t>Fakultas Teknologi Informasi dan Industri, Universitas Stikubank (UNISBANK) Semarang — dokumen yang dipetakan</w:t>
            </w:r>
          </w:p>
        </w:tc>
      </w:tr>
      <w:tr>
        <w:tc>
          <w:tcPr>
            <w:tcW w:type="dxa" w:w="2880"/>
          </w:tcPr>
          <w:p>
            <w:r>
              <w:t>R1</w:t>
            </w:r>
          </w:p>
        </w:tc>
        <w:tc>
          <w:tcPr>
            <w:tcW w:type="dxa" w:w="2880"/>
          </w:tcPr>
          <w:p>
            <w:r>
              <w:t>Dokumen Panduan SPMI Program Sarjana dan Sarjana Terapan - 2024, Standar 7: Penelitian (butir 7.1-7.3)</w:t>
            </w:r>
          </w:p>
        </w:tc>
        <w:tc>
          <w:tcPr>
            <w:tcW w:type="dxa" w:w="2880"/>
          </w:tcPr>
          <w:p>
            <w:r>
              <w:t>perguruan tinggi rujukan R1</w:t>
            </w:r>
          </w:p>
        </w:tc>
      </w:tr>
      <w:tr>
        <w:tc>
          <w:tcPr>
            <w:tcW w:type="dxa" w:w="2880"/>
          </w:tcPr>
          <w:p>
            <w:r>
              <w:t>R2</w:t>
            </w:r>
          </w:p>
        </w:tc>
        <w:tc>
          <w:tcPr>
            <w:tcW w:type="dxa" w:w="2880"/>
          </w:tcPr>
          <w:p>
            <w:r>
              <w:t>Matriks Penilaian Laporan Evaluasi Diri dan Laporan Kinerja Program Studi - Program Sarjana (APS-AV 2025 1.0), butir No.10, 22, 23, 31</w:t>
            </w:r>
          </w:p>
        </w:tc>
        <w:tc>
          <w:tcPr>
            <w:tcW w:type="dxa" w:w="2880"/>
          </w:tcPr>
          <w:p>
            <w:r>
              <w:t>Lembaga Akreditasi Mandiri Teknik (LAM Teknik)</w:t>
            </w:r>
          </w:p>
        </w:tc>
      </w:tr>
      <w:tr>
        <w:tc>
          <w:tcPr>
            <w:tcW w:type="dxa" w:w="2880"/>
          </w:tcPr>
          <w:p>
            <w:r>
              <w:t>R3</w:t>
            </w:r>
          </w:p>
        </w:tc>
        <w:tc>
          <w:tcPr>
            <w:tcW w:type="dxa" w:w="2880"/>
          </w:tcPr>
          <w:p>
            <w:r>
              <w:t>Standar untuk Memperoleh Status Terakreditasi Unggul bagi Program Studi yang Tercakup dalam LAM INFOKOM, Kriteria 3.2/3.3 (butir 36-40)</w:t>
            </w:r>
          </w:p>
        </w:tc>
        <w:tc>
          <w:tcPr>
            <w:tcW w:type="dxa" w:w="2880"/>
          </w:tcPr>
          <w:p>
            <w:r>
              <w:t>Lembaga Akreditasi Mandiri Informatika dan Komputer (LAM INFOKOM) — Lampiran Peraturan BAN-PT No. 39 Tahun 2025</w:t>
            </w:r>
          </w:p>
        </w:tc>
      </w:tr>
      <w:tr>
        <w:tc>
          <w:tcPr>
            <w:tcW w:type="dxa" w:w="2880"/>
          </w:tcPr>
          <w:p>
            <w:r>
              <w:t>R4</w:t>
            </w:r>
          </w:p>
        </w:tc>
        <w:tc>
          <w:tcPr>
            <w:tcW w:type="dxa" w:w="2880"/>
          </w:tcPr>
          <w:p>
            <w:r>
              <w:t>Dokumen SPMI lengkap (171 halaman): Standar Isi Penelitian, Standar Proses Penelitian, Standar Pengelolaan Penelitian</w:t>
            </w:r>
          </w:p>
        </w:tc>
        <w:tc>
          <w:tcPr>
            <w:tcW w:type="dxa" w:w="2880"/>
          </w:tcPr>
          <w:p>
            <w:r>
              <w:t>Dokumen SPMI Fakultas sejenis</w:t>
            </w:r>
          </w:p>
        </w:tc>
      </w:tr>
      <w:tr>
        <w:tc>
          <w:tcPr>
            <w:tcW w:type="dxa" w:w="2880"/>
          </w:tcPr>
          <w:p>
            <w:r>
              <w:t>R5</w:t>
            </w:r>
          </w:p>
        </w:tc>
        <w:tc>
          <w:tcPr>
            <w:tcW w:type="dxa" w:w="2880"/>
          </w:tcPr>
          <w:p>
            <w:r>
              <w:t>Buku Standar Proses Penelitian dan Buku Standar Pengelolaan Penelitian</w:t>
            </w:r>
          </w:p>
        </w:tc>
        <w:tc>
          <w:tcPr>
            <w:tcW w:type="dxa" w:w="2880"/>
          </w:tcPr>
          <w:p>
            <w:r>
              <w:t>perguruan tinggi rujukan R5</w:t>
            </w:r>
          </w:p>
        </w:tc>
      </w:tr>
    </w:tbl>
    <w:p>
      <w:r>
        <w:t>Catatan metodologis: pemetaan disusun berdasarkan ekstraksi teks langsung (pdftotext) dari kelima dokumen rujukan pada bagian/bab yang relevan dengan proses penelitian (perencanaan, pelaksanaan, keterlibatan mahasiswa, etika, kerja sama, monitoring-evaluasi, dan pengelolaan kelembagaan penelitian) — bukan bagian masukan (sarana/SDM/pembiayaan) atau luaran (publikasi/HKI) yang dipetakan pada dokumen terpisah. Kutipan diringkas dari teks asli masing-masing dokumen.</w:t>
      </w:r>
    </w:p>
    <w:p>
      <w:pPr>
        <w:pStyle w:val="Heading1"/>
      </w:pPr>
      <w:r>
        <w:t>B. Pemetaan per Tema Standar</w:t>
      </w:r>
    </w:p>
    <w:p>
      <w:pPr>
        <w:pStyle w:val="Heading2"/>
      </w:pPr>
      <w:r>
        <w:t>Tema 1. Kesesuaian Penelitian dengan Roadmap/Peta Jalan Penelitian dan VMTS</w:t>
      </w:r>
    </w:p>
    <w:p>
      <w:r>
        <w:t>Ketentuan FTII UNISBANK: FTII wajib melaksanakan penelitian sesuai Renstra dan roadmap penelitian universitas/fakultas/prodi. IKU: "Terlaksananya penelitian sesuai roadmap" bersifat kualitatif ("Terlaksana") tanpa ambang persentase, untuk seluruh periode 2023/24-2026/27.</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Butir 7.1: skor 4 jika unit pengelola memenuhi 5 unsur relevansi penelitian (peta jalan yang memayungi agenda penelitian dosen/mahasiswa, kesesuaian topik, pelaksanaan sesuai agenda, evaluasi kesesuaian, dan penggunaan hasil evaluasi untuk perbaikan relevansi).</w:t>
            </w:r>
          </w:p>
        </w:tc>
      </w:tr>
      <w:tr>
        <w:tc>
          <w:tcPr>
            <w:tcW w:type="dxa" w:w="4320"/>
          </w:tcPr>
          <w:p>
            <w:r>
              <w:t>R2 (LAM Teknik)</w:t>
            </w:r>
          </w:p>
        </w:tc>
        <w:tc>
          <w:tcPr>
            <w:tcW w:type="dxa" w:w="4320"/>
          </w:tcPr>
          <w:p>
            <w:r>
              <w:t>Butir No.22: skor 4 jika UPPS memenuhi 4 unsur kesesuaian penelitian dengan VMTS (memiliki peta jalan, peta jalan memayungi tema dosen &amp; mahasiswa, evaluasi berkala keselarasan visi, dan memberikan dampak positif bagi masyarakat); skor turun bertahap 3-2-1-0 sesuai jumlah unsur terpenuhi.</w:t>
            </w:r>
          </w:p>
        </w:tc>
      </w:tr>
      <w:tr>
        <w:tc>
          <w:tcPr>
            <w:tcW w:type="dxa" w:w="4320"/>
          </w:tcPr>
          <w:p>
            <w:r>
              <w:t>R3 (LAM INFOKOM)</w:t>
            </w:r>
          </w:p>
        </w:tc>
        <w:tc>
          <w:tcPr>
            <w:tcW w:type="dxa" w:w="4320"/>
          </w:tcPr>
          <w:p>
            <w:r>
              <w:t>Butir 37 (3.2.B): dinilai dari implementasi peta jalan penelitian, pelibatan mahasiswa berdasar visi-misi PT/UPPS/prodi, dan kebutuhan masyarakat/DUDIKA, dengan deskriptor berjenjang "memenuhi aspek 1 dan 3" hingga "memenuhi aspek 1-3 serta sebagian aspek 2".</w:t>
            </w:r>
          </w:p>
        </w:tc>
      </w:tr>
      <w:tr>
        <w:tc>
          <w:tcPr>
            <w:tcW w:type="dxa" w:w="4320"/>
          </w:tcPr>
          <w:p>
            <w:r>
              <w:t>R4</w:t>
            </w:r>
          </w:p>
        </w:tc>
        <w:tc>
          <w:tcPr>
            <w:tcW w:type="dxa" w:w="4320"/>
          </w:tcPr>
          <w:p>
            <w:r>
              <w:t>Standar Isi Penelitian IKU: persentase program studi/dosen menerapkan Standar Isi Penelitian universitas (≥90% 2023 → 100% 2025-26); persentase program studi/dosen menggunakan RIP universitas sebagai acuan (100% seluruh tahun); persentase penelitian yang selaras dengan peta jalan fakultas dan RIP universitas (≥90% → 100%).</w:t>
            </w:r>
          </w:p>
        </w:tc>
      </w:tr>
      <w:tr>
        <w:tc>
          <w:tcPr>
            <w:tcW w:type="dxa" w:w="4320"/>
          </w:tcPr>
          <w:p>
            <w:r>
              <w:t>R5</w:t>
            </w:r>
          </w:p>
        </w:tc>
        <w:tc>
          <w:tcPr>
            <w:tcW w:type="dxa" w:w="4320"/>
          </w:tcPr>
          <w:p>
            <w:r>
              <w:t>Bab 4 Pernyataan Isi Standar No.3: dosen dan mahasiswa melaksanakan penelitian sesuai agenda penelitian tingkat Universitas/Fakultas/Program Studi yang merujuk pada roadmap; Bab 5 Indikator No.1 dan No.3: tersedianya jadwal kegiatan penelitian di seluruh tingkatan serta pelaksanaan sesuai roadmap.</w:t>
            </w:r>
          </w:p>
        </w:tc>
      </w:tr>
    </w:tbl>
    <w:p>
      <w:r>
        <w:t>Analisis Kesesuaian: GAP TERUKUR — Seluruh 5 rujukan menuntut bukti KUANTITATIF/BERJENJANG kesesuaian penelitian dengan roadmap (R1/R2 memakai skor 0-4 berbasis jumlah unsur terpenuhi; R4 menetapkan ambang eksplisit ≥90%→100% program studi/dosen dan ≥90%→100% penelitian selaras RIP), sedangkan draft FTII hanya menyatakan "Terlaksana" secara kualitatif tanpa persentase maupun rincian unsur (peta jalan, evaluasi berkala, dampak masyarakat). REKOMENDASI: tambahkan indikator persentase penelitian yang selaras roadmap (disarankan ≥90%→100% mengacu R4) dan rincikan 4-5 unsur relevansi penelitian (peta jalan, evaluasi berkala, dampak masyarakat) mengacu R1/R2.</w:t>
      </w:r>
    </w:p>
    <w:p/>
    <w:p>
      <w:pPr>
        <w:pStyle w:val="Heading2"/>
      </w:pPr>
      <w:r>
        <w:t>Tema 2. Produktivitas Penelitian Dosen dan Diversifikasi Sumber Pendanaan</w:t>
      </w:r>
    </w:p>
    <w:p>
      <w:r>
        <w:t>Ketentuan FTII UNISBANK: Setiap dosen tetap FTII wajib melaksanakan paling sedikit satu penelitian per tahun sesuai roadmap. IKU: "Terpenuhinya setiap dosen memiliki satu penelitian tiap tahun" bersifat kualitatif ("Terpenuhi") untuk seluruh periode. Draft tidak menetapkan target jumlah judul penelitian yang memperoleh hibah eksternal maupun diversifikasi sumber dana penelitian (internasional/nasional/mandiri).</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Butir 7.2: skor 4 jika rasio jumlah penelitian DTPS sesuai keilmuan per tahun (RI) ≥ ambang a=0,05 dihitung dari NI/NDT (jumlah penelitian internasional per jumlah dosen tetap); skor turun bertahap berdasarkan kombinasi RI/RN/RL (rasio internasional/nasional/lokal).</w:t>
            </w:r>
          </w:p>
        </w:tc>
      </w:tr>
      <w:tr>
        <w:tc>
          <w:tcPr>
            <w:tcW w:type="dxa" w:w="4320"/>
          </w:tcPr>
          <w:p>
            <w:r>
              <w:t>R2 (LAM Teknik)</w:t>
            </w:r>
          </w:p>
        </w:tc>
        <w:tc>
          <w:tcPr>
            <w:tcW w:type="dxa" w:w="4320"/>
          </w:tcPr>
          <w:p>
            <w:r>
              <w:t>Butir No.31: skor 4 jika RI (rasio penelitian dgn dana luar negeri) &gt; a=0,05 dan RN (rasio dana dalam negeri) &gt; b=0,3 dalam 3 tahun terakhir per dosen tetap; skor menurun mengikuti formula gabungan RI/RN/RW (RW=rasio dana PT/mandiri, c=1). Butir No.10: skor 4 jika Dana Penelitian DTPS (DPD) ≥ Rp10.000.000/dosen/tahun (rata-rata 3 tahun).</w:t>
            </w:r>
          </w:p>
        </w:tc>
      </w:tr>
      <w:tr>
        <w:tc>
          <w:tcPr>
            <w:tcW w:type="dxa" w:w="4320"/>
          </w:tcPr>
          <w:p>
            <w:r>
              <w:t>R3 (LAM INFOKOM)</w:t>
            </w:r>
          </w:p>
        </w:tc>
        <w:tc>
          <w:tcPr>
            <w:tcW w:type="dxa" w:w="4320"/>
          </w:tcPr>
          <w:p>
            <w:r>
              <w:t>Butir 35/38 (3.1.C/3.2.C): dinilai dari kebijakan dan efektivitas pelaksanaan terkait perolehan hibah penelitian, kerja sama penelitian, publikasi, perolehan HKI, dan keberlanjutan penelitian, dengan deskriptor "memenuhi aspek 1 sampai 3/4/5" berjenjang.</w:t>
            </w:r>
          </w:p>
        </w:tc>
      </w:tr>
      <w:tr>
        <w:tc>
          <w:tcPr>
            <w:tcW w:type="dxa" w:w="4320"/>
          </w:tcPr>
          <w:p>
            <w:r>
              <w:t>R4</w:t>
            </w:r>
          </w:p>
        </w:tc>
        <w:tc>
          <w:tcPr>
            <w:tcW w:type="dxa" w:w="4320"/>
          </w:tcPr>
          <w:p>
            <w:r>
              <w:t>IKU No.11: jumlah judul penelitian dosen yang memperoleh hibah eksternal (Kemendikbud/BRIN/Industri/Luar Negeri) meningkat dari ≥5 (2023) menjadi ≥15 judul/tahun (2026); IKU No.12: persentase dosen tetap yang menjadi ketua/anggota penerima hibah penelitian kompetitif meningkat dari ≥30% menjadi ≥60%.</w:t>
            </w:r>
          </w:p>
        </w:tc>
      </w:tr>
      <w:tr>
        <w:tc>
          <w:tcPr>
            <w:tcW w:type="dxa" w:w="4320"/>
          </w:tcPr>
          <w:p>
            <w:r>
              <w:t>R5</w:t>
            </w:r>
          </w:p>
        </w:tc>
        <w:tc>
          <w:tcPr>
            <w:tcW w:type="dxa" w:w="4320"/>
          </w:tcPr>
          <w:p>
            <w:r>
              <w:t>Bab 4 No.10: kegiatan penelitian bertujuan menghasilkan penemuan baru dan kontribusi bagi akademik/industri/masyarakat; tidak ditemukan ambang kuantitatif eksplisit diversifikasi sumber dana pada bagian Proses Penelitian yang diekstrak (indikator dana lebih rinci umumnya berada pada Buku Standar Pendanaan Penelitian, dokumen masukan penelitian terpisah).</w:t>
            </w:r>
          </w:p>
        </w:tc>
      </w:tr>
    </w:tbl>
    <w:p>
      <w:r>
        <w:t>Analisis Kesesuaian: GAP KUANTITATIF SIGNIFIKAN — FTII baru menetapkan syarat kualitatif "minimal satu penelitian per dosen per tahun", sementara R1 dan R2 menilai produktivitas dosen secara BERJENJANG berbasis rasio terhadap jumlah dosen tetap dan diversifikasi sumber dana (internasional/nasional/mandiri), serta R4 menetapkan target eksplisit jumlah judul hibah eksternal (≥5→15/tahun) dan persentase dosen penerima hibah (≥30%→60%). Draft FTII TIDAK memiliki indikator setara. REKOMENDASI PRIORITAS: tambahkan pada Standar Proses Penelitian (atau tegaskan keterkaitannya dengan Standar Masukan Penelitian) indikator jumlah judul penelitian dosen bersumber dana luar negeri/dalam negeri/mandiri, jumlah/persentase dosen memperoleh hibah eksternal, agar setara dengan ambang R2 dan R4.</w:t>
      </w:r>
    </w:p>
    <w:p/>
    <w:p>
      <w:pPr>
        <w:pStyle w:val="Heading2"/>
      </w:pPr>
      <w:r>
        <w:t>Tema 3. Keterlibatan Mahasiswa dalam Penelitian Dosen</w:t>
      </w:r>
    </w:p>
    <w:p>
      <w:r>
        <w:t>Ketentuan FTII UNISBANK: FTII menargetkan persentase mahasiswa terlibat dalam penelitian dosen 20% (2023/24) naik menjadi 25%, 25%, 30% (2026/27); serta persentase penelitian yang melibatkan mahasiswa tetap 100% pada seluruh periode.</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Butir 7.3: skor 4 jika PPDM (persentase judul penelitian DTPS yang melibatkan mahasiswa program studi) ≥ 25%; skor 2 + (8×PPDM) jika di bawah ambang tersebut, tidak ada skor di bawah 2.</w:t>
            </w:r>
          </w:p>
        </w:tc>
      </w:tr>
      <w:tr>
        <w:tc>
          <w:tcPr>
            <w:tcW w:type="dxa" w:w="4320"/>
          </w:tcPr>
          <w:p>
            <w:r>
              <w:t>R2 (LAM Teknik)</w:t>
            </w:r>
          </w:p>
        </w:tc>
        <w:tc>
          <w:tcPr>
            <w:tcW w:type="dxa" w:w="4320"/>
          </w:tcPr>
          <w:p>
            <w:r>
              <w:t>Butir No.23: skor 4 jika PPDMhs (persentase judul penelitian DTPS yang sesuai peta jalan dan melibatkan mahasiswa) ≥ 50%; skor = 1 + (6×PPDMhs) jika di bawah ambang, tidak ada skor di bawah 1.</w:t>
            </w:r>
          </w:p>
        </w:tc>
      </w:tr>
      <w:tr>
        <w:tc>
          <w:tcPr>
            <w:tcW w:type="dxa" w:w="4320"/>
          </w:tcPr>
          <w:p>
            <w:r>
              <w:t>R3 (LAM INFOKOM)</w:t>
            </w:r>
          </w:p>
        </w:tc>
        <w:tc>
          <w:tcPr>
            <w:tcW w:type="dxa" w:w="4320"/>
          </w:tcPr>
          <w:p>
            <w:r>
              <w:t>Butir 37 (3.2.B) unsur 2: pelibatan mahasiswa dalam implementasi peta jalan penelitian dinilai sebagai bagian dari deskriptor berjenjang bersama unsur peta jalan dan kebutuhan masyarakat/DUDIKA, tanpa ambang persentase tersendiri.</w:t>
            </w:r>
          </w:p>
        </w:tc>
      </w:tr>
      <w:tr>
        <w:tc>
          <w:tcPr>
            <w:tcW w:type="dxa" w:w="4320"/>
          </w:tcPr>
          <w:p>
            <w:r>
              <w:t>R4</w:t>
            </w:r>
          </w:p>
        </w:tc>
        <w:tc>
          <w:tcPr>
            <w:tcW w:type="dxa" w:w="4320"/>
          </w:tcPr>
          <w:p>
            <w:r>
              <w:t>IKU No.8: persentase penelitian dosen yang melibatkan mahasiswa sebagai anggota tim meningkat dari ≥30% (2023) menjadi ≥60% (2026); IKU No.9: persentase mahasiswa aktif fakultas yang terlibat penelitian dosen per tahun meningkat dari ≥10% menjadi ≥25%; IKU No.10: persentase luaran penelitian dosen yang melibatkan mahasiswa sebagai co-author meningkat dari ≥20% menjadi ≥50%.</w:t>
            </w:r>
          </w:p>
        </w:tc>
      </w:tr>
      <w:tr>
        <w:tc>
          <w:tcPr>
            <w:tcW w:type="dxa" w:w="4320"/>
          </w:tcPr>
          <w:p>
            <w:r>
              <w:t>R5</w:t>
            </w:r>
          </w:p>
        </w:tc>
        <w:tc>
          <w:tcPr>
            <w:tcW w:type="dxa" w:w="4320"/>
          </w:tcPr>
          <w:p>
            <w:r>
              <w:t>Bab 5 Indikator No.5: peneliti melibatkan mahasiswa dalam penelitian sesuai roadmap, minimal 25% mahasiswa; No.7: minimal 1% tugas akhir/skripsi/tesis/disertasi mahasiswa merupakan bagian dari penelitian dosen; Bab 4 No.7: peneliti wajib melibatkan mahasiswa dalam penelitian sebagai bagian tugas akhir/skripsi/tesis/disertasi.</w:t>
            </w:r>
          </w:p>
        </w:tc>
      </w:tr>
    </w:tbl>
    <w:p>
      <w:r>
        <w:t>Analisis Kesesuaian: SEBAGIAN SELARAS DAN SEBAGIAN MELAMPAUI, NAMUN SATUAN BERBEDA — Pada indikator "persentase PENELITIAN yang melibatkan mahasiswa", target FTII (100%) MELAMPAUI seluruh ambang skor sempurna rujukan (R1 25%, R2 50%, R4 60%). Namun pada indikator "persentase MAHASISWA yang terlibat" (basis populasi mahasiswa, bukan basis judul penelitian), target awal FTII (20%) berada DI ATAS ambang R4 (≥10%) tetapi metodologinya (rasio terhadap total mahasiswa aktif per tahun) perlu dipastikan konsisten dengan definisi R4 IKU No.9 agar dapat diperbandingkan langsung saat akreditasi. Indikator luaran penelitian dengan mahasiswa sebagai co-author (R4 IKU No.10, ambang ≥20%→50%) BELUM ada padanannya di draft FTII — REKOMENDASI: tambahkan indikator persentase luaran penelitian dosen yang melibatkan mahasiswa sebagai co-author/kontributor resmi.</w:t>
      </w:r>
    </w:p>
    <w:p/>
    <w:p>
      <w:pPr>
        <w:pStyle w:val="Heading2"/>
      </w:pPr>
      <w:r>
        <w:t>Tema 4. SOP, Proses Seleksi-Review-Kontrak, dan Bukti Pelaksanaan Penelitian</w:t>
      </w:r>
    </w:p>
    <w:p>
      <w:r>
        <w:t>Ketentuan FTII UNISBANK: FTII wajib memiliki SOP pelaksanaan penelitian (perencanaan, pelaksanaan, monitoring, evaluasi, pelaporan, tindak lanjut) dan bukti pelaksanaan proses (tata cara review, legalitas reviewer, hasil penilaian usulan, legalitas penugasan/kerja sama, hasil monev, dokumentasi luaran) — seluruhnya bersifat kualitatif ("Tersedia") tanpa ambang persentase.</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Tidak ditemukan butir tersendiri mengenai SOP proses penelitian pada bagian Standar 7 yang diekstrak (Standar 7 R1 hanya memuat 3 butir: relevansi/peta jalan, produktivitas dosen, dan keterlibatan mahasiswa); kemungkinan SOP proses termuat pada lampiran kriteria SPMI lain yang tidak tercakup ekstraksi.</w:t>
            </w:r>
          </w:p>
        </w:tc>
      </w:tr>
      <w:tr>
        <w:tc>
          <w:tcPr>
            <w:tcW w:type="dxa" w:w="4320"/>
          </w:tcPr>
          <w:p>
            <w:r>
              <w:t>R2 (LAM Teknik)</w:t>
            </w:r>
          </w:p>
        </w:tc>
        <w:tc>
          <w:tcPr>
            <w:tcW w:type="dxa" w:w="4320"/>
          </w:tcPr>
          <w:p>
            <w:r>
              <w:t>Tidak ditemukan butir eksplisit mengenai SOP/prosedur administratif proses penelitian pada bagian 3.2 Penelitian yang diekstrak (fokus butir No.22-23 pada kesesuaian VMTS dan keterlibatan mahasiswa, bukan SOP administratif).</w:t>
            </w:r>
          </w:p>
        </w:tc>
      </w:tr>
      <w:tr>
        <w:tc>
          <w:tcPr>
            <w:tcW w:type="dxa" w:w="4320"/>
          </w:tcPr>
          <w:p>
            <w:r>
              <w:t>R3 (LAM INFOKOM)</w:t>
            </w:r>
          </w:p>
        </w:tc>
        <w:tc>
          <w:tcPr>
            <w:tcW w:type="dxa" w:w="4320"/>
          </w:tcPr>
          <w:p>
            <w:r>
              <w:t>Butir 36 (3.2.A): efektivitas pelaksanaan kegiatan terkait standar dan indikator sarana-prasarana penelitian, DTPR, pembiayaan, dan peta jalan penelitian dinilai dari implementasi disertai bukti-bukti yang sahih; tidak merinci SOP administratif secara eksplisit.</w:t>
            </w:r>
          </w:p>
        </w:tc>
      </w:tr>
      <w:tr>
        <w:tc>
          <w:tcPr>
            <w:tcW w:type="dxa" w:w="4320"/>
          </w:tcPr>
          <w:p>
            <w:r>
              <w:t>R4</w:t>
            </w:r>
          </w:p>
        </w:tc>
        <w:tc>
          <w:tcPr>
            <w:tcW w:type="dxa" w:w="4320"/>
          </w:tcPr>
          <w:p>
            <w:r>
              <w:t>IKU No.3 (Standar Proses Penelitian): persentase kegiatan penelitian yang dilaksanakan sesuai SOP meningkat dari ≥90% (2023) menjadi 100% (2025-26); IKU No.4: persentase penelitian yang memiliki laporan pelaksanaan proses secara periodik ≥90%→100%.</w:t>
            </w:r>
          </w:p>
        </w:tc>
      </w:tr>
      <w:tr>
        <w:tc>
          <w:tcPr>
            <w:tcW w:type="dxa" w:w="4320"/>
          </w:tcPr>
          <w:p>
            <w:r>
              <w:t>R5</w:t>
            </w:r>
          </w:p>
        </w:tc>
        <w:tc>
          <w:tcPr>
            <w:tcW w:type="dxa" w:w="4320"/>
          </w:tcPr>
          <w:p>
            <w:r>
              <w:t>Bab 4 No.4: LPPM memiliki dan menjalankan proses penelitian mengacu 12 prosedur (penjaminan mutu, rekrutmen penilai internal, desk evaluasi, seminar proposal, penetapan pemenang, kontrak, monev internal, seminar hasil, pelaporan, tindak lanjut, pelatihan, penghargaan); Bab 5 No.9: LPPM memiliki bukti sahih pelaksanaan proses penelitian mencakup 6 aspek (tata cara penilaian/review, legalitas reviewer, bukti hasil penilaian usulan, legalitas penugasan/kerja sama, berita acara monev, dokumentasi luaran).</w:t>
            </w:r>
          </w:p>
        </w:tc>
      </w:tr>
    </w:tbl>
    <w:p>
      <w:r>
        <w:t>Analisis Kesesuaian: SELARAS DALAM CAKUPAN, GAP PADA AMBANG KUANTITATIF — Cakupan bukti pelaksanaan proses FTII (review, legalitas reviewer, penilaian usulan, legalitas penugasan/kerja sama, monev, dokumentasi luaran) SUDAH IDENTIK dengan 6 aspek yang disyaratkan R5 dan 12 prosedur R5 Bab 4, sehingga secara substansi FTII sudah selaras. Namun R4 menetapkan ambang KUANTITATIF eksplisit (≥90%→100% kegiatan sesuai SOP; ≥90%→100% penelitian memiliki laporan periodik) sedangkan FTII hanya menyatakan "Tersedia" secara biner. REKOMENDASI: konversi indikator SOP dan laporan periodik FTII menjadi persentase (disarankan ≥90%→100% mengacu R4) agar terukur dan dapat diverifikasi saat akreditasi.</w:t>
      </w:r>
    </w:p>
    <w:p/>
    <w:p>
      <w:pPr>
        <w:pStyle w:val="Heading2"/>
      </w:pPr>
      <w:r>
        <w:t>Tema 5. Etika Penelitian, Keselamatan Kerja, dan Keamanan</w:t>
      </w:r>
    </w:p>
    <w:p>
      <w:r>
        <w:t>Ketentuan FTII UNISBANK: FTII menargetkan nol kasus pelanggaran terhadap kaidah dan metode ilmiah (0 kasus) pada seluruh periode 2023/24-2026/27; tidak ada indikator terpisah mengenai keselamatan kerja/kecelakaan peneliti maupun dampak terhadap masyarakat dan lingkungan.</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Tidak ditemukan butir eksplisit keselamatan kerja/K3L pada bagian Standar 7 yang diekstrak; fokus R1 pada relevansi, produktivitas, dan keterlibatan mahasiswa.</w:t>
            </w:r>
          </w:p>
        </w:tc>
      </w:tr>
      <w:tr>
        <w:tc>
          <w:tcPr>
            <w:tcW w:type="dxa" w:w="4320"/>
          </w:tcPr>
          <w:p>
            <w:r>
              <w:t>R2 (LAM Teknik)</w:t>
            </w:r>
          </w:p>
        </w:tc>
        <w:tc>
          <w:tcPr>
            <w:tcW w:type="dxa" w:w="4320"/>
          </w:tcPr>
          <w:p>
            <w:r>
              <w:t>Tidak ditemukan butir eksplisit K3L/etika penelitian pada bagian 3.2 Penelitian yang diekstrak.</w:t>
            </w:r>
          </w:p>
        </w:tc>
      </w:tr>
      <w:tr>
        <w:tc>
          <w:tcPr>
            <w:tcW w:type="dxa" w:w="4320"/>
          </w:tcPr>
          <w:p>
            <w:r>
              <w:t>R3 (LAM INFOKOM)</w:t>
            </w:r>
          </w:p>
        </w:tc>
        <w:tc>
          <w:tcPr>
            <w:tcW w:type="dxa" w:w="4320"/>
          </w:tcPr>
          <w:p>
            <w:r>
              <w:t>Tidak ditemukan butir eksplisit K3L/etika penelitian pada Kriteria 3.2/3.3 yang diekstrak; fokus pada sarpras, DTPR, pembiayaan, dan peta jalan.</w:t>
            </w:r>
          </w:p>
        </w:tc>
      </w:tr>
      <w:tr>
        <w:tc>
          <w:tcPr>
            <w:tcW w:type="dxa" w:w="4320"/>
          </w:tcPr>
          <w:p>
            <w:r>
              <w:t>R4</w:t>
            </w:r>
          </w:p>
        </w:tc>
        <w:tc>
          <w:tcPr>
            <w:tcW w:type="dxa" w:w="4320"/>
          </w:tcPr>
          <w:p>
            <w:r>
              <w:t>IKU No.5: jumlah pelanggaran terhadap kaidah dan metode ilmiah dalam pelaksanaan penelitian — target 0 kasus pada seluruh tahun (identik dengan FTII); IKU No.6: jumlah kecelakaan kerja peneliti serta gangguan terhadap masyarakat dan lingkungan — target 0 kejadian pada seluruh tahun (BELUM ada padanan di FTII).</w:t>
            </w:r>
          </w:p>
        </w:tc>
      </w:tr>
      <w:tr>
        <w:tc>
          <w:tcPr>
            <w:tcW w:type="dxa" w:w="4320"/>
          </w:tcPr>
          <w:p>
            <w:r>
              <w:t>R5</w:t>
            </w:r>
          </w:p>
        </w:tc>
        <w:tc>
          <w:tcPr>
            <w:tcW w:type="dxa" w:w="4320"/>
          </w:tcPr>
          <w:p>
            <w:r>
              <w:t>Bab 4 No.1-2: kegiatan penelitian wajib mempertimbangkan standar mutu, keselamatan kerja, kesehatan, kenyamanan, keamanan peneliti/masyarakat/lingkungan; Bab 5 No.2: 100% kegiatan penelitian tidak membahayakan peneliti, masyarakat, dan lingkungan serta memperhatikan keselamatan kerja dan kesehatan.</w:t>
            </w:r>
          </w:p>
        </w:tc>
      </w:tr>
    </w:tbl>
    <w:p>
      <w:r>
        <w:t>Analisis Kesesuaian: SELARAS PADA ETIKA, GAP PADA KESELAMATAN KERJA — Target "0 kasus pelanggaran kaidah ilmiah" FTII IDENTIK dengan ambang R4 (IKU No.5). Namun R4 dan R5 SECARA TERPISAH DAN EKSPLISIT juga mensyaratkan indikator keselamatan kerja dan keamanan (K3L) peneliti/masyarakat/lingkungan (R4: 0 kejadian kecelakaan kerja; R5: 100% kegiatan aman), sedangkan draft FTII BELUM memiliki indikator serupa — hanya menyebutkan "kaidah ilmiah" tanpa memisahkan aspek keselamatan kerja. REKOMENDASI: tambahkan indikator terpisah "jumlah kecelakaan kerja/insiden keselamatan penelitian" dengan target 0 kasus, mengacu R4/R5.</w:t>
      </w:r>
    </w:p>
    <w:p/>
    <w:p>
      <w:pPr>
        <w:pStyle w:val="Heading2"/>
      </w:pPr>
      <w:r>
        <w:t>Tema 6. Kerja Sama Penelitian (DUDIKA, Pemerintah, Perguruan Tinggi Nasional/Internasional)</w:t>
      </w:r>
    </w:p>
    <w:p>
      <w:r>
        <w:t>Ketentuan FTII UNISBANK: FTII mendorong dan memfasilitasi penelitian kolaboratif dengan DUDIKA, instansi pemerintah, perguruan tinggi nasional, dan perguruan tinggi internasional — seluruhnya tercantum sebagai Indikator Kinerja Tambahan (IKT) yang bersifat kualitatif ("Terlaksana") tanpa target jumlah kegiatan/tahun.</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Tidak ditemukan butir eksplisit kerja sama penelitian pada bagian Standar 7 yang diekstrak.</w:t>
            </w:r>
          </w:p>
        </w:tc>
      </w:tr>
      <w:tr>
        <w:tc>
          <w:tcPr>
            <w:tcW w:type="dxa" w:w="4320"/>
          </w:tcPr>
          <w:p>
            <w:r>
              <w:t>R2 (LAM Teknik)</w:t>
            </w:r>
          </w:p>
        </w:tc>
        <w:tc>
          <w:tcPr>
            <w:tcW w:type="dxa" w:w="4320"/>
          </w:tcPr>
          <w:p>
            <w:r>
              <w:t>Baris pendukung pada bagian awal instrumen menyebut "N2 = Jumlah kerja sama penelitian" sebagai salah satu komponen perhitungan indikator kerja sama tridharma (skor 4 jika memenuhi ambang gabungan pendidikan/penelitian/PkM), namun rumus dan ambang spesifik kerja sama penelitian sendiri tidak tercakup penuh pada bagian yang diekstrak.</w:t>
            </w:r>
          </w:p>
        </w:tc>
      </w:tr>
      <w:tr>
        <w:tc>
          <w:tcPr>
            <w:tcW w:type="dxa" w:w="4320"/>
          </w:tcPr>
          <w:p>
            <w:r>
              <w:t>R3 (LAM INFOKOM)</w:t>
            </w:r>
          </w:p>
        </w:tc>
        <w:tc>
          <w:tcPr>
            <w:tcW w:type="dxa" w:w="4320"/>
          </w:tcPr>
          <w:p>
            <w:r>
              <w:t>Butir 35/38 (3.1.C/3.2.C) unsur 2: kerja sama penelitian merupakan salah satu dari 5 unsur yang dinilai bersama perolehan hibah, publikasi, perolehan HKI, dan keberlanjutan penelitian, dengan deskriptor berjenjang "memenuhi aspek 1 sampai 3/4/5".</w:t>
            </w:r>
          </w:p>
        </w:tc>
      </w:tr>
      <w:tr>
        <w:tc>
          <w:tcPr>
            <w:tcW w:type="dxa" w:w="4320"/>
          </w:tcPr>
          <w:p>
            <w:r>
              <w:t>R4</w:t>
            </w:r>
          </w:p>
        </w:tc>
        <w:tc>
          <w:tcPr>
            <w:tcW w:type="dxa" w:w="4320"/>
          </w:tcPr>
          <w:p>
            <w:r>
              <w:t>Tidak ditemukan IKU/IKT kuantitatif spesifik jumlah kerja sama penelitian dengan DUDIKA/pemerintah/PT nasional-internasional pada bagian Standar Proses/Isi/Pengelolaan Penelitian yang diekstrak (kemungkinan termuat pada Standar Kerjasama tersendiri yang tidak tercakup ekstraksi ini).</w:t>
            </w:r>
          </w:p>
        </w:tc>
      </w:tr>
      <w:tr>
        <w:tc>
          <w:tcPr>
            <w:tcW w:type="dxa" w:w="4320"/>
          </w:tcPr>
          <w:p>
            <w:r>
              <w:t>R5</w:t>
            </w:r>
          </w:p>
        </w:tc>
        <w:tc>
          <w:tcPr>
            <w:tcW w:type="dxa" w:w="4320"/>
          </w:tcPr>
          <w:p>
            <w:r>
              <w:t>Bab 4 No.4: LPPM menjalankan proses penelitian termasuk kontrak penelitian (dapat mencakup kerja sama eksternal); tidak ditemukan ambang kuantitatif eksplisit jumlah kerja sama penelitian dengan DUDIKA/pemerintah/PT nasional-internasional pada bagian Proses/Pengelolaan Penelitian yang diekstrak.</w:t>
            </w:r>
          </w:p>
        </w:tc>
      </w:tr>
    </w:tbl>
    <w:p>
      <w:r>
        <w:t>Analisis Kesesuaian: GAP TERUKUR PADA KEDUA SISI — Baik draft FTII maupun sebagian besar rujukan (R1, R4, R5 pada bagian yang diekstrak) BELUM menetapkan ambang kuantitatif eksplisit untuk jumlah/frekuensi kerja sama penelitian per kategori mitra (DUDIKA/pemerintah/PT nasional/PT internasional); hanya R3 memasukkannya sebagai salah satu dari 5 unsur deskriptor berjenjang. FTII saat ini hanya mencatat status "Terlaksana" per kategori tanpa angka. REKOMENDASI: tambahkan target jumlah kerja sama penelitian aktif per kategori mitra per tahun (mis. minimal 1-2 kerja sama per kategori per tahun) agar terukur dan dapat diverifikasi, serta selaras dengan pendekatan berjenjang R3.</w:t>
      </w:r>
    </w:p>
    <w:p/>
    <w:p>
      <w:pPr>
        <w:pStyle w:val="Heading2"/>
      </w:pPr>
      <w:r>
        <w:t>Tema 7. Monitoring, Evaluasi, Audit Mutu Internal, dan Pengelolaan Kelembagaan Penelitian</w:t>
      </w:r>
    </w:p>
    <w:p>
      <w:r>
        <w:t>Ketentuan FTII UNISBANK: FTII wajib melaksanakan monitoring dan evaluasi penelitian secara berkala serta Audit Mutu Internal (AMI) — IKU "Tersedianya dokumen audit mutu internal ketercapaian standar proses penelitian" bersifat kualitatif ("Tersedia") tanpa frekuensi eksplisit per tahun; tidak ada indikator persentase tindak lanjut rekomendasi monev.</w:t>
      </w:r>
    </w:p>
    <w:tbl>
      <w:tblPr>
        <w:tblStyle w:val="LightGrid-Accent1"/>
        <w:tblW w:type="auto" w:w="0"/>
        <w:tblLook w:firstColumn="1" w:firstRow="1" w:lastColumn="0" w:lastRow="0" w:noHBand="0" w:noVBand="1" w:val="04A0"/>
      </w:tblPr>
      <w:tblGrid>
        <w:gridCol w:w="4320"/>
        <w:gridCol w:w="4320"/>
      </w:tblGrid>
      <w:tr>
        <w:tc>
          <w:tcPr>
            <w:tcW w:type="dxa" w:w="4320"/>
          </w:tcPr>
          <w:p>
            <w:r>
              <w:t>Dokumen Rujukan</w:t>
            </w:r>
          </w:p>
        </w:tc>
        <w:tc>
          <w:tcPr>
            <w:tcW w:type="dxa" w:w="4320"/>
          </w:tcPr>
          <w:p>
            <w:r>
              <w:t>Ketentuan / Indikator Terkait</w:t>
            </w:r>
          </w:p>
        </w:tc>
      </w:tr>
      <w:tr>
        <w:tc>
          <w:tcPr>
            <w:tcW w:type="dxa" w:w="4320"/>
          </w:tcPr>
          <w:p>
            <w:r>
              <w:t>R1</w:t>
            </w:r>
          </w:p>
        </w:tc>
        <w:tc>
          <w:tcPr>
            <w:tcW w:type="dxa" w:w="4320"/>
          </w:tcPr>
          <w:p>
            <w:r>
              <w:t>Tidak ditemukan butir eksplisit frekuensi monev/AMI pada bagian Standar 7 yang diekstrak; siklus PDCA/OBE disebutkan sebagai kerangka umum SPMI di bagian lain dokumen.</w:t>
            </w:r>
          </w:p>
        </w:tc>
      </w:tr>
      <w:tr>
        <w:tc>
          <w:tcPr>
            <w:tcW w:type="dxa" w:w="4320"/>
          </w:tcPr>
          <w:p>
            <w:r>
              <w:t>R2 (LAM Teknik)</w:t>
            </w:r>
          </w:p>
        </w:tc>
        <w:tc>
          <w:tcPr>
            <w:tcW w:type="dxa" w:w="4320"/>
          </w:tcPr>
          <w:p>
            <w:r>
              <w:t>Kriteria VII Sistem Penjaminan Mutu (di luar bagian 3.2 Penelitian yang diekstrak) umumnya menilai keterlaksanaan SPMI dan AMI secara berjenjang skor 0-4 berdasarkan kelengkapan aspek, konsisten dengan pola penilaian rujukan lain.</w:t>
            </w:r>
          </w:p>
        </w:tc>
      </w:tr>
      <w:tr>
        <w:tc>
          <w:tcPr>
            <w:tcW w:type="dxa" w:w="4320"/>
          </w:tcPr>
          <w:p>
            <w:r>
              <w:t>R3 (LAM INFOKOM)</w:t>
            </w:r>
          </w:p>
        </w:tc>
        <w:tc>
          <w:tcPr>
            <w:tcW w:type="dxa" w:w="4320"/>
          </w:tcPr>
          <w:p>
            <w:r>
              <w:t>Butir 39-40 (3.3.A/3.3.B - Evaluasi): dinilai dari efektivitas pelaksanaan evaluasi ketercapaian standar dan indikator terkait sarpras/DTPR/pembiayaan/peta jalan penelitian, dengan deskriptor "dilaksanakan secara berkala dan sangat efektif disertai bukti-bukti yang sahih".</w:t>
            </w:r>
          </w:p>
        </w:tc>
      </w:tr>
      <w:tr>
        <w:tc>
          <w:tcPr>
            <w:tcW w:type="dxa" w:w="4320"/>
          </w:tcPr>
          <w:p>
            <w:r>
              <w:t>R4</w:t>
            </w:r>
          </w:p>
        </w:tc>
        <w:tc>
          <w:tcPr>
            <w:tcW w:type="dxa" w:w="4320"/>
          </w:tcPr>
          <w:p>
            <w:r>
              <w:t>Standar Proses Penelitian IKU No.7: frekuensi monitoring dan evaluasi internal pelaksanaan Proses Penelitian di tingkat fakultas ≥1 kali/tahun (seluruh periode). Standar Pengelolaan Penelitian IKU No.5: frekuensi monev internal pengelolaan penelitian ≥1 kali/tahun; IKU No.6: persentase rekomendasi hasil monev pengelolaan penelitian yang ditindaklanjuti meningkat dari ≥70% menjadi ≥95%; IKU No.3: frekuensi sosialisasi RIP dan kebijakan pengelolaan penelitian ≥1 kali/tahun.</w:t>
            </w:r>
          </w:p>
        </w:tc>
      </w:tr>
      <w:tr>
        <w:tc>
          <w:tcPr>
            <w:tcW w:type="dxa" w:w="4320"/>
          </w:tcPr>
          <w:p>
            <w:r>
              <w:t>R5</w:t>
            </w:r>
          </w:p>
        </w:tc>
        <w:tc>
          <w:tcPr>
            <w:tcW w:type="dxa" w:w="4320"/>
          </w:tcPr>
          <w:p>
            <w:r>
              <w:t>Bab 4 No.4 dan Bab "Pengelolaan": LPPM/P3M sebagai unit pengelola penelitian di tingkat universitas dan fakultas dengan pembagian tugas jelas; kewajiban LPPM meliputi program kerja sesuai renstra, pedoman penelitian dan sosialisasi, pelaksanaan sesuai agenda penelitian, serta bukti monev melalui mekanisme Audit Mutu Internal.</w:t>
            </w:r>
          </w:p>
        </w:tc>
      </w:tr>
    </w:tbl>
    <w:p>
      <w:r>
        <w:t>Analisis Kesesuaian: SELARAS PADA SUBSTANSI, GAP PADA FREKUENSI DAN TINDAK LANJUT TERUKUR — Keberadaan AMI dan mekanisme monev FTII sudah sejalan dengan seluruh rujukan sebagai praktik universal SPMI. Namun R4 menetapkan ambang KUANTITATIF eksplisit yang belum ada padanannya di draft FTII: (1) frekuensi monev proses penelitian ≥1×/tahun, (2) frekuensi monev pengelolaan penelitian ≥1×/tahun, (3) frekuensi sosialisasi RIP ≥1×/tahun, dan (4) persentase rekomendasi hasil monev yang ditindaklanjuti (≥70%→95%). REKOMENDASI: tambahkan keempat indikator frekuensi/persentase tersebut ke Standar Proses Penelitian FTII, mengacu ambang R4.</w:t>
      </w:r>
    </w:p>
    <w:p/>
    <w:p>
      <w:pPr>
        <w:pStyle w:val="Heading1"/>
      </w:pPr>
      <w:r>
        <w:t>C. Ringkasan Kesesuaian Target Kuantitatif</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Indikator</w:t>
            </w:r>
          </w:p>
        </w:tc>
        <w:tc>
          <w:tcPr>
            <w:tcW w:type="dxa" w:w="1728"/>
          </w:tcPr>
          <w:p>
            <w:r>
              <w:t>Target FTII (2026/27)</w:t>
            </w:r>
          </w:p>
        </w:tc>
        <w:tc>
          <w:tcPr>
            <w:tcW w:type="dxa" w:w="1728"/>
          </w:tcPr>
          <w:p>
            <w:r>
              <w:t>Ambang R1/R2</w:t>
            </w:r>
          </w:p>
        </w:tc>
        <w:tc>
          <w:tcPr>
            <w:tcW w:type="dxa" w:w="1728"/>
          </w:tcPr>
          <w:p>
            <w:r>
              <w:t>Ambang R4</w:t>
            </w:r>
          </w:p>
        </w:tc>
        <w:tc>
          <w:tcPr>
            <w:tcW w:type="dxa" w:w="1728"/>
          </w:tcPr>
          <w:p>
            <w:r>
              <w:t>Status</w:t>
            </w:r>
          </w:p>
        </w:tc>
      </w:tr>
      <w:tr>
        <w:tc>
          <w:tcPr>
            <w:tcW w:type="dxa" w:w="1728"/>
          </w:tcPr>
          <w:p>
            <w:r>
              <w:t>Kesesuaian penelitian dengan roadmap</w:t>
            </w:r>
          </w:p>
        </w:tc>
        <w:tc>
          <w:tcPr>
            <w:tcW w:type="dxa" w:w="1728"/>
          </w:tcPr>
          <w:p>
            <w:r>
              <w:t>Terlaksana (kualitatif)</w:t>
            </w:r>
          </w:p>
        </w:tc>
        <w:tc>
          <w:tcPr>
            <w:tcW w:type="dxa" w:w="1728"/>
          </w:tcPr>
          <w:p>
            <w:r>
              <w:t>skor 4 jika 5 unsur relevansi terpenuhi (R1)</w:t>
            </w:r>
          </w:p>
        </w:tc>
        <w:tc>
          <w:tcPr>
            <w:tcW w:type="dxa" w:w="1728"/>
          </w:tcPr>
          <w:p>
            <w:r>
              <w:t>≥90-100% penelitian selaras roadmap/RIP</w:t>
            </w:r>
          </w:p>
        </w:tc>
        <w:tc>
          <w:tcPr>
            <w:tcW w:type="dxa" w:w="1728"/>
          </w:tcPr>
          <w:p>
            <w:r>
              <w:t>Gap - belum terukur</w:t>
            </w:r>
          </w:p>
        </w:tc>
      </w:tr>
      <w:tr>
        <w:tc>
          <w:tcPr>
            <w:tcW w:type="dxa" w:w="1728"/>
          </w:tcPr>
          <w:p>
            <w:r>
              <w:t>Produktivitas penelitian dosen</w:t>
            </w:r>
          </w:p>
        </w:tc>
        <w:tc>
          <w:tcPr>
            <w:tcW w:type="dxa" w:w="1728"/>
          </w:tcPr>
          <w:p>
            <w:r>
              <w:t>Terpenuhi 1 penelitian/dosen/tahun (kualitatif)</w:t>
            </w:r>
          </w:p>
        </w:tc>
        <w:tc>
          <w:tcPr>
            <w:tcW w:type="dxa" w:w="1728"/>
          </w:tcPr>
          <w:p>
            <w:r>
              <w:t>skor 4 jika RI≥0,05 &amp; RN≥0,3 (R2, rasio dana)</w:t>
            </w:r>
          </w:p>
        </w:tc>
        <w:tc>
          <w:tcPr>
            <w:tcW w:type="dxa" w:w="1728"/>
          </w:tcPr>
          <w:p>
            <w:r>
              <w:t>Jumlah judul hibah eksternal ≥5→15/tahun; ≥30%→60% dosen penerima hibah</w:t>
            </w:r>
          </w:p>
        </w:tc>
        <w:tc>
          <w:tcPr>
            <w:tcW w:type="dxa" w:w="1728"/>
          </w:tcPr>
          <w:p>
            <w:r>
              <w:t>Gap kuantitatif signifikan</w:t>
            </w:r>
          </w:p>
        </w:tc>
      </w:tr>
      <w:tr>
        <w:tc>
          <w:tcPr>
            <w:tcW w:type="dxa" w:w="1728"/>
          </w:tcPr>
          <w:p>
            <w:r>
              <w:t>Persentase penelitian melibatkan mahasiswa</w:t>
            </w:r>
          </w:p>
        </w:tc>
        <w:tc>
          <w:tcPr>
            <w:tcW w:type="dxa" w:w="1728"/>
          </w:tcPr>
          <w:p>
            <w:r>
              <w:t>100%</w:t>
            </w:r>
          </w:p>
        </w:tc>
        <w:tc>
          <w:tcPr>
            <w:tcW w:type="dxa" w:w="1728"/>
          </w:tcPr>
          <w:p>
            <w:r>
              <w:t>≥25% (R1); ≥50% (R2)</w:t>
            </w:r>
          </w:p>
        </w:tc>
        <w:tc>
          <w:tcPr>
            <w:tcW w:type="dxa" w:w="1728"/>
          </w:tcPr>
          <w:p>
            <w:r>
              <w:t>≥30%→60%</w:t>
            </w:r>
          </w:p>
        </w:tc>
        <w:tc>
          <w:tcPr>
            <w:tcW w:type="dxa" w:w="1728"/>
          </w:tcPr>
          <w:p>
            <w:r>
              <w:t>Melampaui seluruh rujukan</w:t>
            </w:r>
          </w:p>
        </w:tc>
      </w:tr>
      <w:tr>
        <w:tc>
          <w:tcPr>
            <w:tcW w:type="dxa" w:w="1728"/>
          </w:tcPr>
          <w:p>
            <w:r>
              <w:t>Persentase mahasiswa terlibat penelitian</w:t>
            </w:r>
          </w:p>
        </w:tc>
        <w:tc>
          <w:tcPr>
            <w:tcW w:type="dxa" w:w="1728"/>
          </w:tcPr>
          <w:p>
            <w:r>
              <w:t>20%→30%</w:t>
            </w:r>
          </w:p>
        </w:tc>
        <w:tc>
          <w:tcPr>
            <w:tcW w:type="dxa" w:w="1728"/>
          </w:tcPr>
          <w:p>
            <w:r>
              <w:t>tidak ditemukan basis populasi serupa</w:t>
            </w:r>
          </w:p>
        </w:tc>
        <w:tc>
          <w:tcPr>
            <w:tcW w:type="dxa" w:w="1728"/>
          </w:tcPr>
          <w:p>
            <w:r>
              <w:t>≥10%→25%</w:t>
            </w:r>
          </w:p>
        </w:tc>
        <w:tc>
          <w:tcPr>
            <w:tcW w:type="dxa" w:w="1728"/>
          </w:tcPr>
          <w:p>
            <w:r>
              <w:t>Melampaui R4</w:t>
            </w:r>
          </w:p>
        </w:tc>
      </w:tr>
      <w:tr>
        <w:tc>
          <w:tcPr>
            <w:tcW w:type="dxa" w:w="1728"/>
          </w:tcPr>
          <w:p>
            <w:r>
              <w:t>Luaran penelitian dgn mahasiswa co-author</w:t>
            </w:r>
          </w:p>
        </w:tc>
        <w:tc>
          <w:tcPr>
            <w:tcW w:type="dxa" w:w="1728"/>
          </w:tcPr>
          <w:p>
            <w:r>
              <w:t>Tidak ada indikator</w:t>
            </w:r>
          </w:p>
        </w:tc>
        <w:tc>
          <w:tcPr>
            <w:tcW w:type="dxa" w:w="1728"/>
          </w:tcPr>
          <w:p>
            <w:r>
              <w:t>tidak ditemukan</w:t>
            </w:r>
          </w:p>
        </w:tc>
        <w:tc>
          <w:tcPr>
            <w:tcW w:type="dxa" w:w="1728"/>
          </w:tcPr>
          <w:p>
            <w:r>
              <w:t>≥20%→50%</w:t>
            </w:r>
          </w:p>
        </w:tc>
        <w:tc>
          <w:tcPr>
            <w:tcW w:type="dxa" w:w="1728"/>
          </w:tcPr>
          <w:p>
            <w:r>
              <w:t>Belum ada - perlu ditambahkan</w:t>
            </w:r>
          </w:p>
        </w:tc>
      </w:tr>
      <w:tr>
        <w:tc>
          <w:tcPr>
            <w:tcW w:type="dxa" w:w="1728"/>
          </w:tcPr>
          <w:p>
            <w:r>
              <w:t>Kegiatan sesuai SOP</w:t>
            </w:r>
          </w:p>
        </w:tc>
        <w:tc>
          <w:tcPr>
            <w:tcW w:type="dxa" w:w="1728"/>
          </w:tcPr>
          <w:p>
            <w:r>
              <w:t>Tersedia (kualitatif)</w:t>
            </w:r>
          </w:p>
        </w:tc>
        <w:tc>
          <w:tcPr>
            <w:tcW w:type="dxa" w:w="1728"/>
          </w:tcPr>
          <w:p>
            <w:r>
              <w:t>tidak ditemukan</w:t>
            </w:r>
          </w:p>
        </w:tc>
        <w:tc>
          <w:tcPr>
            <w:tcW w:type="dxa" w:w="1728"/>
          </w:tcPr>
          <w:p>
            <w:r>
              <w:t>≥90%→100%</w:t>
            </w:r>
          </w:p>
        </w:tc>
        <w:tc>
          <w:tcPr>
            <w:tcW w:type="dxa" w:w="1728"/>
          </w:tcPr>
          <w:p>
            <w:r>
              <w:t>Gap - belum terukur</w:t>
            </w:r>
          </w:p>
        </w:tc>
      </w:tr>
      <w:tr>
        <w:tc>
          <w:tcPr>
            <w:tcW w:type="dxa" w:w="1728"/>
          </w:tcPr>
          <w:p>
            <w:r>
              <w:t>Pelanggaran kaidah ilmiah</w:t>
            </w:r>
          </w:p>
        </w:tc>
        <w:tc>
          <w:tcPr>
            <w:tcW w:type="dxa" w:w="1728"/>
          </w:tcPr>
          <w:p>
            <w:r>
              <w:t>0 kasus</w:t>
            </w:r>
          </w:p>
        </w:tc>
        <w:tc>
          <w:tcPr>
            <w:tcW w:type="dxa" w:w="1728"/>
          </w:tcPr>
          <w:p>
            <w:r>
              <w:t>tidak ditemukan</w:t>
            </w:r>
          </w:p>
        </w:tc>
        <w:tc>
          <w:tcPr>
            <w:tcW w:type="dxa" w:w="1728"/>
          </w:tcPr>
          <w:p>
            <w:r>
              <w:t>0 kasus</w:t>
            </w:r>
          </w:p>
        </w:tc>
        <w:tc>
          <w:tcPr>
            <w:tcW w:type="dxa" w:w="1728"/>
          </w:tcPr>
          <w:p>
            <w:r>
              <w:t>Identik/selaras</w:t>
            </w:r>
          </w:p>
        </w:tc>
      </w:tr>
      <w:tr>
        <w:tc>
          <w:tcPr>
            <w:tcW w:type="dxa" w:w="1728"/>
          </w:tcPr>
          <w:p>
            <w:r>
              <w:t>Kecelakaan kerja/K3L penelitian</w:t>
            </w:r>
          </w:p>
        </w:tc>
        <w:tc>
          <w:tcPr>
            <w:tcW w:type="dxa" w:w="1728"/>
          </w:tcPr>
          <w:p>
            <w:r>
              <w:t>Tidak ada indikator</w:t>
            </w:r>
          </w:p>
        </w:tc>
        <w:tc>
          <w:tcPr>
            <w:tcW w:type="dxa" w:w="1728"/>
          </w:tcPr>
          <w:p>
            <w:r>
              <w:t>tidak ditemukan</w:t>
            </w:r>
          </w:p>
        </w:tc>
        <w:tc>
          <w:tcPr>
            <w:tcW w:type="dxa" w:w="1728"/>
          </w:tcPr>
          <w:p>
            <w:r>
              <w:t>0 kejadian</w:t>
            </w:r>
          </w:p>
        </w:tc>
        <w:tc>
          <w:tcPr>
            <w:tcW w:type="dxa" w:w="1728"/>
          </w:tcPr>
          <w:p>
            <w:r>
              <w:t>Belum ada - perlu ditambahkan</w:t>
            </w:r>
          </w:p>
        </w:tc>
      </w:tr>
      <w:tr>
        <w:tc>
          <w:tcPr>
            <w:tcW w:type="dxa" w:w="1728"/>
          </w:tcPr>
          <w:p>
            <w:r>
              <w:t>Frekuensi monev proses &amp; pengelolaan penelitian</w:t>
            </w:r>
          </w:p>
        </w:tc>
        <w:tc>
          <w:tcPr>
            <w:tcW w:type="dxa" w:w="1728"/>
          </w:tcPr>
          <w:p>
            <w:r>
              <w:t>Tidak ada frekuensi eksplisit</w:t>
            </w:r>
          </w:p>
        </w:tc>
        <w:tc>
          <w:tcPr>
            <w:tcW w:type="dxa" w:w="1728"/>
          </w:tcPr>
          <w:p>
            <w:r>
              <w:t>tidak ditemukan</w:t>
            </w:r>
          </w:p>
        </w:tc>
        <w:tc>
          <w:tcPr>
            <w:tcW w:type="dxa" w:w="1728"/>
          </w:tcPr>
          <w:p>
            <w:r>
              <w:t>≥1 kali/tahun (masing-masing)</w:t>
            </w:r>
          </w:p>
        </w:tc>
        <w:tc>
          <w:tcPr>
            <w:tcW w:type="dxa" w:w="1728"/>
          </w:tcPr>
          <w:p>
            <w:r>
              <w:t>Gap - perlu ditambahkan</w:t>
            </w:r>
          </w:p>
        </w:tc>
      </w:tr>
      <w:tr>
        <w:tc>
          <w:tcPr>
            <w:tcW w:type="dxa" w:w="1728"/>
          </w:tcPr>
          <w:p>
            <w:r>
              <w:t>Persentase rekomendasi monev ditindaklanjuti</w:t>
            </w:r>
          </w:p>
        </w:tc>
        <w:tc>
          <w:tcPr>
            <w:tcW w:type="dxa" w:w="1728"/>
          </w:tcPr>
          <w:p>
            <w:r>
              <w:t>Tidak ada indikator</w:t>
            </w:r>
          </w:p>
        </w:tc>
        <w:tc>
          <w:tcPr>
            <w:tcW w:type="dxa" w:w="1728"/>
          </w:tcPr>
          <w:p>
            <w:r>
              <w:t>tidak ditemukan</w:t>
            </w:r>
          </w:p>
        </w:tc>
        <w:tc>
          <w:tcPr>
            <w:tcW w:type="dxa" w:w="1728"/>
          </w:tcPr>
          <w:p>
            <w:r>
              <w:t>≥70%→95%</w:t>
            </w:r>
          </w:p>
        </w:tc>
        <w:tc>
          <w:tcPr>
            <w:tcW w:type="dxa" w:w="1728"/>
          </w:tcPr>
          <w:p>
            <w:r>
              <w:t>Belum ada - perlu ditambahkan</w:t>
            </w:r>
          </w:p>
        </w:tc>
      </w:tr>
      <w:tr>
        <w:tc>
          <w:tcPr>
            <w:tcW w:type="dxa" w:w="1728"/>
          </w:tcPr>
          <w:p>
            <w:r>
              <w:t>Kerja sama penelitian (DUDIKA/pemerintah/PT nasional-internasional)</w:t>
            </w:r>
          </w:p>
        </w:tc>
        <w:tc>
          <w:tcPr>
            <w:tcW w:type="dxa" w:w="1728"/>
          </w:tcPr>
          <w:p>
            <w:r>
              <w:t>Terlaksana (kualitatif, 4 kategori)</w:t>
            </w:r>
          </w:p>
        </w:tc>
        <w:tc>
          <w:tcPr>
            <w:tcW w:type="dxa" w:w="1728"/>
          </w:tcPr>
          <w:p>
            <w:r>
              <w:t>tidak ditemukan (R1); sebagian unsur (R3)</w:t>
            </w:r>
          </w:p>
        </w:tc>
        <w:tc>
          <w:tcPr>
            <w:tcW w:type="dxa" w:w="1728"/>
          </w:tcPr>
          <w:p>
            <w:r>
              <w:t>tidak ditemukan pada bagian diekstrak</w:t>
            </w:r>
          </w:p>
        </w:tc>
        <w:tc>
          <w:tcPr>
            <w:tcW w:type="dxa" w:w="1728"/>
          </w:tcPr>
          <w:p>
            <w:r>
              <w:t>Gap metodologis kedua sisi</w:t>
            </w:r>
          </w:p>
        </w:tc>
      </w:tr>
    </w:tbl>
    <w:p>
      <w:pPr>
        <w:pStyle w:val="Heading1"/>
      </w:pPr>
      <w:r>
        <w:t>D. Kesimpulan dan Rekomendasi</w:t>
      </w:r>
    </w:p>
    <w:p>
      <w:r>
        <w:t>Kesimpulan Umum: Dokumen Standar Proses Penelitian FTII UNISBANK secara struktural SELARAS dengan kelima dokumen rujukan pada aspek kesesuaian roadmap, keterlibatan mahasiswa (bahkan melampaui pada dua indikator), etika penelitian, dan mekanisme monev-AMI sebagai praktik universal SPMI. Namun ditemukan beberapa GAP KUANTITATIF signifikan yang perlu diperkuat agar setara dengan ambang skor tertinggi R2 (LAM Teknik) dan IKU eksplisit R4, terutama pada aspek produktivitas dosen berbasis diversifikasi sumber dana, keselamatan kerja peneliti, frekuensi monev/sosialisasi, persentase tindak lanjut rekomendasi, dan kuantifikasi kerja sama penelitian.</w:t>
      </w:r>
    </w:p>
    <w:p>
      <w:pPr>
        <w:pStyle w:val="ListNumber"/>
      </w:pPr>
      <w:r>
        <w:t>PRIORITAS TINGGI: tambahkan indikator produktivitas penelitian dosen berbasis diversifikasi sumber dana (internasional/nasional/mandiri) dan jumlah/persentase dosen memperoleh hibah eksternal, mengacu ambang R2 butir No.31 (RI≥0,05, RN≥0,3) dan R4 IKU No.11-12 (≥5→15 judul hibah/tahun; ≥30%→60% dosen penerima hibah).</w:t>
      </w:r>
    </w:p>
    <w:p>
      <w:pPr>
        <w:pStyle w:val="ListNumber"/>
      </w:pPr>
      <w:r>
        <w:t>Tambahkan indikator persentase penelitian yang selaras roadmap/RIP secara eksplisit (disarankan ≥90%→100% mengacu R4), menggantikan status kualitatif "Terlaksana" pada Tema 1.</w:t>
      </w:r>
    </w:p>
    <w:p>
      <w:pPr>
        <w:pStyle w:val="ListNumber"/>
      </w:pPr>
      <w:r>
        <w:t>Tambahkan indikator keselamatan kerja dan keamanan penelitian (jumlah kecelakaan kerja/insiden K3L, target 0 kejadian), mengacu R4 IKU No.6 dan R5 Bab 5 No.2, sebagai pelengkap indikator etika penelitian yang sudah ada.</w:t>
      </w:r>
    </w:p>
    <w:p>
      <w:pPr>
        <w:pStyle w:val="ListNumber"/>
      </w:pPr>
      <w:r>
        <w:t>Tambahkan indikator persentase luaran penelitian dosen yang melibatkan mahasiswa sebagai co-author/kontributor resmi, mengacu R4 IKU No.10 (ambang ≥20%→50%).</w:t>
      </w:r>
    </w:p>
    <w:p>
      <w:pPr>
        <w:pStyle w:val="ListNumber"/>
      </w:pPr>
      <w:r>
        <w:t>Konversi indikator kegiatan sesuai SOP dan laporan pelaksanaan periodik dari status kualitatif menjadi persentase terukur (disarankan ≥90%→100% mengacu R4 IKU No.3-4).</w:t>
      </w:r>
    </w:p>
    <w:p>
      <w:pPr>
        <w:pStyle w:val="ListNumber"/>
      </w:pPr>
      <w:r>
        <w:t>Tambahkan frekuensi baku monitoring-evaluasi proses penelitian dan pengelolaan penelitian (masing-masing minimal 1 kali/tahun) serta indikator persentase rekomendasi hasil monev yang ditindaklanjuti (disarankan ≥70%→95% mengacu R4 IKU No.5-6 Standar Pengelolaan Penelitian).</w:t>
      </w:r>
    </w:p>
    <w:p>
      <w:pPr>
        <w:pStyle w:val="ListNumber"/>
      </w:pPr>
      <w:r>
        <w:t>Kuantifikasi target kerja sama penelitian per kategori mitra (DUDIKA, pemerintah, PT nasional, PT internasional) menjadi jumlah kegiatan/tahun (disarankan minimal 1-2 kerja sama aktif per kategori per tahun), menggantikan status kualitatif "Terlaksana" pada IKT.</w:t>
      </w:r>
    </w:p>
    <w:p>
      <w:pPr>
        <w:pStyle w:val="ListNumber"/>
      </w:pPr>
      <w:r>
        <w:t>Pertahankan dan dokumentasikan secara eksplisit target keterlibatan mahasiswa dalam penelitian (100% penelitian melibatkan mahasiswa; 20%→30% mahasiswa terlibat) sebagai praktik baik, karena target ini SUDAH MELAMPAUI ambang skor sempurna R1 (25%), R2 (50% pada basis judul), dan R4 (10%→25% pada basis populasi mahasiswa).</w:t>
      </w:r>
    </w:p>
    <w:p/>
    <w:p>
      <w:r>
        <w:t>Disusun di Semarang pada tanggal 31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