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PEMETAAN STANDAR PROSES PkM</w:t>
      </w:r>
    </w:p>
    <w:p>
      <w:pPr>
        <w:jc w:val="center"/>
      </w:pPr>
      <w: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Kode</w:t>
            </w:r>
          </w:p>
        </w:tc>
        <w:tc>
          <w:tcPr>
            <w:tcW w:type="dxa" w:w="2880"/>
          </w:tcPr>
          <w:p>
            <w:r>
              <w:t>Dokumen</w:t>
            </w:r>
          </w:p>
        </w:tc>
        <w:tc>
          <w:tcPr>
            <w:tcW w:type="dxa" w:w="2880"/>
          </w:tcPr>
          <w:p>
            <w:r>
              <w:t>Sumber / Institusi</w:t>
            </w:r>
          </w:p>
        </w:tc>
      </w:tr>
      <w:tr>
        <w:tc>
          <w:tcPr>
            <w:tcW w:type="dxa" w:w="2880"/>
          </w:tcPr>
          <w:p>
            <w:r>
              <w:t>FTII</w:t>
            </w:r>
          </w:p>
        </w:tc>
        <w:tc>
          <w:tcPr>
            <w:tcW w:type="dxa" w:w="2880"/>
          </w:tcPr>
          <w:p>
            <w:r>
              <w:t>Draft Standar Proses PkM FTII UNISBANK</w:t>
            </w:r>
          </w:p>
        </w:tc>
        <w:tc>
          <w:tcPr>
            <w:tcW w:type="dxa" w:w="2880"/>
          </w:tcPr>
          <w:p>
            <w:r>
              <w:t>Fakultas Teknologi Informasi dan Industri, Universitas Stikubank (UNISBANK) Semarang</w:t>
            </w:r>
          </w:p>
        </w:tc>
      </w:tr>
      <w:tr>
        <w:tc>
          <w:tcPr>
            <w:tcW w:type="dxa" w:w="2880"/>
          </w:tcPr>
          <w:p>
            <w:r>
              <w:t>R1</w:t>
            </w:r>
          </w:p>
        </w:tc>
        <w:tc>
          <w:tcPr>
            <w:tcW w:type="dxa" w:w="2880"/>
          </w:tcPr>
          <w:p>
            <w:r>
              <w:t>Dokumen Panduan SPMI Program Sarjana dan Sarjana Terapan - 2024</w:t>
            </w:r>
          </w:p>
        </w:tc>
        <w:tc>
          <w:tcPr>
            <w:tcW w:type="dxa" w:w="2880"/>
          </w:tcPr>
          <w:p>
            <w:r>
              <w:t>Panduan SPMI Program Sarjana dan Sarjana Terapan</w:t>
            </w:r>
          </w:p>
        </w:tc>
      </w:tr>
      <w:tr>
        <w:tc>
          <w:tcPr>
            <w:tcW w:type="dxa" w:w="2880"/>
          </w:tcPr>
          <w:p>
            <w:r>
              <w:t>R2</w:t>
            </w:r>
          </w:p>
        </w:tc>
        <w:tc>
          <w:tcPr>
            <w:tcW w:type="dxa" w:w="2880"/>
          </w:tcPr>
          <w:p>
            <w:r>
              <w:t>Matriks Penilaian Laporan Evaluasi Diri dan Laporan Kinerja Program Studi - Program Sarjana (APS-AV 2025 1.0)</w:t>
            </w:r>
          </w:p>
        </w:tc>
        <w:tc>
          <w:tcPr>
            <w:tcW w:type="dxa" w:w="2880"/>
          </w:tcPr>
          <w:p>
            <w:r>
              <w:t>Lembaga Akreditasi Mandiri Teknik (LAM Teknik)</w:t>
            </w:r>
          </w:p>
        </w:tc>
      </w:tr>
      <w:tr>
        <w:tc>
          <w:tcPr>
            <w:tcW w:type="dxa" w:w="2880"/>
          </w:tcPr>
          <w:p>
            <w:r>
              <w:t>R3</w:t>
            </w:r>
          </w:p>
        </w:tc>
        <w:tc>
          <w:tcPr>
            <w:tcW w:type="dxa" w:w="2880"/>
          </w:tcPr>
          <w:p>
            <w:r>
              <w:t>Standar untuk Memperoleh Status Terakreditasi Unggul bagi Program Studi yang Tercakup dalam LAM INFOKOM</w:t>
            </w:r>
          </w:p>
        </w:tc>
        <w:tc>
          <w:tcPr>
            <w:tcW w:type="dxa" w:w="2880"/>
          </w:tcPr>
          <w:p>
            <w:r>
              <w:t>Lembaga Akreditasi Mandiri Informatika dan Komputer (LAM INFOKOM)</w:t>
            </w:r>
          </w:p>
        </w:tc>
      </w:tr>
      <w:tr>
        <w:tc>
          <w:tcPr>
            <w:tcW w:type="dxa" w:w="2880"/>
          </w:tcPr>
          <w:p>
            <w:r>
              <w:t>R4</w:t>
            </w:r>
          </w:p>
        </w:tc>
        <w:tc>
          <w:tcPr>
            <w:tcW w:type="dxa" w:w="2880"/>
          </w:tcPr>
          <w:p>
            <w:r>
              <w:t>Standar Proses, Penilaian, dan Pengelolaan Pengabdian kepada Masyarakat (Dokumen SPMI lengkap, 171 halaman)</w:t>
            </w:r>
          </w:p>
        </w:tc>
        <w:tc>
          <w:tcPr>
            <w:tcW w:type="dxa" w:w="2880"/>
          </w:tcPr>
          <w:p>
            <w:r>
              <w:t>Dokumen SPMI Fakultas sejenis</w:t>
            </w:r>
          </w:p>
        </w:tc>
      </w:tr>
      <w:tr>
        <w:tc>
          <w:tcPr>
            <w:tcW w:type="dxa" w:w="2880"/>
          </w:tcPr>
          <w:p>
            <w:r>
              <w:t>R5</w:t>
            </w:r>
          </w:p>
        </w:tc>
        <w:tc>
          <w:tcPr>
            <w:tcW w:type="dxa" w:w="2880"/>
          </w:tcPr>
          <w:p>
            <w:r>
              <w:t>Buku Standar Proses PkM dan Buku Standar Pengelolaan PkM</w:t>
            </w:r>
          </w:p>
        </w:tc>
        <w:tc>
          <w:tcPr>
            <w:tcW w:type="dxa" w:w="2880"/>
          </w:tcPr>
          <w:p>
            <w:r>
              <w:t>praktik baik SPMI perguruan tinggi rujukan</w:t>
            </w:r>
          </w:p>
        </w:tc>
      </w:tr>
    </w:tbl>
    <w:p>
      <w:r>
        <w:t>Catatan metodologis: pemetaan disusun berdasarkan ekstraksi teks langsung (pdftotext) dari kelima dokumen rujukan pada bagian/bab yang relevan dengan proses PkM (penilaian/review proposal, pelaksanaan, keterlibatan mahasiswa, kerja sama, monitoring-evaluasi, pengelolaan kelembagaan), dan dari isi lengkap draft Standar Proses PkM FTII (23 pernyataan standar, indikator kinerja utama pelaksanaan PkM, pelibatan mahasiswa dalam PkM, serta indikator tingkat universitas dan indikator kinerja tambahan kerja sama PkM). Kutipan pada tabel di bawah diringkas dari teks asli masing-masing dokumen.</w:t>
      </w:r>
    </w:p>
    <w:p>
      <w:pPr>
        <w:pStyle w:val="Heading1"/>
      </w:pPr>
      <w:r>
        <w:t>B. Pemetaan per Tema Standar</w:t>
      </w:r>
    </w:p>
    <w:p>
      <w:pPr>
        <w:pStyle w:val="Heading2"/>
      </w:pPr>
      <w:r>
        <w:t>Tema 1. Penilaian/Review Proposal PkM dan Bukti Pelaksanaan Proses</w:t>
      </w:r>
    </w:p>
    <w:p>
      <w:r>
        <w:t>Ketentuan FTII UNISBANK: DPPMP menjamin tersedianya bukti pelaksanaan proses PkM sekurang-kurangnya mencakup 9 unsur (tata cara review, instrumen penilaian, legalitas reviewer, hasil review, legalitas penugasan/kerja sama, kontrak, berita acara monev, laporan AMI, dokumentasi luaran) — seluruhnya berstatus kualitatif "Tersedia" tanpa ambang persentase.</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Standar Proses PkM (R1) mencakup 3 sub-butir: (1) kegiatan dalam proses dan pengelolaan PkM, (2) prinsip pelaksanaan PkM, (3) pelaksana PkM — dijabarkan secara kualitatif pada bagian yang diekstrak, tanpa rincian 9 unsur bukti proses sebagaimana FTII.</w:t>
            </w:r>
          </w:p>
        </w:tc>
      </w:tr>
      <w:tr>
        <w:tc>
          <w:tcPr>
            <w:tcW w:type="dxa" w:w="4320"/>
          </w:tcPr>
          <w:p>
            <w:r>
              <w:t>R2 (LAM Teknik)</w:t>
            </w:r>
          </w:p>
        </w:tc>
        <w:tc>
          <w:tcPr>
            <w:tcW w:type="dxa" w:w="4320"/>
          </w:tcPr>
          <w:p>
            <w:r>
              <w:t>Tidak ditemukan butir tersendiri mengenai checklist bukti administratif proses PkM (review, kontrak, legalitas) pada bagian yang diekstrak — fokus penilaian LAM Teknik pada Butir No.24-25 lebih ke arah kesesuaian PkM dengan peta jalan dan keterlibatan mahasiswa (lihat Tema 2 dan 3).</w:t>
            </w:r>
          </w:p>
        </w:tc>
      </w:tr>
      <w:tr>
        <w:tc>
          <w:tcPr>
            <w:tcW w:type="dxa" w:w="4320"/>
          </w:tcPr>
          <w:p>
            <w:r>
              <w:t>R3 (LAM INFOKOM)</w:t>
            </w:r>
          </w:p>
        </w:tc>
        <w:tc>
          <w:tcPr>
            <w:tcW w:type="dxa" w:w="4320"/>
          </w:tcPr>
          <w:p>
            <w:r>
              <w:t>Butir 4.2.C: menilai efektivitas pelaksanaan kegiatan terkait perolehan hibah PkM, kerja sama PkM, diseminasi, dan HKI secara deskriptif berjenjang (kualitatif "sangat efektif, disertai bukti-bukti yang sahih dan sangat lengkap" untuk skor tertinggi Unggul) — sejalan dengan pendekatan kualitatif FTII, namun tanpa checklist 9 unsur eksplisit.</w:t>
            </w:r>
          </w:p>
        </w:tc>
      </w:tr>
      <w:tr>
        <w:tc>
          <w:tcPr>
            <w:tcW w:type="dxa" w:w="4320"/>
          </w:tcPr>
          <w:p>
            <w:r>
              <w:t>R4</w:t>
            </w:r>
          </w:p>
        </w:tc>
        <w:tc>
          <w:tcPr>
            <w:tcW w:type="dxa" w:w="4320"/>
          </w:tcPr>
          <w:p>
            <w:r>
              <w:t>Menetapkan PERSENTASE TERUKUR untuk setiap unsur proses: persentase prodi/dosen menerapkan Standar Proses PkM (≥90%→100%), persentase kegiatan PkM sesuai pedoman proses (≥90%→100%), persentase direview reviewer legal (≥95%→100%), persentase hasil penilaian &amp; dokumen penugasan lengkap (≥90%→100%), persentase berita acara monev tersedia (≥90%→100%), persentase laporan memenuhi aspek komprehensif-relevan-mutakhir-tepat waktu (≥90%→100%), frekuensi monev internal (≥1 kali/tahun).</w:t>
            </w:r>
          </w:p>
        </w:tc>
      </w:tr>
      <w:tr>
        <w:tc>
          <w:tcPr>
            <w:tcW w:type="dxa" w:w="4320"/>
          </w:tcPr>
          <w:p>
            <w:r>
              <w:t>R5</w:t>
            </w:r>
          </w:p>
        </w:tc>
        <w:tc>
          <w:tcPr>
            <w:tcW w:type="dxa" w:w="4320"/>
          </w:tcPr>
          <w:p>
            <w:r>
              <w:t>Bab 5 No.7: LPPM wajib memiliki bukti sahih pelaksanaan proses PkM mencakup PERSIS 6 ASPEK: (1) tata cara penilaian dan review, (2) legalitas pengangkatan reviewer, (3) bukti tertulis hasil penilaian usulan, (4) legalitas penugasan pelaksana/kerja sama, (5) berita acara hasil monev, (6) dokumentasi luaran PkM — status kualitatif "ada bukti", tanpa ambang persentase.</w:t>
            </w:r>
          </w:p>
        </w:tc>
      </w:tr>
    </w:tbl>
    <w:p>
      <w:r>
        <w:t>Analisis Kesesuaian: SELARAS PADA CAKUPAN, GAP PADA AMBANG KUANTITATIF — cakupan bukti proses FTII (9 unsur) MELAMPAUI cakupan minimal R5 (6 aspek) dan R1 (3 sub-butir kualitatif), namun R4 mengonversi seluruh unsur serupa menjadi ambang PERSENTASE eksplisit (≥90-100%) yang TIDAK DIMILIKI FTII — seluruh indikator FTII pada tema ini masih berstatus "Tersedia" tanpa target persentase capaian. REKOMENDASI: konversi status kualitatif checklist bukti proses FTII menjadi persentase terukur (disarankan ≥90%→100%, mengacu R4), agar setara dengan standar akreditasi berjenjang.</w:t>
      </w:r>
    </w:p>
    <w:p>
      <w:pPr>
        <w:pStyle w:val="Heading2"/>
      </w:pPr>
      <w:r>
        <w:t>Tema 2. Kesesuaian PkM dengan Roadmap/Peta Jalan PkM</w:t>
      </w:r>
    </w:p>
    <w:p>
      <w:r>
        <w:t>Ketentuan FTII UNISBANK: Setiap kegiatan PkM wajib dilaksanakan sesuai roadmap PkM FTII dan Universitas serta dibuktikan dengan dokumen kesesuaian kegiatan terhadap peta jalan PkM — bersifat KUALITATIF ("dibuktikan dengan dokumen"), tanpa ambang persentase kesesuaian.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8.1 (Relevansi PkM pada Departemen): skor 4 jika unit pengelola memenuhi 4 unsur — (1) memiliki peta jalan PkM yang memayungi tema PkM dosen-mahasiswa serta hilirisasi/penerapan keilmuan PS, (2) dosen-mahasiswa melaksanakan PkM sesuai peta jalan, (3) melakukan evaluasi kesesuaian PkM dengan peta jalan, (4) menggunakan hasil evaluasi untuk perbaikan relevansi PkM — skor turun bertahap jika unsur tidak lengkap (skor 1 jika hanya punya peta jalan namun pelaksanaan tidak sesuai; skor 0 jika tidak punya peta jalan sama sekali).</w:t>
            </w:r>
          </w:p>
        </w:tc>
      </w:tr>
      <w:tr>
        <w:tc>
          <w:tcPr>
            <w:tcW w:type="dxa" w:w="4320"/>
          </w:tcPr>
          <w:p>
            <w:r>
              <w:t>R2 (LAM Teknik)</w:t>
            </w:r>
          </w:p>
        </w:tc>
        <w:tc>
          <w:tcPr>
            <w:tcW w:type="dxa" w:w="4320"/>
          </w:tcPr>
          <w:p>
            <w:r>
              <w:t>Butir No.24: skor 4 jika UPPS memenuhi 4 unsur kesesuaian PkM dengan VMTS dan visi keilmuan program studi (peta jalan mendukung VMTS, peta jalan memayungi tema PkM dosen-mahasiswa, evaluasi berkala keselarasan, dampak positif bagi masyarakat) — skor turun bertahap sesuai jumlah unsur terpenuhi (skor 0 jika UPPS tidak memiliki peta jalan PkM sama sekali).</w:t>
            </w:r>
          </w:p>
        </w:tc>
      </w:tr>
      <w:tr>
        <w:tc>
          <w:tcPr>
            <w:tcW w:type="dxa" w:w="4320"/>
          </w:tcPr>
          <w:p>
            <w:r>
              <w:t>R3 (LAM INFOKOM)</w:t>
            </w:r>
          </w:p>
        </w:tc>
        <w:tc>
          <w:tcPr>
            <w:tcW w:type="dxa" w:w="4320"/>
          </w:tcPr>
          <w:p>
            <w:r>
              <w:t>Butir 4.1.A/4.1.B: mensyaratkan tersedianya kebijakan, standar, dan indikator terkait peta jalan PkM serta implementasinya berdasarkan visi-misi PT/UPPS/prodi dan kebutuhan DUDIKA, dengan deskriptor tertinggi Unggul "disertai bukti-bukti yang sahih dan sangat lengkap" — deskriptif kualitatif berjenjang, bukan skor numerik 0-4.</w:t>
            </w:r>
          </w:p>
        </w:tc>
      </w:tr>
      <w:tr>
        <w:tc>
          <w:tcPr>
            <w:tcW w:type="dxa" w:w="4320"/>
          </w:tcPr>
          <w:p>
            <w:r>
              <w:t>R4</w:t>
            </w:r>
          </w:p>
        </w:tc>
        <w:tc>
          <w:tcPr>
            <w:tcW w:type="dxa" w:w="4320"/>
          </w:tcPr>
          <w:p>
            <w:r>
              <w:t>Tidak ditemukan indikator kuantitatif terpisah untuk "kesesuaian PkM dengan roadmap" pada bagian Standar Proses PkM yang diekstrak (hlm 95-99) — namun Standar Pengelolaan PkM (lihat Tema 6) memuat indikator "persentase kegiatan PkM sesuai Rencana Induk dan Roadmap PkM, minimal 75%".</w:t>
            </w:r>
          </w:p>
        </w:tc>
      </w:tr>
      <w:tr>
        <w:tc>
          <w:tcPr>
            <w:tcW w:type="dxa" w:w="4320"/>
          </w:tcPr>
          <w:p>
            <w:r>
              <w:t>R5</w:t>
            </w:r>
          </w:p>
        </w:tc>
        <w:tc>
          <w:tcPr>
            <w:tcW w:type="dxa" w:w="4320"/>
          </w:tcPr>
          <w:p>
            <w:r>
              <w:t>Bab 5 No.3: "adanya bukti pelaksanaan PkM sesuai peta jalan PkM" — status kualitatif, sejalan dengan pendekatan FTII, namun R5 Bab 4 Pernyataan Standar juga menegaskan seluruh dosen-mahasiswa WAJIB merujuk pada peta jalan (Roadmap PkM) perguruan tinggi rujukan R5 sebagai syarat pelaksanaan, bukan sekadar bukti dokumentasi.</w:t>
            </w:r>
          </w:p>
        </w:tc>
      </w:tr>
    </w:tbl>
    <w:p>
      <w:r>
        <w:t>Analisis Kesesuaian: GAP TERUKUR — R1 dan R2 SECARA EKSPLISIT menuntut bukti BERJENJANG (skor 0-4) atas 4 unsur kesesuaian peta jalan PkM (bukan sekadar "dokumen kesesuaian" tunggal), sementara R4 (pada tema Pengelolaan) menetapkan ambang persentase eksplisit ≥75%. FTII baru menyatakan kewajiban dan bukti dokumen secara umum tanpa merinci unsur maupun ambang persentase. REKOMENDASI: rinci indikator kesesuaian PkM dengan roadmap menjadi ambang persentase eksplisit (disarankan ≥75%-90% mengacu R4) dan/atau checklist 4 unsur mengacu R1/R2.</w:t>
      </w:r>
    </w:p>
    <w:p>
      <w:pPr>
        <w:pStyle w:val="Heading2"/>
      </w:pPr>
      <w:r>
        <w:t>Tema 3. Keterlibatan Mahasiswa dalam PkM Dosen</w:t>
      </w:r>
    </w:p>
    <w:p>
      <w:r>
        <w:t>Ketentuan FTII UNISBANK: Persentase mahasiswa terlibat dalam PkM dosen 20% (2023/24) naik menjadi 25%, 25%, 30% (2026/27); persentase PkM yang melibatkan mahasiswa 100% (seluruh periode); serta pada tabel terpisah "Pelibatan Mahasiswa dalam PkM" tingkat universitas: persentase mahasiswa terlibat 5%→8% (2026/27, angka lebih rendah dan tampak tidak konsisten dengan target 20-30% pada tabel fakultas).</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8.2: PPkMDM = (NPkMM/NPkMD) x 100% — persentase judul PkM DTPS yang dalam pelaksanaannya melibatkan mahasiswa program studi. Skor 4 jika PPkMDM ≥25%; jika &lt;25% maka Skor = 2 + (8 x PPkMDM).</w:t>
            </w:r>
          </w:p>
        </w:tc>
      </w:tr>
      <w:tr>
        <w:tc>
          <w:tcPr>
            <w:tcW w:type="dxa" w:w="4320"/>
          </w:tcPr>
          <w:p>
            <w:r>
              <w:t>R2 (LAM Teknik)</w:t>
            </w:r>
          </w:p>
        </w:tc>
        <w:tc>
          <w:tcPr>
            <w:tcW w:type="dxa" w:w="4320"/>
          </w:tcPr>
          <w:p>
            <w:r>
              <w:t>Butir No.25: PKDMhs = (NPKMhs/NPKD) x 100% dalam 3 tahun terakhir. Skor 4 jika PKDMhs ≥50%; jika &lt;50% maka Skor = 1 + (6 x PKDMhs).</w:t>
            </w:r>
          </w:p>
        </w:tc>
      </w:tr>
      <w:tr>
        <w:tc>
          <w:tcPr>
            <w:tcW w:type="dxa" w:w="4320"/>
          </w:tcPr>
          <w:p>
            <w:r>
              <w:t>R3 (LAM INFOKOM)</w:t>
            </w:r>
          </w:p>
        </w:tc>
        <w:tc>
          <w:tcPr>
            <w:tcW w:type="dxa" w:w="4320"/>
          </w:tcPr>
          <w:p>
            <w:r>
              <w:t>Butir 4.1.B/4.2.B: mensyaratkan kebijakan dan efektivitas pelaksanaan terkait "pelibatan mahasiswa" dalam peta jalan PkM — deskriptif kualitatif berjenjang tanpa ambang persentase numerik eksplisit pada bagian yang diekstrak.</w:t>
            </w:r>
          </w:p>
        </w:tc>
      </w:tr>
      <w:tr>
        <w:tc>
          <w:tcPr>
            <w:tcW w:type="dxa" w:w="4320"/>
          </w:tcPr>
          <w:p>
            <w:r>
              <w:t>R4</w:t>
            </w:r>
          </w:p>
        </w:tc>
        <w:tc>
          <w:tcPr>
            <w:tcW w:type="dxa" w:w="4320"/>
          </w:tcPr>
          <w:p>
            <w:r>
              <w:t>IKU No.8: persentase kegiatan PkM dosen yang melibatkan mahasiswa sebagai anggota tim pelaksana, ≥30%→60% (2023-2026). IKU No.9: persentase mahasiswa aktif terlibat dalam PkM dosen per tahun, ≥10%→25%. IKU No.10: persentase kegiatan PkM yang melibatkan mahasiswa DAN menghasilkan luaran dimanfaatkan masyarakat, ≥60%→90%.</w:t>
            </w:r>
          </w:p>
        </w:tc>
      </w:tr>
      <w:tr>
        <w:tc>
          <w:tcPr>
            <w:tcW w:type="dxa" w:w="4320"/>
          </w:tcPr>
          <w:p>
            <w:r>
              <w:t>R5</w:t>
            </w:r>
          </w:p>
        </w:tc>
        <w:tc>
          <w:tcPr>
            <w:tcW w:type="dxa" w:w="4320"/>
          </w:tcPr>
          <w:p>
            <w:r>
              <w:t>Bab 5 No.4: persentase keterlibatan mahasiswa dalam PkM minimal 25% dari judul PkM.</w:t>
            </w:r>
          </w:p>
        </w:tc>
      </w:tr>
    </w:tbl>
    <w:p>
      <w:r>
        <w:t>Analisis Kesesuaian: SEBAGIAN MELAMPAUI, NAMUN ADA INKONSISTENSI DATA INTERNAL — pada indikator "persentase PKM melibatkan mahasiswa" (100%), target FTII MELAMPAUI seluruh ambang skor sempurna R1 (≥25%), R2 (≥50%), R4 (≥30%→60%), dan R5 (≥25%). Namun ditemukan INKONSISTENSI: draft FTII memuat DUA tabel berbeda untuk "persentase mahasiswa terlibat" — tabel Pelaksanaan PKM menyebut 20%→30%, sedangkan tabel terpisah "Pelibatan Mahasiswa dalam PKM" tingkat universitas menyebut hanya 5%→8% untuk indikator berjudul sama. Angka 5-8% ini JAUH DI BAWAH ambang R1 (≥25%) dan R5 (≥25%). REKOMENDASI PRIORITAS: satukan dan klarifikasi definisi kedua indikator ini (kemungkinan salah satunya mengukur "persentase mahasiswa aktif kampus yang terlibat PkM" ala R4 IKU No.9, bukan "persentase judul PkM yang melibatkan mahasiswa") agar tidak terjadi dua angka berbeda untuk metrik yang tampak identik.</w:t>
      </w:r>
    </w:p>
    <w:p>
      <w:pPr>
        <w:pStyle w:val="Heading2"/>
      </w:pPr>
      <w:r>
        <w:t>Tema 4. Etika, Keselamatan Kerja (K3), dan Legalitas Pelaksanaan PkM</w:t>
      </w:r>
    </w:p>
    <w:p>
      <w:r>
        <w:t>Ketentuan FTII UNISBANK: Target nihil (0) kasus pelanggaran kaidah ilmiah, etika akademik, hukum, maupun norma sosial setiap tahun; setiap kegiatan PkM wajib memiliki legalitas penugasan (ST/SK/kontrak/dokumen kerja sama) — tidak ada indikator terpisah mengenai keselamatan kerja (K3) pelaksana maupun masyarakat sasaran PkM.</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Bagian 3.7 Penambahan Standar Sarana Prasarana: mensyaratkan SOP penggunaan peralatan, pemeliharaan, evaluasi kelayakan, PELATIHAN K3, serta sosialisasi SOP K3L (Keselamatan, Kesehatan Kerja, dan Lindungan Lingkungan) bagi pengguna laboratorium/lapangan PkM — eksplisit dan wajib.</w:t>
            </w:r>
          </w:p>
        </w:tc>
      </w:tr>
      <w:tr>
        <w:tc>
          <w:tcPr>
            <w:tcW w:type="dxa" w:w="4320"/>
          </w:tcPr>
          <w:p>
            <w:r>
              <w:t>R2 (LAM Teknik)</w:t>
            </w:r>
          </w:p>
        </w:tc>
        <w:tc>
          <w:tcPr>
            <w:tcW w:type="dxa" w:w="4320"/>
          </w:tcPr>
          <w:p>
            <w:r>
              <w:t>Tidak ditemukan butir eksplisit K3L/etika PkM pada bagian Kriteria 3.3 Pengabdian kepada Masyarakat yang diekstrak (Butir No.24-25) — fokus penilaian pada peta jalan dan keterlibatan mahasiswa.</w:t>
            </w:r>
          </w:p>
        </w:tc>
      </w:tr>
      <w:tr>
        <w:tc>
          <w:tcPr>
            <w:tcW w:type="dxa" w:w="4320"/>
          </w:tcPr>
          <w:p>
            <w:r>
              <w:t>R3 (LAM INFOKOM)</w:t>
            </w:r>
          </w:p>
        </w:tc>
        <w:tc>
          <w:tcPr>
            <w:tcW w:type="dxa" w:w="4320"/>
          </w:tcPr>
          <w:p>
            <w:r>
              <w:t>Tidak ditemukan butir eksplisit keselamatan kerja pada Kriteria 4 Relevansi PkM yang diekstrak — fokus pada sarana-prasarana, DTPR, pembiayaan, dan peta jalan.</w:t>
            </w:r>
          </w:p>
        </w:tc>
      </w:tr>
      <w:tr>
        <w:tc>
          <w:tcPr>
            <w:tcW w:type="dxa" w:w="4320"/>
          </w:tcPr>
          <w:p>
            <w:r>
              <w:t>R4</w:t>
            </w:r>
          </w:p>
        </w:tc>
        <w:tc>
          <w:tcPr>
            <w:tcW w:type="dxa" w:w="4320"/>
          </w:tcPr>
          <w:p>
            <w:r>
              <w:t>Tidak ditemukan indikator terpisah keselamatan kerja pada bagian Standar Proses/Pengelolaan PkM yang diekstrak; aspek K3 kemungkinan diatur pada Standar Sarana dan Prasarana PkM tersendiri (di luar cakupan pemetaan tema proses ini).</w:t>
            </w:r>
          </w:p>
        </w:tc>
      </w:tr>
      <w:tr>
        <w:tc>
          <w:tcPr>
            <w:tcW w:type="dxa" w:w="4320"/>
          </w:tcPr>
          <w:p>
            <w:r>
              <w:t>R5</w:t>
            </w:r>
          </w:p>
        </w:tc>
        <w:tc>
          <w:tcPr>
            <w:tcW w:type="dxa" w:w="4320"/>
          </w:tcPr>
          <w:p>
            <w:r>
              <w:t>Bab 4 Pernyataan Standar No.2: "Rektor menetapkan bahwa kegiatan PkM wajib mempertimbangkan standar mutu, keselamatan kerja, kesehatan, kenyamanan, serta keamanan pelaksana, masyarakat, dan lingkungan." Bab 5 No.2: "setiap proposal PkM harus lolos penilaian (oleh komisi etik) terkait standar mutu, keselamatan kerja, kesehatan, kenyamanan, serta keamanan pelaksana, masyarakat, dan lingkungan" — EKSPLISIT dan menjadi syarat lolos proposal, bukan sekadar imbauan.</w:t>
            </w:r>
          </w:p>
        </w:tc>
      </w:tr>
    </w:tbl>
    <w:p>
      <w:r>
        <w:t>Analisis Kesesuaian: SELARAS PADA ETIKA, GAP PADA KESELAMATAN KERJA — target "0 kasus pelanggaran kaidah ilmiah" FTII sejalan dengan praktik universal SPMI. Namun R1 dan R5 SECARA EKSPLISIT mensyaratkan pertimbangan/verifikasi keselamatan kerja (K3) sebagai syarat proposal dan pelaksanaan PkM — FTII BELUM memiliki indikator maupun mekanisme verifikasi K3 untuk kegiatan PkM (berbeda dengan Standar Proses Penelitian FTII yang telah memiliki gap serupa dan direkomendasikan ditambah). REKOMENDASI: tambahkan syarat verifikasi standar mutu, keselamatan kerja, kesehatan, kenyamanan, dan keamanan pelaksana-masyarakat-lingkungan sebagai bagian proses review proposal PkM, mengacu R5 Bab 5 No.2.</w:t>
      </w:r>
    </w:p>
    <w:p>
      <w:pPr>
        <w:pStyle w:val="Heading2"/>
      </w:pPr>
      <w:r>
        <w:t>Tema 5. Kerja Sama PkM (DUDI, Pemerintah, Perguruan Tinggi Nasional/Internasional)</w:t>
      </w:r>
    </w:p>
    <w:p>
      <w:r>
        <w:t>Ketentuan FTII UNISBANK: FTII mendorong dan memfasilitasi PkM kolaboratif dengan DUDI, pemerintah, PT nasional, dan PT internasional — pada Indikator Kinerja Tambahan seluruhnya berstatus KUALITATIF "terlaksana" tanpa target jumlah/frekuensi kerja sama per kategori mitra.</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butir eksplisit kerja sama PkM per kategori mitra pada bagian Standar Proses PkM yang diekstrak — kerja sama tercakup dalam Butir 2.2 Kerjasama (RK = (N1+N2+N3)/NDTPS, dengan N3 = jumlah kerja sama PkM) yang menggabungkan pendidikan-penelitian-PkM menjadi satu rasio, bukan kerja sama PkM tersendiri per kategori mitra.</w:t>
            </w:r>
          </w:p>
        </w:tc>
      </w:tr>
      <w:tr>
        <w:tc>
          <w:tcPr>
            <w:tcW w:type="dxa" w:w="4320"/>
          </w:tcPr>
          <w:p>
            <w:r>
              <w:t>R2 (LAM Teknik)</w:t>
            </w:r>
          </w:p>
        </w:tc>
        <w:tc>
          <w:tcPr>
            <w:tcW w:type="dxa" w:w="4320"/>
          </w:tcPr>
          <w:p>
            <w:r>
              <w:t>Butir No.6 (2.2 Kerjasama): RK = (N1+N2+N3)/NDTPS dengan N3 = jumlah kerja sama PkM, skor 4 jika RK≥4; serta indikator terpisah kerja sama tingkat internasional/nasional/wilayah (NI, NN, NW) dengan ambang a=2 (internasional), b=6 (nasional), c=8 (wilayah/lokal) dalam 3 tahun terakhir — kuantitatif dan berjenjang per tingkat.</w:t>
            </w:r>
          </w:p>
        </w:tc>
      </w:tr>
      <w:tr>
        <w:tc>
          <w:tcPr>
            <w:tcW w:type="dxa" w:w="4320"/>
          </w:tcPr>
          <w:p>
            <w:r>
              <w:t>R3 (LAM INFOKOM)</w:t>
            </w:r>
          </w:p>
        </w:tc>
        <w:tc>
          <w:tcPr>
            <w:tcW w:type="dxa" w:w="4320"/>
          </w:tcPr>
          <w:p>
            <w:r>
              <w:t>Butir 4.1.C/4.2.C: mensyaratkan kebijakan dan efektivitas pelaksanaan "kerjasama PkM, diseminasi baik lingkup lokal, nasional, dan internasional" — deskriptif kualitatif berjenjang, cakupan mencakup 3 tingkat wilayah namun tanpa ambang jumlah numerik.</w:t>
            </w:r>
          </w:p>
        </w:tc>
      </w:tr>
      <w:tr>
        <w:tc>
          <w:tcPr>
            <w:tcW w:type="dxa" w:w="4320"/>
          </w:tcPr>
          <w:p>
            <w:r>
              <w:t>R4</w:t>
            </w:r>
          </w:p>
        </w:tc>
        <w:tc>
          <w:tcPr>
            <w:tcW w:type="dxa" w:w="4320"/>
          </w:tcPr>
          <w:p>
            <w:r>
              <w:t>Tidak ditemukan indikator kuantitatif untuk kerja sama PkM per kategori mitra pada bagian Standar Proses/Pengelolaan PkM yang diekstrak (hlm 95-113) — kemungkinan diatur pada bagian Standar Kerjasama tersendiri di luar cakupan pemetaan ini.</w:t>
            </w:r>
          </w:p>
        </w:tc>
      </w:tr>
      <w:tr>
        <w:tc>
          <w:tcPr>
            <w:tcW w:type="dxa" w:w="4320"/>
          </w:tcPr>
          <w:p>
            <w:r>
              <w:t>R5</w:t>
            </w:r>
          </w:p>
        </w:tc>
        <w:tc>
          <w:tcPr>
            <w:tcW w:type="dxa" w:w="4320"/>
          </w:tcPr>
          <w:p>
            <w:r>
              <w:t>Bab 4 Pernyataan Standar tidak merinci ambang jumlah kerja sama PkM per kategori mitra pada bagian yang diekstrak — kerja sama tercakup dalam kewajiban umum LPPM/P3M untuk "mendayagunakan sarana dan prasarana pada lembaga lain melalui kerja sama" (Bab 4 Pengelolaan PkM No.2h).</w:t>
            </w:r>
          </w:p>
        </w:tc>
      </w:tr>
    </w:tbl>
    <w:p>
      <w:r>
        <w:t>Analisis Kesesuaian: GAP TERUKUR PADA KEDUA SISI — draft FTII maupun sebagian besar rujukan (R1, R3, R4, R5 pada bagian yang diekstrak) BELUM menetapkan ambang kuantitatif eksplisit untuk jumlah/frekuensi kerja sama PkM per kategori mitra. Pengecualian adalah R2 yang secara eksplisit memberi ambang numerik berjenjang per tingkat kerja sama (internasional ≥2, nasional ≥6, wilayah/lokal ≥8 dalam 3 tahun, digabung dengan kerja sama pendidikan-penelitian dalam rasio RK≥4 per DTPS). REKOMENDASI: kuantifikasi target kerja sama PkM FTII menjadi jumlah kegiatan/tahun per kategori mitra (disarankan minimal 1-2 kerja sama aktif per kategori: DUDI, pemerintah, PT nasional, PT internasional), mengacu pola ambang R2.</w:t>
      </w:r>
    </w:p>
    <w:p>
      <w:pPr>
        <w:pStyle w:val="Heading2"/>
      </w:pPr>
      <w:r>
        <w:t>Tema 6. Monitoring, Evaluasi, dan Pengelolaan Kelembagaan PkM</w:t>
      </w:r>
    </w:p>
    <w:p>
      <w:r>
        <w:t>Ketentuan FTII UNISBANK: FTII melaksanakan monev PkM sekurang-kurangnya 2 kali/tahun akademik dan AMI terhadap Standar Proses PkM; pada indikator tingkat universitas: "jumlah monev terhadap pelaksanaan PkM tiap Prodi per semester" tetap flat di angka 2 sepanjang 2023/24-2026/27, tanpa peningkatan bertahap maupun target tindak lanjut rekomendasi.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butir eksplisit frekuensi monev/AMI PkM pada bagian yang diekstrak — mekanisme monev tercakup dalam siklus PPEPP umum SPMI (R1) (PDCA/OBE) yang berlaku lintas seluruh standar penelitian dan PkM.</w:t>
            </w:r>
          </w:p>
        </w:tc>
      </w:tr>
      <w:tr>
        <w:tc>
          <w:tcPr>
            <w:tcW w:type="dxa" w:w="4320"/>
          </w:tcPr>
          <w:p>
            <w:r>
              <w:t>R2 (LAM Teknik)</w:t>
            </w:r>
          </w:p>
        </w:tc>
        <w:tc>
          <w:tcPr>
            <w:tcW w:type="dxa" w:w="4320"/>
          </w:tcPr>
          <w:p>
            <w:r>
              <w:t>Kriteria VII Sistem Penjaminan Mutu (di luar bagian 3.3 PkM yang diekstrak secara detail) menilai keberadaan unit penjaminan mutu, keterlaksanaan SPMI dan AMI secara umum lintas standar — tidak spesifik untuk frekuensi monev PkM.</w:t>
            </w:r>
          </w:p>
        </w:tc>
      </w:tr>
      <w:tr>
        <w:tc>
          <w:tcPr>
            <w:tcW w:type="dxa" w:w="4320"/>
          </w:tcPr>
          <w:p>
            <w:r>
              <w:t>R3 (LAM INFOKOM)</w:t>
            </w:r>
          </w:p>
        </w:tc>
        <w:tc>
          <w:tcPr>
            <w:tcW w:type="dxa" w:w="4320"/>
          </w:tcPr>
          <w:p>
            <w:r>
              <w:t>Butir 4.3.A/4.3.B (Evaluasi): mensyaratkan efektivitas pelaksanaan evaluasi ketercapaian standar dan indikator PkM secara deskriptif berjenjang, dengan deskriptor tertinggi Unggul "dilaksanakan secara berkala, sangat efektif" — tanpa frekuensi numerik eksplisit pada bagian yang diekstrak.</w:t>
            </w:r>
          </w:p>
        </w:tc>
      </w:tr>
      <w:tr>
        <w:tc>
          <w:tcPr>
            <w:tcW w:type="dxa" w:w="4320"/>
          </w:tcPr>
          <w:p>
            <w:r>
              <w:t>R4</w:t>
            </w:r>
          </w:p>
        </w:tc>
        <w:tc>
          <w:tcPr>
            <w:tcW w:type="dxa" w:w="4320"/>
          </w:tcPr>
          <w:p>
            <w:r>
              <w:t>Standar Proses PkM IKU No.7: frekuensi monev internal ketercapaian proses PkM ≥1 kali/tahun (di tingkat fakultas, bukan per prodi per semester). Standar Pengelolaan PkM: persentase prodi/dosen mengelola PkM sesuai Rencana Induk/Roadmap (≥90%→100%), frekuensi sosialisasi Rencana Induk/Roadmap (≥1 kali/tahun), persentase kesesuaian pelaksanaan PkM dengan Rencana Induk/Roadmap (≥75% konstan), frekuensi monev pengelolaan PkM (≥1 kali/tahun), dan PERSENTASE TINDAK LANJUT REKOMENDASI hasil monev (≥70%→95%) — indikator tindak lanjut terukur yang TIDAK DIMILIKI FTII.</w:t>
            </w:r>
          </w:p>
        </w:tc>
      </w:tr>
      <w:tr>
        <w:tc>
          <w:tcPr>
            <w:tcW w:type="dxa" w:w="4320"/>
          </w:tcPr>
          <w:p>
            <w:r>
              <w:t>R5</w:t>
            </w:r>
          </w:p>
        </w:tc>
        <w:tc>
          <w:tcPr>
            <w:tcW w:type="dxa" w:w="4320"/>
          </w:tcPr>
          <w:p>
            <w:r>
              <w:t>Bab 5 No.7 (lihat Tema 1) dan Bab 4 Pengelolaan PkM No.2d: LPPM wajib melaksanakan pemantauan dan evaluasi pelaksanaan PkM serta unit pelaksananya — status kualitatif "terlaksana", tanpa ambang frekuensi maupun persentase tindak lanjut.</w:t>
            </w:r>
          </w:p>
        </w:tc>
      </w:tr>
    </w:tbl>
    <w:p>
      <w:r>
        <w:t>Analisis Kesesuaian: SELARAS PADA SUBSTANSI, GAP PADA FREKUENSI DAN TINDAK LANJUT TERUKUR — keberadaan monev dan AMI FTII (≥2 kali/tahun akademik untuk monev pelaksanaan) sudah MELAMPAUI ambang minimal R4 (≥1 kali/tahun) untuk monev proses. Namun: (1) indikator "jumlah monev tiap Prodi per semester" FTII bersifat FLAT (tetap 2, tidak naik) sepanjang 4 tahun target, berbeda dari pola umum FTII yang biasanya menaikkan ambang bertahap; (2) FTII BELUM memiliki indikator persentase TINDAK LANJUT REKOMENDASI hasil monev/AMI PkM sebagaimana R4 (≥70%→95%); (3) FTII belum memiliki indikator eksplisit "persentase kegiatan PkM sesuai Rencana Induk/Roadmap" pada level pengelolaan (lihat juga Tema 2) sebagaimana R4 (≥75%). REKOMENDASI: tambahkan indikator persentase tindak lanjut rekomendasi monev/AMI PkM (disarankan ≥70%→95% mengacu R4), dan pertimbangkan menaikkan frekuensi monev secara bertahap alih-alih flat.</w:t>
      </w:r>
    </w:p>
    <w:p>
      <w:pPr>
        <w:pStyle w:val="Heading1"/>
      </w:pPr>
      <w:r>
        <w:t>C. Ringkasan Kesesuaian Target Kuantitatif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Indikator</w:t>
            </w:r>
          </w:p>
        </w:tc>
        <w:tc>
          <w:tcPr>
            <w:tcW w:type="dxa" w:w="1728"/>
          </w:tcPr>
          <w:p>
            <w:r>
              <w:t>Target FTII (2026/27)</w:t>
            </w:r>
          </w:p>
        </w:tc>
        <w:tc>
          <w:tcPr>
            <w:tcW w:type="dxa" w:w="1728"/>
          </w:tcPr>
          <w:p>
            <w:r>
              <w:t>Ambang R1/R2</w:t>
            </w:r>
          </w:p>
        </w:tc>
        <w:tc>
          <w:tcPr>
            <w:tcW w:type="dxa" w:w="1728"/>
          </w:tcPr>
          <w:p>
            <w:r>
              <w:t>Ambang R4</w:t>
            </w:r>
          </w:p>
        </w:tc>
        <w:tc>
          <w:tcPr>
            <w:tcW w:type="dxa" w:w="1728"/>
          </w:tcPr>
          <w:p>
            <w:r>
              <w:t>Status</w:t>
            </w:r>
          </w:p>
        </w:tc>
      </w:tr>
      <w:tr>
        <w:tc>
          <w:tcPr>
            <w:tcW w:type="dxa" w:w="1728"/>
          </w:tcPr>
          <w:p>
            <w:r>
              <w:t>Bukti/checklist proses PkM (review, kontrak, monev, dsb.)</w:t>
            </w:r>
          </w:p>
        </w:tc>
        <w:tc>
          <w:tcPr>
            <w:tcW w:type="dxa" w:w="1728"/>
          </w:tcPr>
          <w:p>
            <w:r>
              <w:t>Tersedia (kualitatif)</w:t>
            </w:r>
          </w:p>
        </w:tc>
        <w:tc>
          <w:tcPr>
            <w:tcW w:type="dxa" w:w="1728"/>
          </w:tcPr>
          <w:p>
            <w:r>
              <w:t>Tidak eksplisit berjenjang</w:t>
            </w:r>
          </w:p>
        </w:tc>
        <w:tc>
          <w:tcPr>
            <w:tcW w:type="dxa" w:w="1728"/>
          </w:tcPr>
          <w:p>
            <w:r>
              <w:t>≥90%→100% per unsur</w:t>
            </w:r>
          </w:p>
        </w:tc>
        <w:tc>
          <w:tcPr>
            <w:tcW w:type="dxa" w:w="1728"/>
          </w:tcPr>
          <w:p>
            <w:r>
              <w:t>Gap - belum terukur</w:t>
            </w:r>
          </w:p>
        </w:tc>
      </w:tr>
      <w:tr>
        <w:tc>
          <w:tcPr>
            <w:tcW w:type="dxa" w:w="1728"/>
          </w:tcPr>
          <w:p>
            <w:r>
              <w:t>Kesesuaian PkM dengan roadmap</w:t>
            </w:r>
          </w:p>
        </w:tc>
        <w:tc>
          <w:tcPr>
            <w:tcW w:type="dxa" w:w="1728"/>
          </w:tcPr>
          <w:p>
            <w:r>
              <w:t>Tersedia dokumen (kualitatif)</w:t>
            </w:r>
          </w:p>
        </w:tc>
        <w:tc>
          <w:tcPr>
            <w:tcW w:type="dxa" w:w="1728"/>
          </w:tcPr>
          <w:p>
            <w:r>
              <w:t>skor 4 jika 4 unsur terpenuhi (R1/R2)</w:t>
            </w:r>
          </w:p>
        </w:tc>
        <w:tc>
          <w:tcPr>
            <w:tcW w:type="dxa" w:w="1728"/>
          </w:tcPr>
          <w:p>
            <w:r>
              <w:t>≥75% (pada Standar Pengelolaan)</w:t>
            </w:r>
          </w:p>
        </w:tc>
        <w:tc>
          <w:tcPr>
            <w:tcW w:type="dxa" w:w="1728"/>
          </w:tcPr>
          <w:p>
            <w:r>
              <w:t>Gap - belum terukur</w:t>
            </w:r>
          </w:p>
        </w:tc>
      </w:tr>
      <w:tr>
        <w:tc>
          <w:tcPr>
            <w:tcW w:type="dxa" w:w="1728"/>
          </w:tcPr>
          <w:p>
            <w:r>
              <w:t>Persentase PkM melibatkan mahasiswa</w:t>
            </w:r>
          </w:p>
        </w:tc>
        <w:tc>
          <w:tcPr>
            <w:tcW w:type="dxa" w:w="1728"/>
          </w:tcPr>
          <w:p>
            <w:r>
              <w:t>100%</w:t>
            </w:r>
          </w:p>
        </w:tc>
        <w:tc>
          <w:tcPr>
            <w:tcW w:type="dxa" w:w="1728"/>
          </w:tcPr>
          <w:p>
            <w:r>
              <w:t>≥25% (R1) / ≥50% (R2) skor 4</w:t>
            </w:r>
          </w:p>
        </w:tc>
        <w:tc>
          <w:tcPr>
            <w:tcW w:type="dxa" w:w="1728"/>
          </w:tcPr>
          <w:p>
            <w:r>
              <w:t>≥30%→60% (IKU No.8)</w:t>
            </w:r>
          </w:p>
        </w:tc>
        <w:tc>
          <w:tcPr>
            <w:tcW w:type="dxa" w:w="1728"/>
          </w:tcPr>
          <w:p>
            <w:r>
              <w:t>Melampaui seluruh rujukan</w:t>
            </w:r>
          </w:p>
        </w:tc>
      </w:tr>
      <w:tr>
        <w:tc>
          <w:tcPr>
            <w:tcW w:type="dxa" w:w="1728"/>
          </w:tcPr>
          <w:p>
            <w:r>
              <w:t>Persentase mahasiswa terlibat PkM (tabel fakultas)</w:t>
            </w:r>
          </w:p>
        </w:tc>
        <w:tc>
          <w:tcPr>
            <w:tcW w:type="dxa" w:w="1728"/>
          </w:tcPr>
          <w:p>
            <w:r>
              <w:t>20%→30%</w:t>
            </w:r>
          </w:p>
        </w:tc>
        <w:tc>
          <w:tcPr>
            <w:tcW w:type="dxa" w:w="1728"/>
          </w:tcPr>
          <w:p>
            <w:r>
              <w:t>tidak sebanding langsung</w:t>
            </w:r>
          </w:p>
        </w:tc>
        <w:tc>
          <w:tcPr>
            <w:tcW w:type="dxa" w:w="1728"/>
          </w:tcPr>
          <w:p>
            <w:r>
              <w:t>≥10%→25% (IKU No.9)</w:t>
            </w:r>
          </w:p>
        </w:tc>
        <w:tc>
          <w:tcPr>
            <w:tcW w:type="dxa" w:w="1728"/>
          </w:tcPr>
          <w:p>
            <w:r>
              <w:t>Selaras/melampaui R4</w:t>
            </w:r>
          </w:p>
        </w:tc>
      </w:tr>
      <w:tr>
        <w:tc>
          <w:tcPr>
            <w:tcW w:type="dxa" w:w="1728"/>
          </w:tcPr>
          <w:p>
            <w:r>
              <w:t>Persentase mahasiswa terlibat PkM (tabel universitas)</w:t>
            </w:r>
          </w:p>
        </w:tc>
        <w:tc>
          <w:tcPr>
            <w:tcW w:type="dxa" w:w="1728"/>
          </w:tcPr>
          <w:p>
            <w:r>
              <w:t>5%→8%</w:t>
            </w:r>
          </w:p>
        </w:tc>
        <w:tc>
          <w:tcPr>
            <w:tcW w:type="dxa" w:w="1728"/>
          </w:tcPr>
          <w:p>
            <w:r>
              <w:t>DI BAWAH ambang R1 (≥25%) dan R5 (≥25%)</w:t>
            </w:r>
          </w:p>
        </w:tc>
        <w:tc>
          <w:tcPr>
            <w:tcW w:type="dxa" w:w="1728"/>
          </w:tcPr>
          <w:p>
            <w:r>
              <w:t>DI BAWAH IKU No.9 (≥10%→25%)</w:t>
            </w:r>
          </w:p>
        </w:tc>
        <w:tc>
          <w:tcPr>
            <w:tcW w:type="dxa" w:w="1728"/>
          </w:tcPr>
          <w:p>
            <w:r>
              <w:t>GAP + inkonsistensi data internal</w:t>
            </w:r>
          </w:p>
        </w:tc>
      </w:tr>
      <w:tr>
        <w:tc>
          <w:tcPr>
            <w:tcW w:type="dxa" w:w="1728"/>
          </w:tcPr>
          <w:p>
            <w:r>
              <w:t>Pelanggaran kaidah ilmiah/etika PkM</w:t>
            </w:r>
          </w:p>
        </w:tc>
        <w:tc>
          <w:tcPr>
            <w:tcW w:type="dxa" w:w="1728"/>
          </w:tcPr>
          <w:p>
            <w:r>
              <w:t>0 kasus/tahun</w:t>
            </w:r>
          </w:p>
        </w:tc>
        <w:tc>
          <w:tcPr>
            <w:tcW w:type="dxa" w:w="1728"/>
          </w:tcPr>
          <w:p>
            <w:r>
              <w:t>tidak ditemukan ambang pembanding</w:t>
            </w:r>
          </w:p>
        </w:tc>
        <w:tc>
          <w:tcPr>
            <w:tcW w:type="dxa" w:w="1728"/>
          </w:tcPr>
          <w:p>
            <w:r>
              <w:t>tidak ditemukan ambang pembanding</w:t>
            </w:r>
          </w:p>
        </w:tc>
        <w:tc>
          <w:tcPr>
            <w:tcW w:type="dxa" w:w="1728"/>
          </w:tcPr>
          <w:p>
            <w:r>
              <w:t>Selaras (praktik universal)</w:t>
            </w:r>
          </w:p>
        </w:tc>
      </w:tr>
      <w:tr>
        <w:tc>
          <w:tcPr>
            <w:tcW w:type="dxa" w:w="1728"/>
          </w:tcPr>
          <w:p>
            <w:r>
              <w:t>Verifikasi keselamatan kerja (K3) proposal PkM</w:t>
            </w:r>
          </w:p>
        </w:tc>
        <w:tc>
          <w:tcPr>
            <w:tcW w:type="dxa" w:w="1728"/>
          </w:tcPr>
          <w:p>
            <w:r>
              <w:t>Tidak ada indikator</w:t>
            </w:r>
          </w:p>
        </w:tc>
        <w:tc>
          <w:tcPr>
            <w:tcW w:type="dxa" w:w="1728"/>
          </w:tcPr>
          <w:p>
            <w:r>
              <w:t>wajib pertimbangan K3L (R1)</w:t>
            </w:r>
          </w:p>
        </w:tc>
        <w:tc>
          <w:tcPr>
            <w:tcW w:type="dxa" w:w="1728"/>
          </w:tcPr>
          <w:p>
            <w:r>
              <w:t>tidak ditemukan pada bagian diekstrak</w:t>
            </w:r>
          </w:p>
        </w:tc>
        <w:tc>
          <w:tcPr>
            <w:tcW w:type="dxa" w:w="1728"/>
          </w:tcPr>
          <w:p>
            <w:r>
              <w:t>Gap - belum ada</w:t>
            </w:r>
          </w:p>
        </w:tc>
      </w:tr>
      <w:tr>
        <w:tc>
          <w:tcPr>
            <w:tcW w:type="dxa" w:w="1728"/>
          </w:tcPr>
          <w:p>
            <w:r>
              <w:t>Kerja sama PkM per kategori mitra</w:t>
            </w:r>
          </w:p>
        </w:tc>
        <w:tc>
          <w:tcPr>
            <w:tcW w:type="dxa" w:w="1728"/>
          </w:tcPr>
          <w:p>
            <w:r>
              <w:t>Terlaksana (kualitatif, 4 kategori)</w:t>
            </w:r>
          </w:p>
        </w:tc>
        <w:tc>
          <w:tcPr>
            <w:tcW w:type="dxa" w:w="1728"/>
          </w:tcPr>
          <w:p>
            <w:r>
              <w:t>ambang berjenjang RI≥2, RN≥6, RW≥8 dalam 3 tahun (R2)</w:t>
            </w:r>
          </w:p>
        </w:tc>
        <w:tc>
          <w:tcPr>
            <w:tcW w:type="dxa" w:w="1728"/>
          </w:tcPr>
          <w:p>
            <w:r>
              <w:t>tidak ditemukan pada bagian diekstrak</w:t>
            </w:r>
          </w:p>
        </w:tc>
        <w:tc>
          <w:tcPr>
            <w:tcW w:type="dxa" w:w="1728"/>
          </w:tcPr>
          <w:p>
            <w:r>
              <w:t>Gap - belum terukur</w:t>
            </w:r>
          </w:p>
        </w:tc>
      </w:tr>
      <w:tr>
        <w:tc>
          <w:tcPr>
            <w:tcW w:type="dxa" w:w="1728"/>
          </w:tcPr>
          <w:p>
            <w:r>
              <w:t>Frekuensi monev proses PkM</w:t>
            </w:r>
          </w:p>
        </w:tc>
        <w:tc>
          <w:tcPr>
            <w:tcW w:type="dxa" w:w="1728"/>
          </w:tcPr>
          <w:p>
            <w:r>
              <w:t>≥2 kali/tahun akademik (flat)</w:t>
            </w:r>
          </w:p>
        </w:tc>
        <w:tc>
          <w:tcPr>
            <w:tcW w:type="dxa" w:w="1728"/>
          </w:tcPr>
          <w:p>
            <w:r>
              <w:t>tidak eksplisit</w:t>
            </w:r>
          </w:p>
        </w:tc>
        <w:tc>
          <w:tcPr>
            <w:tcW w:type="dxa" w:w="1728"/>
          </w:tcPr>
          <w:p>
            <w:r>
              <w:t>≥1 kali/tahun</w:t>
            </w:r>
          </w:p>
        </w:tc>
        <w:tc>
          <w:tcPr>
            <w:tcW w:type="dxa" w:w="1728"/>
          </w:tcPr>
          <w:p>
            <w:r>
              <w:t>Melampaui ambang minimal, namun flat</w:t>
            </w:r>
          </w:p>
        </w:tc>
      </w:tr>
      <w:tr>
        <w:tc>
          <w:tcPr>
            <w:tcW w:type="dxa" w:w="1728"/>
          </w:tcPr>
          <w:p>
            <w:r>
              <w:t>Persentase tindak lanjut rekomendasi monev/AMI PkM</w:t>
            </w:r>
          </w:p>
        </w:tc>
        <w:tc>
          <w:tcPr>
            <w:tcW w:type="dxa" w:w="1728"/>
          </w:tcPr>
          <w:p>
            <w:r>
              <w:t>Tidak ada indikator</w:t>
            </w:r>
          </w:p>
        </w:tc>
        <w:tc>
          <w:tcPr>
            <w:tcW w:type="dxa" w:w="1728"/>
          </w:tcPr>
          <w:p>
            <w:r>
              <w:t>tidak ditemukan</w:t>
            </w:r>
          </w:p>
        </w:tc>
        <w:tc>
          <w:tcPr>
            <w:tcW w:type="dxa" w:w="1728"/>
          </w:tcPr>
          <w:p>
            <w:r>
              <w:t>≥70%→95%</w:t>
            </w:r>
          </w:p>
        </w:tc>
        <w:tc>
          <w:tcPr>
            <w:tcW w:type="dxa" w:w="1728"/>
          </w:tcPr>
          <w:p>
            <w:r>
              <w:t>Gap - belum ada</w:t>
            </w:r>
          </w:p>
        </w:tc>
      </w:tr>
    </w:tbl>
    <w:p>
      <w:pPr>
        <w:pStyle w:val="Heading1"/>
      </w:pPr>
      <w:r>
        <w:t>D. Kesimpulan dan Rekomendasi</w:t>
      </w:r>
    </w:p>
    <w:p>
      <w:r>
        <w:t>Kesimpulan Umum: Dokumen Standar Proses PkM FTII UNISBANK secara struktural SELARAS dengan kelima dokumen rujukan pada aspek kelengkapan checklist bukti proses, keterlibatan mahasiswa (bahkan melampaui pada dimensi "persentase PkM melibatkan mahasiswa"), etika PkM, dan keberadaan monev-AMI. Namun sebagian besar indikator FTII masih bersifat KUALITATIF ("Tersedia"/"Terlaksana") sementara R1, R2, dan R4 menuntut ambang KUANTITATIF berjenjang atau persentase eksplisit pada tema yang sama. Ditemukan pula satu INKONSISTENSI DATA INTERNAL yang perlu diklarifikasi segera.</w:t>
      </w:r>
    </w:p>
    <w:p>
      <w:r>
        <w:t>1. PRIORITAS TERTINGGI: klarifikasi dan satukan definisi indikator "persentase mahasiswa terlibat dalam PkM" yang muncul dengan DUA angka berbeda pada draft FTII (20%→30% pada tabel Pelaksanaan PKM vs 5%→8% pada tabel Pelibatan Mahasiswa dalam PKM tingkat universitas) — pastikan keduanya memakai basis pengukuran yang konsisten dan tidak saling bertentangan sebelum standar ditetapkan Rektor.</w:t>
      </w:r>
    </w:p>
    <w:p>
      <w:r>
        <w:t>2. Konversi checklist bukti proses PkM (9 unsur) dari status kualitatif "Tersedia" menjadi persentase terukur per unsur (disarankan ≥90%→100%, mengacu R4 IKU No.1-6), agar setara dengan format penilaian akreditasi berjenjang.</w:t>
      </w:r>
    </w:p>
    <w:p>
      <w:r>
        <w:t>3. Tambahkan indikator kuantitatif kesesuaian PkM dengan roadmap/peta jalan (disarankan ≥75%-90%, mengacu R4 IKU Pengelolaan No.4 dan checklist 4 unsur R1/R2 Butir 8.1/No.24), menggantikan status "dibuktikan dengan dokumen" yang bersifat umum.</w:t>
      </w:r>
    </w:p>
    <w:p>
      <w:r>
        <w:t>4. Tambahkan syarat verifikasi standar mutu, keselamatan kerja (K3), kesehatan, kenyamanan, dan keamanan pelaksana-masyarakat-lingkungan sebagai bagian proses review proposal PkM, mengacu R1 (SOP K3L) dan R5 Bab 5 No.2 (syarat lolos penilaian komisi etik).</w:t>
      </w:r>
    </w:p>
    <w:p>
      <w:r>
        <w:t>5. Kuantifikasi target kerja sama PkM per kategori mitra (DUDI, pemerintah, PT nasional, PT internasional) menjadi jumlah kegiatan/tahun (disarankan minimal 1-2 kerja sama aktif per kategori), mengacu pola ambang berjenjang R2 Butir No.6 (RI≥2, RN≥6, RW≥8 dalam 3 tahun).</w:t>
      </w:r>
    </w:p>
    <w:p>
      <w:r>
        <w:t>6. Tambahkan indikator persentase tindak lanjut rekomendasi hasil monev/AMI PkM (disarankan ≥70%→95%, mengacu R4 Standar Pengelolaan PkM), dan pertimbangkan menaikkan frekuensi monev secara bertahap alih-alih flat di angka 2 sepanjang periode target.</w:t>
      </w:r>
    </w:p>
    <w:p>
      <w:r>
        <w:t>7. Pertahankan dan dokumentasikan secara eksplisit target "100% PkM melibatkan mahasiswa" sebagai praktik baik, karena target ini sudah melampaui seluruh ambang skor sempurna R1, R2, dan R4.</w:t>
      </w:r>
    </w:p>
    <w:p>
      <w: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