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PROSES PkM</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dari Standar Proses PkM FTII UNISBANK (draft pembaruan), disempurnakan berdasarkan hasil pemetaan terhadap 5 dokumen rujukan (Panduan SPMI Program Sarjana dan Sarjana Terapan, Matriks Penilaian LAM Teknik APS-AV 2025 1.0, Standar Terakreditasi Unggul LAM INFOKOM, Dokumen SPMI fakultas sejenis, serta Buku Standar Proses dan Pengelolaan PkM perguruan tinggi rujukan) sebagaimana didokumentasikan pada standarprosespkm.docx. Seluruh ambang indikator kuantitatif pada dokumen ini ditetapkan setara atau melampaui skor tertinggi (skor 4) pada instrumen penilaian LAM Teknik dan kriteria Unggul LAM INFOKOM. Dokumen ini kini direstrukturisasi menjadi 3 (tiga) sub-standar terpisah — Standar Perencanaan PkM, Standar Pelaksanaan PkM, dan Standar Etika dan Pengelolaan PkM — konsisten dengan pola restrukturisasi yang telah diterapkan pada Standar Proses Penelitian, Standar Proses Pendidikan, dan Standar Masukan Penelitian/PkM Unggul FTII.</w:t>
      </w:r>
    </w:p>
    <w:p/>
    <w:p>
      <w:pPr>
        <w:spacing w:before="320" w:after="120"/>
      </w:pPr>
      <w:r>
        <w:rPr>
          <w:b/>
          <w:sz w:val="28"/>
        </w:rPr>
        <w:t>1. RASIONAL</w:t>
      </w:r>
    </w:p>
    <w:p>
      <w:pPr>
        <w:spacing w:after="120"/>
      </w:pPr>
      <w:r>
        <w:rPr>
          <w:b w:val="0"/>
          <w:i w:val="0"/>
        </w:rPr>
        <w:t>Fakultas Teknologi Informasi dan Industri (FTII) UNISBANK menetapkan Standar Proses Pengabdian kepada Masyarakat (PkM) sebagai perwujudan pencapaian Visi "Pada tahun 2035 menjadi Fakultas Teknologi Informasi dan Industri yang unggul, inovatif, adaptif dalam penerapan ilmu komputer, informatika dan industri berjiwa kewirausahaan dan berdaya saing internasional", dengan menjamin bahwa seluruh kegiatan PkM dilaksanakan secara sistematis, terencana, terukur, terdokumentasi, dan berkelanjutan sesuai kaidah ilmiah, etika, keselamatan kerja, dan arah pengembangan pada Rencana Induk PkM (RIP)/roadmap PkM fakultas dan program studi.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kesesuaian PkM dengan roadmap, kelengkapan bukti proses (review, kontrak, monev, dokumentasi luaran), keterlibatan mahasiswa dalam PkM, keselamatan kerja (K3) pelaksanaan PkM, kerja sama PkM dengan mitra eksternal, serta tindak lanjut hasil monitoring-evaluasi dan pengelolaan kelembagaan PkM — dan memenuhi deskriptor tertinggi Kriteria 4 (Relevansi PkM) LAM INFOKOM untuk status Terakreditasi Unggul.</w:t>
      </w:r>
    </w:p>
    <w:p>
      <w:pPr>
        <w:spacing w:after="120"/>
      </w:pPr>
      <w:r>
        <w:rPr>
          <w:b w:val="0"/>
          <w:i w:val="0"/>
        </w:rPr>
        <w:t>Penyusunan standar ini didasarkan pada hasil analisis kesenjangan (gap analysis) terhadap draft Standar Proses PkM FTII sebelumnya (standarprosespkm.docx), yang mengidentifikasi tujuh area prioritas penyesuaian: (a) klarifikasi dan penyatuan definisi indikator keterlibatan mahasiswa dalam PkM yang sebelumnya memiliki dua angka berbeda (20%→30% vs 5%→8%) untuk metrik yang tampak identik; (b) konversi checklist bukti proses PkM (9 unsur) dari status kualitatif "Tersedia" menjadi persentase terukur; (c) penambahan indikator kuantitatif kesesuaian PkM dengan roadmap/peta jalan; (d) penambahan syarat verifikasi keselamatan kerja (K3) dalam proses review proposal PkM; (e) kuantifikasi kerja sama PkM per kategori mitra; (f) penambahan indikator persentase tindak lanjut rekomendasi monev/AMI; dan (g) peninjauan frekuensi monev yang sebelumnya flat menjadi terukur dan bertahap. Sebaliknya, capaian yang sudah melampaui ambang rujukan — persentase kegiatan PkM yang melibatkan mahasiswa (100%) dan nol kasus pelanggaran kaidah ilmiah/etika PkM — dipertahankan dan diperkuat sebagai praktik baik. Indikator keterlibatan mahasiswa sebagai co-author pada publikasi hasil PkM diatur secara khusus pada Standar Luaran PkM FTII versi Unggul, bukan pada standar ini, agar tidak terjadi duplikasi indikator antar-standar.</w:t>
      </w:r>
    </w:p>
    <w:p>
      <w:pPr>
        <w:spacing w:after="120"/>
      </w:pPr>
      <w:r>
        <w:rPr>
          <w:b w:val="0"/>
          <w:i w:val="0"/>
        </w:rPr>
        <w:t>Melalui penerapan Standar Proses PkM versi Unggul ini, FTII UNISBANK diharapkan memiliki proses PkM yang setara dengan program studi berakreditasi Unggul, sekaligus berfungsi ganda sebagai instrumen penjaminan mutu internal (SPMI) dan instrumen kesiapan akreditasi eksternal LAM Teknik dan LAM INFOKOM.</w:t>
      </w:r>
    </w:p>
    <w:p>
      <w:pPr>
        <w:spacing w:after="120"/>
      </w:pPr>
      <w:r>
        <w:rPr>
          <w:b w:val="0"/>
          <w:i w:val="0"/>
        </w:rPr>
        <w:t>Ketentuan Lintas Sub-Standar — Root-Cause Analysis dan SWOT Tahunan: sesuai kewajiban lintas-standar yang diatur Standar Penjaminan Mutu Internal FTII versi Unggul, DJM, UJM, dan GKM wajib melaksanakan Analisis Faktor Keberhasilan dan Penghambat (root-cause analysis) serta analisis SWOT tahunan atas ketercapaian seluruh indikator pada ketiga sub-standar Proses PkM di bawah ini, sebagai bagian dari Rapat Tinjauan Manajemen (RTM) dan dasar penyusunan Rencana Tindak Lanjut (RTL) setiap siklus PPEPP.</w:t>
      </w:r>
    </w:p>
    <w:p>
      <w:pPr>
        <w:spacing w:before="320" w:after="120"/>
      </w:pPr>
      <w:r>
        <w:rPr>
          <w:b/>
          <w:sz w:val="28"/>
        </w:rPr>
        <w:t>STANDAR PERENCANAAN PKM</w:t>
      </w:r>
    </w:p>
    <w:p>
      <w:pPr>
        <w:spacing w:before="200" w:after="80"/>
      </w:pPr>
      <w:r>
        <w:rPr>
          <w:b/>
          <w:sz w:val="25"/>
        </w:rPr>
        <w:t>1. Daftar Istilah</w:t>
      </w:r>
    </w:p>
    <w:p>
      <w:pPr>
        <w:pStyle w:val="ListNumber"/>
        <w:spacing w:after="120"/>
      </w:pPr>
      <w:r>
        <w:t>Rencana Induk PkM (RIP)/Roadmap PkM adalah dokumen perencanaan jangka menengah-panjang yang memuat peta jalan, tema, dan target kegiatan PkM fakultas dan program studi, selaras dengan VMTS dan kebutuhan Dunia Usaha, Dunia Industri, dan Dunia Kerja (DUDIKA).</w:t>
      </w:r>
    </w:p>
    <w:p>
      <w:pPr>
        <w:pStyle w:val="ListNumber"/>
        <w:spacing w:after="120"/>
      </w:pPr>
      <w:r>
        <w:t>Review Proposal PkM adalah proses penilaian usulan kegiatan PkM oleh reviewer bersertifikasi/legal untuk menjamin mutu, kelayakan, dan kesesuaian rencana pelaksanaan sebelum kegiatan disetujui.</w:t>
      </w:r>
    </w:p>
    <w:p>
      <w:pPr>
        <w:pStyle w:val="ListNumber"/>
        <w:spacing w:after="120"/>
      </w:pPr>
      <w:r>
        <w:t>Bukti Proses PkM adalah kelengkapan dokumen yang menyertai siklus pelaksanaan PkM, mencakup sekurang-kurangnya 9 (sembilan) unsur: tata cara review, instrumen penilaian, legalitas reviewer, hasil review, legalitas penugasan/kerja sama, kontrak, berita acara monev, laporan AMI, dan dokumentasi luaran.</w:t>
      </w:r>
    </w:p>
    <w:p>
      <w:pPr>
        <w:pStyle w:val="ListNumber"/>
        <w:spacing w:after="120"/>
      </w:pPr>
      <w:r>
        <w:t>Legalitas Penugasan Reviewer adalah status resmi seorang reviewer yang ditetapkan melalui Surat Tugas/SK oleh pejabat berwenang untuk melakukan penilaian proposal PkM.</w:t>
      </w:r>
    </w:p>
    <w:p>
      <w:pPr>
        <w:pStyle w:val="ListNumber"/>
        <w:spacing w:after="120"/>
      </w:pPr>
      <w:r>
        <w:t>Standar Operasional Prosedur (SOP) Proses PkM adalah dokumen acuan tata cara pelaksanaan kegiatan PkM mulai dari pengusulan hingga pelaporan yang wajib dipatuhi oleh seluruh pelaksana PkM.</w:t>
      </w:r>
    </w:p>
    <w:p>
      <w:pPr>
        <w:spacing w:before="200" w:after="80"/>
      </w:pPr>
      <w:r>
        <w:rPr>
          <w:b/>
          <w:sz w:val="25"/>
        </w:rPr>
        <w:t>2. Pihak Yang Bertanggung Jawab Untuk Memenuhi Standar</w:t>
      </w:r>
    </w:p>
    <w:p>
      <w:pPr>
        <w:pStyle w:val="ListNumber"/>
        <w:spacing w:after="120"/>
      </w:pPr>
      <w: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t>Pengendalian: Rektor; DJM; UJM Fakultas; Dekan FTII; Ketua Program Studi; GKM — berdasarkan hasil Monev, AMI, laporan kelengkapan bukti proses, laporan keselamatan kerja, serta laporan kerja sama PkM.</w:t>
      </w:r>
    </w:p>
    <w:p>
      <w:pPr>
        <w:pStyle w:val="ListNumber"/>
        <w:spacing w:after="120"/>
      </w:pPr>
      <w: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Perencanaan PkM</w:t>
      </w:r>
    </w:p>
    <w:p>
      <w:pPr>
        <w:pStyle w:val="ListNumber"/>
        <w:spacing w:after="120"/>
      </w:pPr>
      <w:r>
        <w:t>FTII wajib memiliki dan menerapkan Standar Perencanaan PkM yang ditetapkan melalui keputusan Rektor dan ditinjau paling sedikit satu kali dalam satu siklus Renstra.</w:t>
      </w:r>
    </w:p>
    <w:p>
      <w:pPr>
        <w:pStyle w:val="ListNumber"/>
        <w:spacing w:after="120"/>
      </w:pPr>
      <w:r>
        <w:t>DPPMP wajib menjamin tersedianya bukti pelaksanaan proses PkM yang mencakup sekurang-kurangnya 9 unsur (tata cara review, instrumen penilaian, legalitas reviewer, hasil review, legalitas penugasan/kerja sama, kontrak, berita acara monev, laporan AMI, dokumentasi luaran), dengan persentase kelengkapan bukti proses paling sedikit 90% pada tahun pertama, meningkat menjadi 100% pada tahun ketiga.</w:t>
      </w:r>
    </w:p>
    <w:p>
      <w:pPr>
        <w:pStyle w:val="ListNumber"/>
        <w:spacing w:after="120"/>
      </w:pPr>
      <w:r>
        <w:t>FTII wajib menjamin persentase kegiatan PkM yang dilaksanakan sesuai pedoman/SOP proses PkM paling sedikit 90% pada tahun pertama, meningkat menjadi 100% pada tahun ketiga.</w:t>
      </w:r>
    </w:p>
    <w:p>
      <w:pPr>
        <w:pStyle w:val="ListNumber"/>
        <w:spacing w:after="120"/>
      </w:pPr>
      <w:r>
        <w:t>FTII wajib menjamin persentase proposal PkM yang direview oleh reviewer dengan legalitas penugasan sah paling sedikit 95% pada tahun pertama, meningkat menjadi 100% pada tahun ketiga.</w:t>
      </w:r>
    </w:p>
    <w:p>
      <w:pPr>
        <w:pStyle w:val="ListNumber"/>
        <w:spacing w:after="120"/>
      </w:pPr>
      <w:r>
        <w:t>FTII wajib memiliki Rencana Induk PkM (RIP)/roadmap PkM fakultas dan program studi yang selaras dengan VMTS dan kebutuhan DUDIKA, digunakan sebagai acuan seluruh kegiatan PkM dosen dan mahasiswa.</w:t>
      </w:r>
    </w:p>
    <w:p>
      <w:pPr>
        <w:pStyle w:val="ListNumber"/>
        <w:spacing w:after="120"/>
      </w:pPr>
      <w:r>
        <w:t>FTII wajib menjamin persentase kegiatan PkM yang sesuai dengan RIP/roadmap PkM paling sedikit 75% pada tahun pertama, meningkat menjadi paling sedikit 90% pada tahun ketiga, dibuktikan melalui pemetaan judul PkM terhadap peta jalan dan evaluasi keselarasan berkala.</w:t>
      </w:r>
    </w:p>
    <w:p>
      <w:pPr>
        <w:pStyle w:val="ListNumber"/>
        <w:spacing w:after="120"/>
      </w:pPr>
      <w:r>
        <w:t>FTII wajib melaksanakan sosialisasi RIP/roadmap PkM kepada dosen dan mahasiswa paling sedikit satu kali per tahun.</w:t>
      </w:r>
    </w:p>
    <w:p>
      <w:pPr>
        <w:spacing w:before="200" w:after="80"/>
      </w:pPr>
      <w:r>
        <w:rPr>
          <w:b/>
          <w:sz w:val="25"/>
        </w:rPr>
        <w:t>4. Strategi Pencapaian Standar</w:t>
      </w:r>
    </w:p>
    <w:p>
      <w:pPr>
        <w:pStyle w:val="ListNumber"/>
        <w:spacing w:after="120"/>
      </w:pPr>
      <w:r>
        <w:t>Rektor menetapkan kebijakan Standar Perencanaan PkM FTII sebagai bagian dari SPMI Universitas, dengan ambang indikator disetarakan pada skor tertinggi instrumen LAM Teknik dan kriteria Unggul LAM INFOKOM.</w:t>
      </w:r>
    </w:p>
    <w:p>
      <w:pPr>
        <w:pStyle w:val="ListNumber"/>
        <w:spacing w:after="120"/>
      </w:pPr>
      <w:r>
        <w:t>DPPMP menyusun dan menerapkan checklist bukti proses PkM (9 unsur) dalam format terukur dan mendigitalisasikan pemantauan kelengkapannya menuju 100%.</w:t>
      </w:r>
    </w:p>
    <w:p>
      <w:pPr>
        <w:pStyle w:val="ListNumber"/>
        <w:spacing w:after="120"/>
      </w:pPr>
      <w:r>
        <w:t>DPPMP bersama Dekan FTII menyusun dan memutakhirkan RIP/roadmap PkM fakultas dan program studi, serta melaksanakan sosialisasi kepada dosen dan mahasiswa paling sedikit satu kali per tahun.</w:t>
      </w:r>
    </w:p>
    <w:p>
      <w:pPr>
        <w:pStyle w:val="ListNumber"/>
        <w:spacing w:after="120"/>
      </w:pPr>
      <w:r>
        <w:t>Ketua Program Studi memastikan setiap judul PkM dipetakan terhadap roadmap, dengan verifikasi kesesuaian dilakukan oleh GKM Program Studi sebelum PkM dilaksanakan, menuju target kesesuaian 90%.</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Ketersediaan RIP/roadmap PkM fakultas dan prodi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Persentase kelengkapan bukti proses PkM (9 unsur) [IKU - baru]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Persentase kegiatan PkM sesuai pedoman/SOP proses [IKU - baru]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4</w:t>
            </w:r>
          </w:p>
        </w:tc>
        <w:tc>
          <w:tcPr>
            <w:tcW w:type="dxa" w:w="1234"/>
          </w:tcPr>
          <w:p>
            <w:r/>
            <w:r>
              <w:rPr>
                <w:b w:val="0"/>
                <w:sz w:val="19"/>
              </w:rPr>
              <w:t>Persentase proposal direview reviewer legal [IKU - baru]</w:t>
            </w:r>
          </w:p>
        </w:tc>
        <w:tc>
          <w:tcPr>
            <w:tcW w:type="dxa" w:w="1234"/>
          </w:tcPr>
          <w:p>
            <w:r/>
            <w:r>
              <w:rPr>
                <w:b w:val="0"/>
                <w:sz w:val="19"/>
              </w:rPr>
              <w:t>%</w:t>
            </w:r>
          </w:p>
        </w:tc>
        <w:tc>
          <w:tcPr>
            <w:tcW w:type="dxa" w:w="1234"/>
          </w:tcPr>
          <w:p>
            <w:r/>
            <w:r>
              <w:rPr>
                <w:b w:val="0"/>
                <w:sz w:val="19"/>
              </w:rPr>
              <w:t>≥95-100 (R4)</w:t>
            </w:r>
          </w:p>
        </w:tc>
        <w:tc>
          <w:tcPr>
            <w:tcW w:type="dxa" w:w="1234"/>
          </w:tcPr>
          <w:p>
            <w:r/>
            <w:r>
              <w:rPr>
                <w:b w:val="0"/>
                <w:sz w:val="19"/>
              </w:rPr>
              <w:t>95</w:t>
            </w:r>
          </w:p>
        </w:tc>
        <w:tc>
          <w:tcPr>
            <w:tcW w:type="dxa" w:w="1234"/>
          </w:tcPr>
          <w:p>
            <w:r/>
            <w:r>
              <w:rPr>
                <w:b w:val="0"/>
                <w:sz w:val="19"/>
              </w:rPr>
              <w:t>98</w:t>
            </w:r>
          </w:p>
        </w:tc>
        <w:tc>
          <w:tcPr>
            <w:tcW w:type="dxa" w:w="1234"/>
          </w:tcPr>
          <w:p>
            <w:r/>
            <w:r>
              <w:rPr>
                <w:b w:val="0"/>
                <w:sz w:val="19"/>
              </w:rPr>
              <w:t>100</w:t>
            </w:r>
          </w:p>
        </w:tc>
      </w:tr>
      <w:tr>
        <w:tc>
          <w:tcPr>
            <w:tcW w:type="dxa" w:w="1234"/>
          </w:tcPr>
          <w:p>
            <w:r/>
            <w:r>
              <w:rPr>
                <w:b w:val="0"/>
                <w:sz w:val="19"/>
              </w:rPr>
              <w:t>5</w:t>
            </w:r>
          </w:p>
        </w:tc>
        <w:tc>
          <w:tcPr>
            <w:tcW w:type="dxa" w:w="1234"/>
          </w:tcPr>
          <w:p>
            <w:r/>
            <w:r>
              <w:rPr>
                <w:b w:val="0"/>
                <w:sz w:val="19"/>
              </w:rPr>
              <w:t>Persentase kegiatan PkM sesuai RIP/roadmap [IKU - baru]</w:t>
            </w:r>
          </w:p>
        </w:tc>
        <w:tc>
          <w:tcPr>
            <w:tcW w:type="dxa" w:w="1234"/>
          </w:tcPr>
          <w:p>
            <w:r/>
            <w:r>
              <w:rPr>
                <w:b w:val="0"/>
                <w:sz w:val="19"/>
              </w:rPr>
              <w:t>%</w:t>
            </w:r>
          </w:p>
        </w:tc>
        <w:tc>
          <w:tcPr>
            <w:tcW w:type="dxa" w:w="1234"/>
          </w:tcPr>
          <w:p>
            <w:r/>
            <w:r>
              <w:rPr>
                <w:b w:val="0"/>
                <w:sz w:val="19"/>
              </w:rPr>
              <w:t>≥75-90 (R4)</w:t>
            </w:r>
          </w:p>
        </w:tc>
        <w:tc>
          <w:tcPr>
            <w:tcW w:type="dxa" w:w="1234"/>
          </w:tcPr>
          <w:p>
            <w:r/>
            <w:r>
              <w:rPr>
                <w:b w:val="0"/>
                <w:sz w:val="19"/>
              </w:rPr>
              <w:t>75</w:t>
            </w:r>
          </w:p>
        </w:tc>
        <w:tc>
          <w:tcPr>
            <w:tcW w:type="dxa" w:w="1234"/>
          </w:tcPr>
          <w:p>
            <w:r/>
            <w:r>
              <w:rPr>
                <w:b w:val="0"/>
                <w:sz w:val="19"/>
              </w:rPr>
              <w:t>82</w:t>
            </w:r>
          </w:p>
        </w:tc>
        <w:tc>
          <w:tcPr>
            <w:tcW w:type="dxa" w:w="1234"/>
          </w:tcPr>
          <w:p>
            <w:r/>
            <w:r>
              <w:rPr>
                <w:b w:val="0"/>
                <w:sz w:val="19"/>
              </w:rPr>
              <w:t>90</w:t>
            </w:r>
          </w:p>
        </w:tc>
      </w:tr>
      <w:tr>
        <w:tc>
          <w:tcPr>
            <w:tcW w:type="dxa" w:w="1234"/>
          </w:tcPr>
          <w:p>
            <w:r/>
            <w:r>
              <w:rPr>
                <w:b w:val="0"/>
                <w:sz w:val="19"/>
              </w:rPr>
              <w:t>6</w:t>
            </w:r>
          </w:p>
        </w:tc>
        <w:tc>
          <w:tcPr>
            <w:tcW w:type="dxa" w:w="1234"/>
          </w:tcPr>
          <w:p>
            <w:r/>
            <w:r>
              <w:rPr>
                <w:b w:val="0"/>
                <w:sz w:val="19"/>
              </w:rPr>
              <w:t>Sosialisasi RIP/roadmap PkM [IKT - baru]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bl>
    <w:p/>
    <w:p>
      <w:pPr>
        <w:spacing w:before="320" w:after="120"/>
      </w:pPr>
      <w:r>
        <w:rPr>
          <w:b/>
          <w:sz w:val="28"/>
        </w:rPr>
        <w:t>STANDAR PELAKSANAAN PKM</w:t>
      </w:r>
    </w:p>
    <w:p>
      <w:pPr>
        <w:spacing w:before="200" w:after="80"/>
      </w:pPr>
      <w:r>
        <w:rPr>
          <w:b/>
          <w:sz w:val="25"/>
        </w:rPr>
        <w:t>1. Daftar Istilah</w:t>
      </w:r>
    </w:p>
    <w:p>
      <w:pPr>
        <w:pStyle w:val="ListNumber"/>
        <w:spacing w:after="120"/>
      </w:pPr>
      <w:r>
        <w:t>Keterlibatan Mahasiswa dalam PkM adalah partisipasi aktif mahasiswa dalam kegiatan PkM dosen sebagai bagian implementasi pembelajaran berbasis pengalaman, dihitung berdasarkan definisi dan basis perhitungan tunggal yang konsisten di seluruh dokumen turunan Standar Proses PkM.</w:t>
      </w:r>
    </w:p>
    <w:p>
      <w:pPr>
        <w:pStyle w:val="ListNumber"/>
        <w:spacing w:after="120"/>
      </w:pPr>
      <w:r>
        <w:t>Kerja Sama PkM adalah kolaborasi pelaksanaan kegiatan PkM antara FTII dengan mitra eksternal (Dunia Usaha dan Dunia Industri/DUDI, instansi pemerintah, perguruan tinggi nasional, dan perguruan tinggi internasional), dituangkan dalam MoU/MoA/dokumen kerja sama.</w:t>
      </w:r>
    </w:p>
    <w:p>
      <w:pPr>
        <w:pStyle w:val="ListNumber"/>
        <w:spacing w:after="120"/>
      </w:pPr>
      <w:r>
        <w:t>Co-Author Publikasi Hasil PkM adalah status mahasiswa sebagai penulis pendamping pada luaran ilmiah hasil kegiatan PkM, diatur secara khusus pada Standar Luaran PkM FTII versi Unggul, bukan pada standar ini.</w:t>
      </w:r>
    </w:p>
    <w:p>
      <w:pPr>
        <w:pStyle w:val="ListNumber"/>
        <w:spacing w:after="120"/>
      </w:pPr>
      <w:r>
        <w:t>Pembelajaran Berbasis Pengalaman (Experiential Learning) adalah pendekatan pembelajaran yang melibatkan mahasiswa secara langsung dalam kegiatan nyata, termasuk PkM, untuk memperkuat capaian pembelajaran lulusan.</w:t>
      </w:r>
    </w:p>
    <w:p>
      <w:pPr>
        <w:spacing w:before="200" w:after="80"/>
      </w:pPr>
      <w:r>
        <w:rPr>
          <w:b/>
          <w:sz w:val="25"/>
        </w:rPr>
        <w:t>2. Pihak Yang Bertanggung Jawab Untuk Memenuhi Standar</w:t>
      </w:r>
    </w:p>
    <w:p>
      <w:pPr>
        <w:pStyle w:val="ListNumber"/>
        <w:spacing w:after="120"/>
      </w:pPr>
      <w: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t>Pengendalian: Rektor; DJM; UJM Fakultas; Dekan FTII; Ketua Program Studi; GKM — berdasarkan hasil Monev, AMI, laporan kelengkapan bukti proses, laporan keselamatan kerja, serta laporan kerja sama PkM.</w:t>
      </w:r>
    </w:p>
    <w:p>
      <w:pPr>
        <w:pStyle w:val="ListNumber"/>
        <w:spacing w:after="120"/>
      </w:pPr>
      <w: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Pelaksanaan PkM</w:t>
      </w:r>
    </w:p>
    <w:p>
      <w:pPr>
        <w:pStyle w:val="ListNumber"/>
        <w:spacing w:after="120"/>
      </w:pPr>
      <w:r>
        <w:t>FTII wajib menjamin seluruh (100%) kegiatan PkM dosen melibatkan mahasiswa sebagai bagian dari implementasi pembelajaran berbasis pengalaman.</w:t>
      </w:r>
    </w:p>
    <w:p>
      <w:pPr>
        <w:pStyle w:val="ListNumber"/>
        <w:spacing w:after="120"/>
      </w:pPr>
      <w:r>
        <w:t>FTII wajib menjamin persentase mahasiswa program studi yang terlibat dalam PkM dosen paling sedikit 25% pada tahun pertama, meningkat menjadi paling sedikit 28% (tahun kedua) dan paling sedikit 30% (tahun ketiga), dihitung terhadap jumlah mahasiswa aktif per tahun — definisi dan basis perhitungan indikator ini WAJIB tunggal dan konsisten di seluruh dokumen turunan Standar Proses PkM, menggantikan dua angka berbeda (20%-30% dan 5%-8%) yang sebelumnya muncul pada draft.</w:t>
      </w:r>
    </w:p>
    <w:p>
      <w:pPr>
        <w:pStyle w:val="ListNumber"/>
        <w:spacing w:after="120"/>
      </w:pPr>
      <w:r>
        <w:t>Keterlibatan mahasiswa sebagai co-author pada publikasi ilmiah hasil PkM diatur secara khusus pada Standar Luaran PkM FTII versi Unggul.</w:t>
      </w:r>
    </w:p>
    <w:p>
      <w:pPr>
        <w:pStyle w:val="ListNumber"/>
        <w:spacing w:after="120"/>
      </w:pPr>
      <w:r>
        <w:t>FTII wajib mendorong dan memfasilitasi PkM kolaboratif dengan Dunia Usaha dan Dunia Industri (DUDI), instansi pemerintah, perguruan tinggi nasional, dan perguruan tinggi internasional, dengan target paling sedikit 1-2 kerja sama PkM aktif per kategori mitra per tahun, meningkat menjadi paling sedikit 2 kerja sama aktif per kategori pada tahun ketiga.</w:t>
      </w:r>
    </w:p>
    <w:p>
      <w:pPr>
        <w:pStyle w:val="ListNumber"/>
        <w:spacing w:after="120"/>
      </w:pPr>
      <w:r>
        <w:t>*FTII wajib menjamin keberlanjutan PkM (PkM sustainability), yaitu persentase topik/tema PkM dosen yang berkelanjutan lintas tahun mengikuti RIP/roadmap PkM (multi-tahun atau kelanjutan mitra yang sama) paling sedikit 40% pada tahun pertama, meningkat menjadi paling sedikit 60% pada tahun ketiga, dibuktikan melalui keterkaitan tema PkM dengan kegiatan PkM sebelumnya pada roadmap dan/atau mitra yang sama.</w:t>
      </w:r>
    </w:p>
    <w:p>
      <w:pPr>
        <w:spacing w:before="200" w:after="80"/>
      </w:pPr>
      <w:r>
        <w:rPr>
          <w:b/>
          <w:sz w:val="25"/>
        </w:rPr>
        <w:t>4. Strategi Pencapaian Standar</w:t>
      </w:r>
    </w:p>
    <w:p>
      <w:pPr>
        <w:pStyle w:val="ListNumber"/>
        <w:spacing w:after="120"/>
      </w:pPr>
      <w:r>
        <w:t>Rektor menetapkan kebijakan Standar Pelaksanaan PkM FTII sebagai bagian dari SPMI Universitas, dengan ambang indikator disetarakan pada skor tertinggi instrumen LAM Teknik dan kriteria Unggul LAM INFOKOM.</w:t>
      </w:r>
    </w:p>
    <w:p>
      <w:pPr>
        <w:pStyle w:val="ListNumber"/>
        <w:spacing w:after="120"/>
      </w:pPr>
      <w:r>
        <w:t>Ketua Program Studi menjamin pelibatan mahasiswa pada seluruh kegiatan PkM dosen serta memantau persentase mahasiswa program studi yang terlibat menuju target 25%-&gt;30%, menggunakan satu definisi dan basis perhitungan yang konsisten di seluruh dokumen turunan.</w:t>
      </w:r>
    </w:p>
    <w:p>
      <w:pPr>
        <w:pStyle w:val="ListNumber"/>
        <w:spacing w:after="120"/>
      </w:pPr>
      <w:r>
        <w:t>Fakultas dan Program Studi memperluas kerja sama PkM dengan DUDI, instansi pemerintah, dan perguruan tinggi nasional/internasional melalui MoU/MoA, ditargetkan minimal 1-2 kerja sama aktif per kategori per tahun.</w:t>
      </w:r>
    </w:p>
    <w:p>
      <w:pPr>
        <w:pStyle w:val="ListNumber"/>
        <w:spacing w:after="120"/>
      </w:pPr>
      <w:r>
        <w:t>*Ketua Program Studi bersama DPPMP memantau dan melaporkan keberlanjutan tema/mitra PkM dosen lintas tahun sesuai RIP/roadmap PkM, mendorong pengajuan PkM lanjutan (multi-year PkM) melalui skema hibah internal dan eksternal.</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Persentase kegiatan PkM yang melibatkan mahasiswa [IKU]</w:t>
            </w:r>
          </w:p>
        </w:tc>
        <w:tc>
          <w:tcPr>
            <w:tcW w:type="dxa" w:w="1234"/>
          </w:tcPr>
          <w:p>
            <w:r/>
            <w:r>
              <w:rPr>
                <w:b w:val="0"/>
                <w:sz w:val="19"/>
              </w:rPr>
              <w:t>%</w:t>
            </w:r>
          </w:p>
        </w:tc>
        <w:tc>
          <w:tcPr>
            <w:tcW w:type="dxa" w:w="1234"/>
          </w:tcPr>
          <w:p>
            <w:r/>
            <w:r>
              <w:rPr>
                <w:b w:val="0"/>
                <w:sz w:val="19"/>
              </w:rPr>
              <w:t>≥25 (R1); ≥50 (R2); ≥30-60 (R4)</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2</w:t>
            </w:r>
          </w:p>
        </w:tc>
        <w:tc>
          <w:tcPr>
            <w:tcW w:type="dxa" w:w="1234"/>
          </w:tcPr>
          <w:p>
            <w:r/>
            <w:r>
              <w:rPr>
                <w:b w:val="0"/>
                <w:sz w:val="19"/>
              </w:rPr>
              <w:t>Persentase mahasiswa terlibat dalam PkM dosen [IKU]</w:t>
            </w:r>
          </w:p>
        </w:tc>
        <w:tc>
          <w:tcPr>
            <w:tcW w:type="dxa" w:w="1234"/>
          </w:tcPr>
          <w:p>
            <w:r/>
            <w:r>
              <w:rPr>
                <w:b w:val="0"/>
                <w:sz w:val="19"/>
              </w:rPr>
              <w:t>%</w:t>
            </w:r>
          </w:p>
        </w:tc>
        <w:tc>
          <w:tcPr>
            <w:tcW w:type="dxa" w:w="1234"/>
          </w:tcPr>
          <w:p>
            <w:r/>
            <w:r>
              <w:rPr>
                <w:b w:val="0"/>
                <w:sz w:val="19"/>
              </w:rPr>
              <w:t>≥10-25 (R4); ≥25 (R5)</w:t>
            </w:r>
          </w:p>
        </w:tc>
        <w:tc>
          <w:tcPr>
            <w:tcW w:type="dxa" w:w="1234"/>
          </w:tcPr>
          <w:p>
            <w:r/>
            <w:r>
              <w:rPr>
                <w:b w:val="0"/>
                <w:sz w:val="19"/>
              </w:rPr>
              <w:t>25</w:t>
            </w:r>
          </w:p>
        </w:tc>
        <w:tc>
          <w:tcPr>
            <w:tcW w:type="dxa" w:w="1234"/>
          </w:tcPr>
          <w:p>
            <w:r/>
            <w:r>
              <w:rPr>
                <w:b w:val="0"/>
                <w:sz w:val="19"/>
              </w:rPr>
              <w:t>28</w:t>
            </w:r>
          </w:p>
        </w:tc>
        <w:tc>
          <w:tcPr>
            <w:tcW w:type="dxa" w:w="1234"/>
          </w:tcPr>
          <w:p>
            <w:r/>
            <w:r>
              <w:rPr>
                <w:b w:val="0"/>
                <w:sz w:val="19"/>
              </w:rPr>
              <w:t>30</w:t>
            </w:r>
          </w:p>
        </w:tc>
      </w:tr>
      <w:tr>
        <w:tc>
          <w:tcPr>
            <w:tcW w:type="dxa" w:w="1234"/>
          </w:tcPr>
          <w:p>
            <w:r/>
            <w:r>
              <w:rPr>
                <w:b w:val="0"/>
                <w:sz w:val="19"/>
              </w:rPr>
              <w:t>3</w:t>
            </w:r>
          </w:p>
        </w:tc>
        <w:tc>
          <w:tcPr>
            <w:tcW w:type="dxa" w:w="1234"/>
          </w:tcPr>
          <w:p>
            <w:r/>
            <w:r>
              <w:rPr>
                <w:b w:val="0"/>
                <w:sz w:val="19"/>
              </w:rPr>
              <w:t>Kerja sama PkM aktif per kategori mitra (DUDI/pemerintah/PT nasional/PT internasional) [IKT - baru]</w:t>
            </w:r>
          </w:p>
        </w:tc>
        <w:tc>
          <w:tcPr>
            <w:tcW w:type="dxa" w:w="1234"/>
          </w:tcPr>
          <w:p>
            <w:r/>
            <w:r>
              <w:rPr>
                <w:b w:val="0"/>
                <w:sz w:val="19"/>
              </w:rPr>
              <w:t>Kerja sama/kategori/tahun (min)</w:t>
            </w:r>
          </w:p>
        </w:tc>
        <w:tc>
          <w:tcPr>
            <w:tcW w:type="dxa" w:w="1234"/>
          </w:tcPr>
          <w:p>
            <w:r/>
            <w:r>
              <w:rPr>
                <w:b w:val="0"/>
                <w:sz w:val="19"/>
              </w:rPr>
              <w:t>≥1-2 (pola R2)</w:t>
            </w:r>
          </w:p>
        </w:tc>
        <w:tc>
          <w:tcPr>
            <w:tcW w:type="dxa" w:w="1234"/>
          </w:tcPr>
          <w:p>
            <w:r/>
            <w:r>
              <w:rPr>
                <w:b w:val="0"/>
                <w:sz w:val="19"/>
              </w:rPr>
              <w:t>1</w:t>
            </w:r>
          </w:p>
        </w:tc>
        <w:tc>
          <w:tcPr>
            <w:tcW w:type="dxa" w:w="1234"/>
          </w:tcPr>
          <w:p>
            <w:r/>
            <w:r>
              <w:rPr>
                <w:b w:val="0"/>
                <w:sz w:val="19"/>
              </w:rPr>
              <w:t>1</w:t>
            </w:r>
          </w:p>
        </w:tc>
        <w:tc>
          <w:tcPr>
            <w:tcW w:type="dxa" w:w="1234"/>
          </w:tcPr>
          <w:p>
            <w:r/>
            <w:r>
              <w:rPr>
                <w:b w:val="0"/>
                <w:sz w:val="19"/>
              </w:rPr>
              <w:t>2</w:t>
            </w:r>
          </w:p>
        </w:tc>
      </w:tr>
      <w:tr>
        <w:tc>
          <w:tcPr>
            <w:tcW w:type="dxa" w:w="1234"/>
          </w:tcPr>
          <w:p>
            <w:r/>
            <w:r>
              <w:rPr>
                <w:sz w:val="19"/>
              </w:rPr>
              <w:t>*4</w:t>
            </w:r>
          </w:p>
        </w:tc>
        <w:tc>
          <w:tcPr>
            <w:tcW w:type="dxa" w:w="1234"/>
          </w:tcPr>
          <w:p>
            <w:r/>
            <w:r>
              <w:rPr>
                <w:sz w:val="19"/>
              </w:rPr>
              <w:t>Keberlanjutan PkM (PkM sustainability) lintas tahun sesuai RIP/roadmap [IKU - baru]</w:t>
            </w:r>
          </w:p>
        </w:tc>
        <w:tc>
          <w:tcPr>
            <w:tcW w:type="dxa" w:w="1234"/>
          </w:tcPr>
          <w:p>
            <w:r/>
            <w:r>
              <w:rPr>
                <w:sz w:val="19"/>
              </w:rPr>
              <w:t>%</w:t>
            </w:r>
          </w:p>
        </w:tc>
        <w:tc>
          <w:tcPr>
            <w:tcW w:type="dxa" w:w="1234"/>
          </w:tcPr>
          <w:p>
            <w:r/>
            <w:r>
              <w:rPr>
                <w:sz w:val="19"/>
              </w:rPr>
              <w:t>≥40-60 (target internal FTII, selaras unsur C.4.C LAM INFOKOM 2.1)</w:t>
            </w:r>
          </w:p>
        </w:tc>
        <w:tc>
          <w:tcPr>
            <w:tcW w:type="dxa" w:w="1234"/>
          </w:tcPr>
          <w:p>
            <w:r/>
            <w:r>
              <w:rPr>
                <w:sz w:val="19"/>
              </w:rPr>
              <w:t>40</w:t>
            </w:r>
          </w:p>
        </w:tc>
        <w:tc>
          <w:tcPr>
            <w:tcW w:type="dxa" w:w="1234"/>
          </w:tcPr>
          <w:p>
            <w:r/>
            <w:r>
              <w:rPr>
                <w:sz w:val="19"/>
              </w:rPr>
              <w:t>50</w:t>
            </w:r>
          </w:p>
        </w:tc>
        <w:tc>
          <w:tcPr>
            <w:tcW w:type="dxa" w:w="1234"/>
          </w:tcPr>
          <w:p>
            <w:r/>
            <w:r>
              <w:rPr>
                <w:sz w:val="19"/>
              </w:rPr>
              <w:t>60</w:t>
            </w:r>
          </w:p>
        </w:tc>
      </w:tr>
    </w:tbl>
    <w:p/>
    <w:p>
      <w:pPr>
        <w:spacing w:before="320" w:after="120"/>
      </w:pPr>
      <w:r>
        <w:rPr>
          <w:b/>
          <w:sz w:val="28"/>
        </w:rPr>
        <w:t>STANDAR ETIKA DAN PENGELOLAAN PKM</w:t>
      </w:r>
    </w:p>
    <w:p>
      <w:pPr>
        <w:spacing w:before="200" w:after="80"/>
      </w:pPr>
      <w:r>
        <w:rPr>
          <w:b/>
          <w:sz w:val="25"/>
        </w:rPr>
        <w:t>1. Daftar Istilah</w:t>
      </w:r>
    </w:p>
    <w:p>
      <w:pPr>
        <w:pStyle w:val="ListNumber"/>
        <w:spacing w:after="120"/>
      </w:pPr>
      <w:r>
        <w:t>Etika PkM adalah kaidah ilmiah, akademik, hukum, dan norma sosial yang wajib dipatuhi dalam perencanaan, pelaksanaan, dan pelaporan kegiatan PkM.</w:t>
      </w:r>
    </w:p>
    <w:p>
      <w:pPr>
        <w:pStyle w:val="ListNumber"/>
        <w:spacing w:after="120"/>
      </w:pPr>
      <w:r>
        <w:t>Keselamatan, Kesehatan Kerja, dan Keamanan (K3) Pelaksanaan PkM adalah jaminan perlindungan bagi pelaksana, mahasiswa, masyarakat sasaran, dan lingkungan dari risiko kecelakaan atau insiden selama kegiatan PkM berlangsung.</w:t>
      </w:r>
    </w:p>
    <w:p>
      <w:pPr>
        <w:pStyle w:val="ListNumber"/>
        <w:spacing w:after="120"/>
      </w:pPr>
      <w:r>
        <w:t>Legalitas Penugasan PkM adalah kelengkapan dokumen resmi (Surat Tugas/SK/kontrak/dokumen kerja sama) yang menjadi dasar sah pelaksanaan kegiatan PkM.</w:t>
      </w:r>
    </w:p>
    <w:p>
      <w:pPr>
        <w:pStyle w:val="ListNumber"/>
        <w:spacing w:after="120"/>
      </w:pPr>
      <w:r>
        <w:t>Monitoring dan Evaluasi (Monev) Pengelolaan PkM adalah kegiatan pemantauan dan penilaian berkala terhadap tata kelola kelembagaan PkM, terpisah dari monev proses pelaksanaan kegiatan PkM itu sendiri.</w:t>
      </w:r>
    </w:p>
    <w:p>
      <w:pPr>
        <w:pStyle w:val="ListNumber"/>
        <w:spacing w:after="120"/>
      </w:pPr>
      <w:r>
        <w:t>Siklus PPEPP adalah singkatan dari Penetapan, Pelaksanaan, Evaluasi, Pengendalian, dan Peningkatan standar, menjadi kerangka pengendalian mutu berkelanjutan atas Standar Proses PkM.</w:t>
      </w:r>
    </w:p>
    <w:p>
      <w:pPr>
        <w:pStyle w:val="ListNumber"/>
        <w:spacing w:after="120"/>
      </w:pPr>
      <w:r>
        <w:t>Audit Mutu Internal (AMI) adalah kegiatan evaluasi sistematis, independen, dan terdokumentasi untuk menentukan tingkat kesesuaian pelaksanaan Standar Proses PkM terhadap ambang yang ditetapkan.</w:t>
      </w:r>
    </w:p>
    <w:p>
      <w:pPr>
        <w:pStyle w:val="ListNumber"/>
        <w:spacing w:after="120"/>
      </w:pPr>
      <w:r>
        <w:t>Rencana Tindak Lanjut (RTL) adalah dokumen rencana perbaikan yang disusun berdasarkan hasil Monev dan AMI untuk menindaklanjuti temuan/rekomendasi yang belum tercapai.</w:t>
      </w:r>
    </w:p>
    <w:p>
      <w:pPr>
        <w:spacing w:before="200" w:after="80"/>
      </w:pPr>
      <w:r>
        <w:rPr>
          <w:b/>
          <w:sz w:val="25"/>
        </w:rPr>
        <w:t>2. Pihak Yang Bertanggung Jawab Untuk Memenuhi Standar</w:t>
      </w:r>
    </w:p>
    <w:p>
      <w:pPr>
        <w:pStyle w:val="ListNumber"/>
        <w:spacing w:after="120"/>
      </w:pPr>
      <w: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t>Pengendalian: Rektor; DJM; UJM Fakultas; Dekan FTII; Ketua Program Studi; GKM — berdasarkan hasil Monev, AMI, laporan kelengkapan bukti proses, laporan keselamatan kerja, serta laporan kerja sama PkM.</w:t>
      </w:r>
    </w:p>
    <w:p>
      <w:pPr>
        <w:pStyle w:val="ListNumber"/>
        <w:spacing w:after="120"/>
      </w:pPr>
      <w: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Etika dan Pengelolaan PkM</w:t>
      </w:r>
    </w:p>
    <w:p>
      <w:pPr>
        <w:pStyle w:val="ListNumber"/>
        <w:spacing w:after="120"/>
      </w:pPr>
      <w:r>
        <w:t>FTII wajib menjamin nol (0) kasus pelanggaran terhadap kaidah ilmiah, etika akademik, hukum, maupun norma sosial dalam pelaksanaan PkM pada seluruh periode penerapan standar.</w:t>
      </w:r>
    </w:p>
    <w:p>
      <w:pPr>
        <w:pStyle w:val="ListNumber"/>
        <w:spacing w:after="120"/>
      </w:pPr>
      <w:r>
        <w:t>FTII wajib menetapkan bahwa setiap proposal PkM wajib lolos penilaian terkait standar mutu, keselamatan kerja, kesehatan, kenyamanan, dan keamanan bagi pelaksana, masyarakat sasaran, dan lingkungan, sebagai syarat mutlak sebelum kegiatan PkM dilaksanakan.</w:t>
      </w:r>
    </w:p>
    <w:p>
      <w:pPr>
        <w:pStyle w:val="ListNumber"/>
        <w:spacing w:after="120"/>
      </w:pPr>
      <w:r>
        <w:t>FTII wajib menjamin nol (0) kejadian kecelakaan kerja dan insiden keselamatan-keamanan (K3) pelaksanaan PkM bagi pelaksana, mahasiswa, masyarakat sasaran, dan lingkungan pada seluruh periode penerapan standar.</w:t>
      </w:r>
    </w:p>
    <w:p>
      <w:pPr>
        <w:pStyle w:val="ListNumber"/>
        <w:spacing w:after="120"/>
      </w:pPr>
      <w:r>
        <w:t>Setiap kegiatan PkM wajib memiliki legalitas penugasan (Surat Tugas/SK/kontrak/dokumen kerja sama) yang lengkap dan terdokumentasi.</w:t>
      </w:r>
    </w:p>
    <w:p>
      <w:pPr>
        <w:pStyle w:val="ListNumber"/>
        <w:spacing w:after="120"/>
      </w:pPr>
      <w:r>
        <w:t>FTII wajib melaksanakan monitoring dan evaluasi proses PkM paling sedikit satu kali per tahun, dan monitoring dan evaluasi pengelolaan kelembagaan PkM paling sedikit satu kali per tahun secara terpisah.</w:t>
      </w:r>
    </w:p>
    <w:p>
      <w:pPr>
        <w:pStyle w:val="ListNumber"/>
        <w:spacing w:after="120"/>
      </w:pPr>
      <w:r>
        <w:t>FTII wajib menjamin persentase rekomendasi hasil monitoring-evaluasi dan Audit Mutu Internal (AMI) PkM yang ditindaklanjuti paling sedikit 70% pada tahun pertama, meningkat menjadi paling sedikit 95% pada tahun ketiga.</w:t>
      </w:r>
    </w:p>
    <w:p>
      <w:pPr>
        <w:pStyle w:val="ListNumber"/>
        <w:spacing w:after="120"/>
      </w:pPr>
      <w:r>
        <w:t>FTII wajib melaksanakan Audit Mutu Internal (AMI), menyusun Rencana Tindak Lanjut (RTL), dan menerapkan siklus Penetapan-Pelaksanaan-Evaluasi-Pengendalian-Peningkatan (PPEPP) secara berkelanjutan terhadap seluruh komponen Standar Proses PkM.</w:t>
      </w:r>
    </w:p>
    <w:p>
      <w:pPr>
        <w:spacing w:before="200" w:after="80"/>
      </w:pPr>
      <w:r>
        <w:rPr>
          <w:b/>
          <w:sz w:val="25"/>
        </w:rPr>
        <w:t>4. Strategi Pencapaian Standar</w:t>
      </w:r>
    </w:p>
    <w:p>
      <w:pPr>
        <w:pStyle w:val="ListNumber"/>
        <w:spacing w:after="120"/>
      </w:pPr>
      <w:r>
        <w:t>Rektor menetapkan kebijakan Standar Etika dan Pengelolaan PkM FTII sebagai bagian dari SPMI Universitas, dengan ambang indikator disetarakan pada skor tertinggi instrumen LAM Teknik dan kriteria Unggul LAM INFOKOM.</w:t>
      </w:r>
    </w:p>
    <w:p>
      <w:pPr>
        <w:pStyle w:val="ListNumber"/>
        <w:spacing w:after="120"/>
      </w:pPr>
      <w:r>
        <w:t>DPPMP menyusun dan menerapkan mekanisme verifikasi keselamatan kerja (K3) sebagai bagian wajib proses review proposal PkM, bekerja sama dengan komisi etik/reviewer, untuk menjaga nol kecelakaan kerja dan insiden K3.</w:t>
      </w:r>
    </w:p>
    <w:p>
      <w:pPr>
        <w:pStyle w:val="ListNumber"/>
        <w:spacing w:after="120"/>
      </w:pPr>
      <w:r>
        <w:t>DPPMP menyusun dan menyosialisasikan pedoman etika PkM, dengan pemantauan berkelanjutan untuk menjaga nol kasus pelanggaran kaidah ilmiah.</w:t>
      </w:r>
    </w:p>
    <w:p>
      <w:pPr>
        <w:pStyle w:val="ListNumber"/>
        <w:spacing w:after="120"/>
      </w:pPr>
      <w:r>
        <w:t>DJM dan UJM melaksanakan monitoring dan evaluasi proses PkM serta pengelolaan PkM masing-masing paling sedikit satu kali per tahun secara terpisah, dan memantau persentase tindak lanjut rekomendasi menuju 95%.</w:t>
      </w:r>
    </w:p>
    <w:p>
      <w:pPr>
        <w:pStyle w:val="ListNumber"/>
        <w:spacing w:after="120"/>
      </w:pPr>
      <w:r>
        <w:t>Direktorat Jaminan Mutu (DJM), Unit Jaminan Mutu (UJM), dan Gugus Kendali Mutu (GKM) melaksanakan Audit Mutu Internal (AMI) atas seluruh indikator Standar Proses PkM secara berkala, serta menyusun Rencana Tindak Lanjut (RTL) sebagai bagian dari siklus PPEPP.</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Kasus pelanggaran kaidah ilmiah/etika PkM [IKU]</w:t>
            </w:r>
          </w:p>
        </w:tc>
        <w:tc>
          <w:tcPr>
            <w:tcW w:type="dxa" w:w="1234"/>
          </w:tcPr>
          <w:p>
            <w:r/>
            <w:r>
              <w:rPr>
                <w:b w:val="0"/>
                <w:sz w:val="19"/>
              </w:rPr>
              <w:t>Kasus</w:t>
            </w:r>
          </w:p>
        </w:tc>
        <w:tc>
          <w:tcPr>
            <w:tcW w:type="dxa" w:w="1234"/>
          </w:tcPr>
          <w:p>
            <w:r/>
            <w:r>
              <w:rPr>
                <w:b w:val="0"/>
                <w:sz w:val="19"/>
              </w:rPr>
              <w:t>0 (praktik universal SPMI)</w:t>
            </w:r>
          </w:p>
        </w:tc>
        <w:tc>
          <w:tcPr>
            <w:tcW w:type="dxa" w:w="1234"/>
          </w:tcPr>
          <w:p>
            <w:r/>
            <w:r>
              <w:rPr>
                <w:b w:val="0"/>
                <w:sz w:val="19"/>
              </w:rPr>
              <w:t>0</w:t>
            </w:r>
          </w:p>
        </w:tc>
        <w:tc>
          <w:tcPr>
            <w:tcW w:type="dxa" w:w="1234"/>
          </w:tcPr>
          <w:p>
            <w:r/>
            <w:r>
              <w:rPr>
                <w:b w:val="0"/>
                <w:sz w:val="19"/>
              </w:rPr>
              <w:t>0</w:t>
            </w:r>
          </w:p>
        </w:tc>
        <w:tc>
          <w:tcPr>
            <w:tcW w:type="dxa" w:w="1234"/>
          </w:tcPr>
          <w:p>
            <w:r/>
            <w:r>
              <w:rPr>
                <w:b w:val="0"/>
                <w:sz w:val="19"/>
              </w:rPr>
              <w:t>0</w:t>
            </w:r>
          </w:p>
        </w:tc>
      </w:tr>
      <w:tr>
        <w:tc>
          <w:tcPr>
            <w:tcW w:type="dxa" w:w="1234"/>
          </w:tcPr>
          <w:p>
            <w:r/>
            <w:r>
              <w:rPr>
                <w:b w:val="0"/>
                <w:sz w:val="19"/>
              </w:rPr>
              <w:t>2</w:t>
            </w:r>
          </w:p>
        </w:tc>
        <w:tc>
          <w:tcPr>
            <w:tcW w:type="dxa" w:w="1234"/>
          </w:tcPr>
          <w:p>
            <w:r/>
            <w:r>
              <w:rPr>
                <w:b w:val="0"/>
                <w:sz w:val="19"/>
              </w:rPr>
              <w:t>Verifikasi K3 sebagai syarat lolos proposal PkM [IKU - baru]</w:t>
            </w:r>
          </w:p>
        </w:tc>
        <w:tc>
          <w:tcPr>
            <w:tcW w:type="dxa" w:w="1234"/>
          </w:tcPr>
          <w:p>
            <w:r/>
            <w:r>
              <w:rPr>
                <w:b w:val="0"/>
                <w:sz w:val="19"/>
              </w:rPr>
              <w:t>%</w:t>
            </w:r>
          </w:p>
        </w:tc>
        <w:tc>
          <w:tcPr>
            <w:tcW w:type="dxa" w:w="1234"/>
          </w:tcPr>
          <w:p>
            <w:r/>
            <w:r>
              <w:rPr>
                <w:b w:val="0"/>
                <w:sz w:val="19"/>
              </w:rPr>
              <w:t>wajib (R1/R5)</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Kejadian kecelakaan kerja/insiden K3 pelaksanaan PkM [IKU - baru]</w:t>
            </w:r>
          </w:p>
        </w:tc>
        <w:tc>
          <w:tcPr>
            <w:tcW w:type="dxa" w:w="1234"/>
          </w:tcPr>
          <w:p>
            <w:r/>
            <w:r>
              <w:rPr>
                <w:b w:val="0"/>
                <w:sz w:val="19"/>
              </w:rPr>
              <w:t>Kejadian</w:t>
            </w:r>
          </w:p>
        </w:tc>
        <w:tc>
          <w:tcPr>
            <w:tcW w:type="dxa" w:w="1234"/>
          </w:tcPr>
          <w:p>
            <w:r/>
            <w:r>
              <w:rPr>
                <w:b w:val="0"/>
                <w:sz w:val="19"/>
              </w:rPr>
              <w:t>0 (praktik baik R1/R5)</w:t>
            </w:r>
          </w:p>
        </w:tc>
        <w:tc>
          <w:tcPr>
            <w:tcW w:type="dxa" w:w="1234"/>
          </w:tcPr>
          <w:p>
            <w:r/>
            <w:r>
              <w:rPr>
                <w:b w:val="0"/>
                <w:sz w:val="19"/>
              </w:rPr>
              <w:t>0</w:t>
            </w:r>
          </w:p>
        </w:tc>
        <w:tc>
          <w:tcPr>
            <w:tcW w:type="dxa" w:w="1234"/>
          </w:tcPr>
          <w:p>
            <w:r/>
            <w:r>
              <w:rPr>
                <w:b w:val="0"/>
                <w:sz w:val="19"/>
              </w:rPr>
              <w:t>0</w:t>
            </w:r>
          </w:p>
        </w:tc>
        <w:tc>
          <w:tcPr>
            <w:tcW w:type="dxa" w:w="1234"/>
          </w:tcPr>
          <w:p>
            <w:r/>
            <w:r>
              <w:rPr>
                <w:b w:val="0"/>
                <w:sz w:val="19"/>
              </w:rPr>
              <w:t>0</w:t>
            </w:r>
          </w:p>
        </w:tc>
      </w:tr>
      <w:tr>
        <w:tc>
          <w:tcPr>
            <w:tcW w:type="dxa" w:w="1234"/>
          </w:tcPr>
          <w:p>
            <w:r/>
            <w:r>
              <w:rPr>
                <w:b w:val="0"/>
                <w:sz w:val="19"/>
              </w:rPr>
              <w:t>4</w:t>
            </w:r>
          </w:p>
        </w:tc>
        <w:tc>
          <w:tcPr>
            <w:tcW w:type="dxa" w:w="1234"/>
          </w:tcPr>
          <w:p>
            <w:r/>
            <w:r>
              <w:rPr>
                <w:b w:val="0"/>
                <w:sz w:val="19"/>
              </w:rPr>
              <w:t>Frekuensi monev proses PkM [IKU]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5</w:t>
            </w:r>
          </w:p>
        </w:tc>
        <w:tc>
          <w:tcPr>
            <w:tcW w:type="dxa" w:w="1234"/>
          </w:tcPr>
          <w:p>
            <w:r/>
            <w:r>
              <w:rPr>
                <w:b w:val="0"/>
                <w:sz w:val="19"/>
              </w:rPr>
              <w:t>Frekuensi monev pengelolaan PkM [IKU]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6</w:t>
            </w:r>
          </w:p>
        </w:tc>
        <w:tc>
          <w:tcPr>
            <w:tcW w:type="dxa" w:w="1234"/>
          </w:tcPr>
          <w:p>
            <w:r/>
            <w:r>
              <w:rPr>
                <w:b w:val="0"/>
                <w:sz w:val="19"/>
              </w:rPr>
              <w:t>Persentase rekomendasi monev/AMI PkM yang ditindaklanjuti [IKU - baru]</w:t>
            </w:r>
          </w:p>
        </w:tc>
        <w:tc>
          <w:tcPr>
            <w:tcW w:type="dxa" w:w="1234"/>
          </w:tcPr>
          <w:p>
            <w:r/>
            <w:r>
              <w:rPr>
                <w:b w:val="0"/>
                <w:sz w:val="19"/>
              </w:rPr>
              <w:t>%</w:t>
            </w:r>
          </w:p>
        </w:tc>
        <w:tc>
          <w:tcPr>
            <w:tcW w:type="dxa" w:w="1234"/>
          </w:tcPr>
          <w:p>
            <w:r/>
            <w:r>
              <w:rPr>
                <w:b w:val="0"/>
                <w:sz w:val="19"/>
              </w:rPr>
              <w:t>≥70-95 (R4)</w:t>
            </w:r>
          </w:p>
        </w:tc>
        <w:tc>
          <w:tcPr>
            <w:tcW w:type="dxa" w:w="1234"/>
          </w:tcPr>
          <w:p>
            <w:r/>
            <w:r>
              <w:rPr>
                <w:b w:val="0"/>
                <w:sz w:val="19"/>
              </w:rPr>
              <w:t>70</w:t>
            </w:r>
          </w:p>
        </w:tc>
        <w:tc>
          <w:tcPr>
            <w:tcW w:type="dxa" w:w="1234"/>
          </w:tcPr>
          <w:p>
            <w:r/>
            <w:r>
              <w:rPr>
                <w:b w:val="0"/>
                <w:sz w:val="19"/>
              </w:rPr>
              <w:t>85</w:t>
            </w:r>
          </w:p>
        </w:tc>
        <w:tc>
          <w:tcPr>
            <w:tcW w:type="dxa" w:w="1234"/>
          </w:tcPr>
          <w:p>
            <w:r/>
            <w:r>
              <w:rPr>
                <w:b w:val="0"/>
                <w:sz w:val="19"/>
              </w:rPr>
              <w:t>95</w:t>
            </w:r>
          </w:p>
        </w:tc>
      </w:tr>
      <w:tr>
        <w:tc>
          <w:tcPr>
            <w:tcW w:type="dxa" w:w="1234"/>
          </w:tcPr>
          <w:p>
            <w:r/>
            <w:r>
              <w:rPr>
                <w:b w:val="0"/>
                <w:sz w:val="19"/>
              </w:rPr>
              <w:t>7</w:t>
            </w:r>
          </w:p>
        </w:tc>
        <w:tc>
          <w:tcPr>
            <w:tcW w:type="dxa" w:w="1234"/>
          </w:tcPr>
          <w:p>
            <w:r/>
            <w:r>
              <w:rPr>
                <w:b w:val="0"/>
                <w:sz w:val="19"/>
              </w:rPr>
              <w:t>Ketersediaan dokumen Audit Mutu Internal (AMI) Standar Proses PkM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bl>
    <w:p/>
    <w:p>
      <w:pPr>
        <w:spacing w:before="320" w:after="120"/>
      </w:pPr>
      <w:r>
        <w:rPr>
          <w:b/>
          <w:sz w:val="28"/>
        </w:rPr>
        <w:t>DOKUMEN TERKAIT PELAKSANAAN STANDAR</w:t>
      </w:r>
    </w:p>
    <w:p>
      <w:pPr>
        <w:pStyle w:val="ListNumber"/>
        <w:spacing w:after="120"/>
      </w:pPr>
      <w:r>
        <w:t>Dokumen kebijakan dan penetapan Standar Proses PkM FTII (Surat Keputusan Rektor).</w:t>
      </w:r>
    </w:p>
    <w:p>
      <w:pPr>
        <w:pStyle w:val="ListNumber"/>
        <w:spacing w:after="120"/>
      </w:pPr>
      <w:r>
        <w:t>Dokumen Rencana Induk PkM (RIP)/roadmap PkM fakultas dan program studi beserta bukti sosialisasi.</w:t>
      </w:r>
    </w:p>
    <w:p>
      <w:pPr>
        <w:pStyle w:val="ListNumber"/>
        <w:spacing w:after="120"/>
      </w:pPr>
      <w:r>
        <w:t>Checklist dan dokumentasi bukti proses PkM (tata cara review, instrumen penilaian, legalitas reviewer, hasil review, legalitas penugasan/kerja sama, kontrak, berita acara monev, laporan AMI, dokumentasi luaran).</w:t>
      </w:r>
    </w:p>
    <w:p>
      <w:pPr>
        <w:pStyle w:val="ListNumber"/>
        <w:spacing w:after="120"/>
      </w:pPr>
      <w:r>
        <w:t>Dokumen pemetaan judul PkM terhadap roadmap/RIP per tahun akademik.</w:t>
      </w:r>
    </w:p>
    <w:p>
      <w:pPr>
        <w:pStyle w:val="ListNumber"/>
        <w:spacing w:after="120"/>
      </w:pPr>
      <w:r>
        <w:t>Dokumen keterlibatan mahasiswa dalam PkM dosen (daftar judul dan daftar mahasiswa terlibat).</w:t>
      </w:r>
    </w:p>
    <w:p>
      <w:pPr>
        <w:pStyle w:val="ListNumber"/>
        <w:spacing w:after="120"/>
      </w:pPr>
      <w:r>
        <w:t>Dokumen verifikasi keselamatan kerja (K3) pada proposal PkM dan laporan insiden (jika ada).</w:t>
      </w:r>
    </w:p>
    <w:p>
      <w:pPr>
        <w:pStyle w:val="ListNumber"/>
        <w:spacing w:after="120"/>
      </w:pPr>
      <w:r>
        <w:t>Dokumen kerja sama PkM (MoU/MoA) dengan DUDI, instansi pemerintah, dan perguruan tinggi nasional/internasional beserta laporan kegiatan.</w:t>
      </w:r>
    </w:p>
    <w:p>
      <w:pPr>
        <w:pStyle w:val="ListNumber"/>
        <w:spacing w:after="120"/>
      </w:pPr>
      <w:r>
        <w:t>Dokumen etika PkM dan laporan pelanggaran (jika ada).</w:t>
      </w:r>
    </w:p>
    <w:p>
      <w:pPr>
        <w:pStyle w:val="ListNumber"/>
        <w:spacing w:after="120"/>
      </w:pPr>
      <w:r>
        <w:t>Laporan Monitoring dan Evaluasi (Monev) proses PkM dan pengelolaan PkM, beserta rekap persentase tindak lanjut rekomendasi.</w:t>
      </w:r>
    </w:p>
    <w:p>
      <w:pPr>
        <w:pStyle w:val="ListNumber"/>
        <w:spacing w:after="120"/>
      </w:pPr>
      <w:r>
        <w:t>Laporan Audit Mutu Internal (AMI) dan Berita Acara Rapat Tinjauan Manajemen (RTM) atas Standar Proses PkM.</w:t>
      </w:r>
    </w:p>
    <w:p>
      <w:pPr>
        <w:pStyle w:val="ListNumber"/>
        <w:spacing w:after="120"/>
      </w:pPr>
      <w:r>
        <w:t>Rencana Tindak Lanjut (RTL) hasil evaluasi dan AMI periode berjalan.</w:t>
      </w:r>
    </w:p>
    <w:p>
      <w:pPr>
        <w:pStyle w:val="ListNumber"/>
        <w:spacing w:after="120"/>
      </w:pPr>
      <w:r>
        <w:t>Dokumen pemetaan gap Standar Proses PkM terhadap 5 dokumen rujukan (standarprosespkm.docx).</w:t>
      </w:r>
    </w:p>
    <w:p>
      <w:pPr>
        <w:pStyle w:val="ListNumber"/>
        <w:spacing w:after="120"/>
      </w:pPr>
      <w:r>
        <w:t>Dokumen root-cause analysis dan SWOT tahunan atas Standar Proses PkM, sesuai template Standar Penjaminan Mutu Internal FTII, beserta berita acara pembahasannya dalam RTM.</w:t>
      </w:r>
    </w:p>
    <w:p>
      <w:pPr>
        <w:spacing w:before="320" w:after="120"/>
      </w:pPr>
      <w:r>
        <w:rPr>
          <w:b/>
          <w:sz w:val="28"/>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Menteri Pendidikan, Kebudayaan, Riset, dan Teknologi Republik Indonesia Nomor 53 Tahun 2023 tentang Penjaminan Mutu Pendidikan Tinggi.</w:t>
      </w:r>
    </w:p>
    <w:p>
      <w:pPr>
        <w:pStyle w:val="ListNumber"/>
        <w:spacing w:after="120"/>
      </w:pPr>
      <w:r>
        <w:t>Matriks Penilaian Laporan Evaluasi Diri dan Laporan Kinerja Program Studi LAM Teknik APS-AV 2025 1.0.</w:t>
      </w:r>
    </w:p>
    <w:p>
      <w:pPr>
        <w:pStyle w:val="ListNumber"/>
        <w:spacing w:after="120"/>
      </w:pPr>
      <w:r>
        <w:t>Kriteria Terakreditasi Unggul 2.1 LAM INFOKOM.</w:t>
      </w:r>
    </w:p>
    <w:p>
      <w:pPr>
        <w:pStyle w:val="ListNumber"/>
        <w:spacing w:after="120"/>
      </w:pPr>
      <w:r>
        <w:t>Peraturan Lembaga Akreditasi Mandiri Informatika dan Komputer Nomor 11/PERLAM/MA/LAM-INFOKOM/X/2025 tentang Instrumen Akreditasi Program Studi 2.1 Lingkup Informatika dan Komputer.</w:t>
      </w:r>
    </w:p>
    <w:p>
      <w:pPr>
        <w:pStyle w:val="ListNumber"/>
        <w:spacing w:after="120"/>
      </w:pPr>
      <w:r>
        <w:t>Rencana Strategis (Renstra) Universitas Stikubank (UNISBANK) Semarang.</w:t>
      </w:r>
    </w:p>
    <w:p>
      <w:pPr>
        <w:pStyle w:val="ListNumber"/>
        <w:spacing w:after="120"/>
      </w:pPr>
      <w:r>
        <w:t>Standar Penjaminan Mutu Internal FTII Universitas Stikubank (UNISBANK) Semarang versi Unggul.</w:t>
      </w:r>
    </w:p>
    <w:p>
      <w:pPr>
        <w:pStyle w:val="ListNumber"/>
        <w:spacing w:after="120"/>
      </w:pPr>
      <w:r>
        <w:t>Standar Masukan PkM dan Standar Luaran PkM FTII Universitas Stikubank (UNISBANK) Semarang versi Unggul.</w:t>
      </w:r>
    </w:p>
    <w:p>
      <w:pPr>
        <w:pStyle w:val="ListNumber"/>
        <w:spacing w:after="120"/>
      </w:pPr>
      <w:r>
        <w:t>Dokumen pemetaan gap Standar Proses PkM FTII terhadap 5 dokumen rujukan (standarprosespkm.docx).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