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UNIVERSITAS STIKUBANK (UNISBANK) SEMARANG</w:t>
      </w:r>
    </w:p>
    <w:p>
      <w:pPr>
        <w:pStyle w:val="Heading3"/>
      </w:pPr>
      <w:r>
        <w:t>FAKULTAS TEKNOLOGI INFORMASI DAN INDUSTRI (FTII)</w:t>
      </w:r>
    </w:p>
    <w:p>
      <w:pPr>
        <w:pStyle w:val="Heading1"/>
      </w:pPr>
      <w:r>
        <w:t>RANGKUMAN INDIKATOR STANDAR FTII TERKAIT DATA DOSEN</w:t>
      </w:r>
    </w:p>
    <w:p>
      <w:pPr>
        <w:pStyle w:val="Heading2"/>
      </w:pPr>
      <w:r>
        <w:t>1. Tujuan dan Metode</w:t>
      </w:r>
    </w:p>
    <w:p>
      <w:r>
        <w:t>Dokumen ini merangkum seluruh Indikator Kinerja Utama (IKU) dan Indikator Kinerja Tambahan (IKT) yang tersebar pada 14 (empat belas) dokumen Standar FTII UNISBANK versi Unggul, yang secara eksplisit berkaitan dengan data dosen (kualifikasi, jumlah/rasio, jabatan fungsional, sertifikasi, rekognisi, kinerja penelitian dan PkM, beban kerja, serta pengembangan kompetensi/karier). Indikator yang HANYA mengukur keterlibatan mahasiswa (mis. "persentase mahasiswa terlibat dalam penelitian/PkM dosen") tidak dimasukkan dalam rangkuman ini karena unit ukurnya adalah mahasiswa, bukan dosen, meskipun konteksnya melibatkan kegiatan dosen.</w:t>
      </w:r>
    </w:p>
    <w:p>
      <w:r>
        <w:t>Hasil dikelompokkan per tema (bukan per dokumen) agar pembaca dapat melihat gambaran utuh data dosen lintas standar Masukan Pendidikan, Masukan Penelitian, Proses Penelitian, Luaran Penelitian, Masukan PkM, Luaran PkM, dan lain-lain. Target yang ditampilkan adalah target akhir siklus (2026/2027), setara atau melampaui ambang skor tertinggi (skor 4) LAM Teknik dan deskriptor tertinggi LAM INFOKOM 2.1.</w:t>
      </w:r>
    </w:p>
    <w:p>
      <w:pPr>
        <w:pStyle w:val="Heading2"/>
      </w:pPr>
      <w:r>
        <w:t>2. Rangkuman Indikator per Tema</w:t>
      </w:r>
    </w:p>
    <w:p>
      <w:pPr>
        <w:pStyle w:val="Heading3"/>
      </w:pPr>
      <w:r>
        <w:t>A. Kecukupan dan Rasio Dosen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No</w:t>
            </w:r>
          </w:p>
        </w:tc>
        <w:tc>
          <w:tcPr>
            <w:tcW w:type="dxa" w:w="2160"/>
          </w:tcPr>
          <w:p>
            <w:r>
              <w:t>Indikator</w:t>
            </w:r>
          </w:p>
        </w:tc>
        <w:tc>
          <w:tcPr>
            <w:tcW w:type="dxa" w:w="2160"/>
          </w:tcPr>
          <w:p>
            <w:r>
              <w:t>Target Akhir Siklus (2026/2027)</w:t>
            </w:r>
          </w:p>
        </w:tc>
        <w:tc>
          <w:tcPr>
            <w:tcW w:type="dxa" w:w="2160"/>
          </w:tcPr>
          <w:p>
            <w:r>
              <w:t>Standar Sumber</w:t>
            </w:r>
          </w:p>
        </w:tc>
      </w:tr>
      <w:tr>
        <w:tc>
          <w:tcPr>
            <w:tcW w:type="dxa" w:w="2160"/>
          </w:tcPr>
          <w:p>
            <w:r>
              <w:rPr>
                <w:sz w:val="19"/>
              </w:rPr>
              <w:t>1</w:t>
            </w:r>
          </w:p>
        </w:tc>
        <w:tc>
          <w:tcPr>
            <w:tcW w:type="dxa" w:w="2160"/>
          </w:tcPr>
          <w:p>
            <w:r>
              <w:rPr>
                <w:sz w:val="19"/>
              </w:rPr>
              <w:t>Rasio dosen tetap : mahasiswa</w:t>
            </w:r>
          </w:p>
        </w:tc>
        <w:tc>
          <w:tcPr>
            <w:tcW w:type="dxa" w:w="2160"/>
          </w:tcPr>
          <w:p>
            <w:r>
              <w:rPr>
                <w:sz w:val="19"/>
              </w:rPr>
              <w:t>1:23</w:t>
            </w:r>
          </w:p>
        </w:tc>
        <w:tc>
          <w:tcPr>
            <w:tcW w:type="dxa" w:w="2160"/>
          </w:tcPr>
          <w:p>
            <w:r>
              <w:rPr>
                <w:sz w:val="19"/>
              </w:rPr>
              <w:t>Masukan Pendidikan / Standar Dosen dan Tenaga Kependidikan</w:t>
            </w:r>
          </w:p>
        </w:tc>
      </w:tr>
      <w:tr>
        <w:tc>
          <w:tcPr>
            <w:tcW w:type="dxa" w:w="2160"/>
          </w:tcPr>
          <w:p>
            <w:r>
              <w:rPr>
                <w:sz w:val="19"/>
              </w:rPr>
              <w:t>2</w:t>
            </w:r>
          </w:p>
        </w:tc>
        <w:tc>
          <w:tcPr>
            <w:tcW w:type="dxa" w:w="2160"/>
          </w:tcPr>
          <w:p>
            <w:r>
              <w:rPr>
                <w:sz w:val="19"/>
              </w:rPr>
              <w:t>Jumlah dosen tetap program studi (NDTPS/DTPR)</w:t>
            </w:r>
          </w:p>
        </w:tc>
        <w:tc>
          <w:tcPr>
            <w:tcW w:type="dxa" w:w="2160"/>
          </w:tcPr>
          <w:p>
            <w:r>
              <w:rPr>
                <w:sz w:val="19"/>
              </w:rPr>
              <w:t>≥12</w:t>
            </w:r>
          </w:p>
        </w:tc>
        <w:tc>
          <w:tcPr>
            <w:tcW w:type="dxa" w:w="2160"/>
          </w:tcPr>
          <w:p>
            <w:r>
              <w:rPr>
                <w:sz w:val="19"/>
              </w:rPr>
              <w:t>Masukan Pendidikan / Standar Dosen dan Tenaga Kependidikan</w:t>
            </w:r>
          </w:p>
        </w:tc>
      </w:tr>
    </w:tbl>
    <w:p/>
    <w:p>
      <w:pPr>
        <w:pStyle w:val="Heading3"/>
      </w:pPr>
      <w:r>
        <w:t>B. Kualifikasi Akademik dan Jabatan Fungsional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No</w:t>
            </w:r>
          </w:p>
        </w:tc>
        <w:tc>
          <w:tcPr>
            <w:tcW w:type="dxa" w:w="2160"/>
          </w:tcPr>
          <w:p>
            <w:r>
              <w:t>Indikator</w:t>
            </w:r>
          </w:p>
        </w:tc>
        <w:tc>
          <w:tcPr>
            <w:tcW w:type="dxa" w:w="2160"/>
          </w:tcPr>
          <w:p>
            <w:r>
              <w:t>Target Akhir Siklus (2026/2027)</w:t>
            </w:r>
          </w:p>
        </w:tc>
        <w:tc>
          <w:tcPr>
            <w:tcW w:type="dxa" w:w="2160"/>
          </w:tcPr>
          <w:p>
            <w:r>
              <w:t>Standar Sumber</w:t>
            </w:r>
          </w:p>
        </w:tc>
      </w:tr>
      <w:tr>
        <w:tc>
          <w:tcPr>
            <w:tcW w:type="dxa" w:w="2160"/>
          </w:tcPr>
          <w:p>
            <w:r>
              <w:rPr>
                <w:sz w:val="19"/>
              </w:rPr>
              <w:t>1</w:t>
            </w:r>
          </w:p>
        </w:tc>
        <w:tc>
          <w:tcPr>
            <w:tcW w:type="dxa" w:w="2160"/>
          </w:tcPr>
          <w:p>
            <w:r>
              <w:rPr>
                <w:sz w:val="19"/>
              </w:rPr>
              <w:t>Persentase dosen tetap bergelar Doktor</w:t>
            </w:r>
          </w:p>
        </w:tc>
        <w:tc>
          <w:tcPr>
            <w:tcW w:type="dxa" w:w="2160"/>
          </w:tcPr>
          <w:p>
            <w:r>
              <w:rPr>
                <w:sz w:val="19"/>
              </w:rPr>
              <w:t>50%</w:t>
            </w:r>
          </w:p>
        </w:tc>
        <w:tc>
          <w:tcPr>
            <w:tcW w:type="dxa" w:w="2160"/>
          </w:tcPr>
          <w:p>
            <w:r>
              <w:rPr>
                <w:sz w:val="19"/>
              </w:rPr>
              <w:t>Masukan Pendidikan / Standar Dosen dan Tenaga Kependidikan</w:t>
            </w:r>
          </w:p>
        </w:tc>
      </w:tr>
      <w:tr>
        <w:tc>
          <w:tcPr>
            <w:tcW w:type="dxa" w:w="2160"/>
          </w:tcPr>
          <w:p>
            <w:r>
              <w:rPr>
                <w:sz w:val="19"/>
              </w:rPr>
              <w:t>2</w:t>
            </w:r>
          </w:p>
        </w:tc>
        <w:tc>
          <w:tcPr>
            <w:tcW w:type="dxa" w:w="2160"/>
          </w:tcPr>
          <w:p>
            <w:r>
              <w:rPr>
                <w:sz w:val="19"/>
              </w:rPr>
              <w:t>Persentase dosen jabatan fungsional GB+LK</w:t>
            </w:r>
          </w:p>
        </w:tc>
        <w:tc>
          <w:tcPr>
            <w:tcW w:type="dxa" w:w="2160"/>
          </w:tcPr>
          <w:p>
            <w:r>
              <w:rPr>
                <w:sz w:val="19"/>
              </w:rPr>
              <w:t>40%</w:t>
            </w:r>
          </w:p>
        </w:tc>
        <w:tc>
          <w:tcPr>
            <w:tcW w:type="dxa" w:w="2160"/>
          </w:tcPr>
          <w:p>
            <w:r>
              <w:rPr>
                <w:sz w:val="19"/>
              </w:rPr>
              <w:t>Masukan Pendidikan / Standar Dosen dan Tenaga Kependidikan</w:t>
            </w:r>
          </w:p>
        </w:tc>
      </w:tr>
      <w:tr>
        <w:tc>
          <w:tcPr>
            <w:tcW w:type="dxa" w:w="2160"/>
          </w:tcPr>
          <w:p>
            <w:r>
              <w:rPr>
                <w:sz w:val="19"/>
              </w:rPr>
              <w:t>3</w:t>
            </w:r>
          </w:p>
        </w:tc>
        <w:tc>
          <w:tcPr>
            <w:tcW w:type="dxa" w:w="2160"/>
          </w:tcPr>
          <w:p>
            <w:r>
              <w:rPr>
                <w:sz w:val="19"/>
              </w:rPr>
              <w:t>Kesesuaian kualifikasi ketua/anggota/tenaga bantu penelitian dengan skema [IKU]</w:t>
            </w:r>
          </w:p>
        </w:tc>
        <w:tc>
          <w:tcPr>
            <w:tcW w:type="dxa" w:w="2160"/>
          </w:tcPr>
          <w:p>
            <w:r>
              <w:rPr>
                <w:sz w:val="19"/>
              </w:rPr>
              <w:t>Sesuai</w:t>
            </w:r>
          </w:p>
        </w:tc>
        <w:tc>
          <w:tcPr>
            <w:tcW w:type="dxa" w:w="2160"/>
          </w:tcPr>
          <w:p>
            <w:r>
              <w:rPr>
                <w:sz w:val="19"/>
              </w:rPr>
              <w:t>Masukan Penelitian / Standar Peneliti</w:t>
            </w:r>
          </w:p>
        </w:tc>
      </w:tr>
      <w:tr>
        <w:tc>
          <w:tcPr>
            <w:tcW w:type="dxa" w:w="2160"/>
          </w:tcPr>
          <w:p>
            <w:r>
              <w:rPr>
                <w:sz w:val="19"/>
              </w:rPr>
              <w:t>4</w:t>
            </w:r>
          </w:p>
        </w:tc>
        <w:tc>
          <w:tcPr>
            <w:tcW w:type="dxa" w:w="2160"/>
          </w:tcPr>
          <w:p>
            <w:r>
              <w:rPr>
                <w:sz w:val="19"/>
              </w:rPr>
              <w:t>Kesesuaian kualifikasi ketua/anggota/tenaga bantu PkM dengan skema [IKU]</w:t>
            </w:r>
          </w:p>
        </w:tc>
        <w:tc>
          <w:tcPr>
            <w:tcW w:type="dxa" w:w="2160"/>
          </w:tcPr>
          <w:p>
            <w:r>
              <w:rPr>
                <w:sz w:val="19"/>
              </w:rPr>
              <w:t>Sesuai</w:t>
            </w:r>
          </w:p>
        </w:tc>
        <w:tc>
          <w:tcPr>
            <w:tcW w:type="dxa" w:w="2160"/>
          </w:tcPr>
          <w:p>
            <w:r>
              <w:rPr>
                <w:sz w:val="19"/>
              </w:rPr>
              <w:t>Masukan PkM / Standar Pelaksana PkM</w:t>
            </w:r>
          </w:p>
        </w:tc>
      </w:tr>
    </w:tbl>
    <w:p/>
    <w:p>
      <w:pPr>
        <w:pStyle w:val="Heading3"/>
      </w:pPr>
      <w:r>
        <w:t>C. Sertifikasi dan Kompetensi Dosen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No</w:t>
            </w:r>
          </w:p>
        </w:tc>
        <w:tc>
          <w:tcPr>
            <w:tcW w:type="dxa" w:w="2160"/>
          </w:tcPr>
          <w:p>
            <w:r>
              <w:t>Indikator</w:t>
            </w:r>
          </w:p>
        </w:tc>
        <w:tc>
          <w:tcPr>
            <w:tcW w:type="dxa" w:w="2160"/>
          </w:tcPr>
          <w:p>
            <w:r>
              <w:t>Target Akhir Siklus (2026/2027)</w:t>
            </w:r>
          </w:p>
        </w:tc>
        <w:tc>
          <w:tcPr>
            <w:tcW w:type="dxa" w:w="2160"/>
          </w:tcPr>
          <w:p>
            <w:r>
              <w:t>Standar Sumber</w:t>
            </w:r>
          </w:p>
        </w:tc>
      </w:tr>
      <w:tr>
        <w:tc>
          <w:tcPr>
            <w:tcW w:type="dxa" w:w="2160"/>
          </w:tcPr>
          <w:p>
            <w:r>
              <w:rPr>
                <w:sz w:val="19"/>
              </w:rPr>
              <w:t>1</w:t>
            </w:r>
          </w:p>
        </w:tc>
        <w:tc>
          <w:tcPr>
            <w:tcW w:type="dxa" w:w="2160"/>
          </w:tcPr>
          <w:p>
            <w:r>
              <w:rPr>
                <w:sz w:val="19"/>
              </w:rPr>
              <w:t>Persentase dosen bersertifikat pendidik</w:t>
            </w:r>
          </w:p>
        </w:tc>
        <w:tc>
          <w:tcPr>
            <w:tcW w:type="dxa" w:w="2160"/>
          </w:tcPr>
          <w:p>
            <w:r>
              <w:rPr>
                <w:sz w:val="19"/>
              </w:rPr>
              <w:t>95%</w:t>
            </w:r>
          </w:p>
        </w:tc>
        <w:tc>
          <w:tcPr>
            <w:tcW w:type="dxa" w:w="2160"/>
          </w:tcPr>
          <w:p>
            <w:r>
              <w:rPr>
                <w:sz w:val="19"/>
              </w:rPr>
              <w:t>Masukan Pendidikan / Standar Dosen dan Tenaga Kependidikan</w:t>
            </w:r>
          </w:p>
        </w:tc>
      </w:tr>
      <w:tr>
        <w:tc>
          <w:tcPr>
            <w:tcW w:type="dxa" w:w="2160"/>
          </w:tcPr>
          <w:p>
            <w:r>
              <w:rPr>
                <w:sz w:val="19"/>
              </w:rPr>
              <w:t>2</w:t>
            </w:r>
          </w:p>
        </w:tc>
        <w:tc>
          <w:tcPr>
            <w:tcW w:type="dxa" w:w="2160"/>
          </w:tcPr>
          <w:p>
            <w:r>
              <w:rPr>
                <w:sz w:val="19"/>
              </w:rPr>
              <w:t>*Persentase dosen bersertifikat kompetensi/profesi/industri</w:t>
            </w:r>
          </w:p>
        </w:tc>
        <w:tc>
          <w:tcPr>
            <w:tcW w:type="dxa" w:w="2160"/>
          </w:tcPr>
          <w:p>
            <w:r>
              <w:rPr>
                <w:sz w:val="19"/>
              </w:rPr>
              <w:t>40%</w:t>
            </w:r>
          </w:p>
        </w:tc>
        <w:tc>
          <w:tcPr>
            <w:tcW w:type="dxa" w:w="2160"/>
          </w:tcPr>
          <w:p>
            <w:r>
              <w:rPr>
                <w:sz w:val="19"/>
              </w:rPr>
              <w:t>Masukan Pendidikan / Standar Dosen dan Tenaga Kependidikan</w:t>
            </w:r>
          </w:p>
        </w:tc>
      </w:tr>
      <w:tr>
        <w:tc>
          <w:tcPr>
            <w:tcW w:type="dxa" w:w="2160"/>
          </w:tcPr>
          <w:p>
            <w:r>
              <w:rPr>
                <w:sz w:val="19"/>
              </w:rPr>
              <w:t>3</w:t>
            </w:r>
          </w:p>
        </w:tc>
        <w:tc>
          <w:tcPr>
            <w:tcW w:type="dxa" w:w="2160"/>
          </w:tcPr>
          <w:p>
            <w:r>
              <w:rPr>
                <w:sz w:val="19"/>
              </w:rPr>
              <w:t>*Persentase mata kuliah kompetensi diampu dosen industri/praktisi</w:t>
            </w:r>
          </w:p>
        </w:tc>
        <w:tc>
          <w:tcPr>
            <w:tcW w:type="dxa" w:w="2160"/>
          </w:tcPr>
          <w:p>
            <w:r>
              <w:rPr>
                <w:sz w:val="19"/>
              </w:rPr>
              <w:t>20%</w:t>
            </w:r>
          </w:p>
        </w:tc>
        <w:tc>
          <w:tcPr>
            <w:tcW w:type="dxa" w:w="2160"/>
          </w:tcPr>
          <w:p>
            <w:r>
              <w:rPr>
                <w:sz w:val="19"/>
              </w:rPr>
              <w:t>Masukan Pendidikan / Standar Dosen dan Tenaga Kependidikan</w:t>
            </w:r>
          </w:p>
        </w:tc>
      </w:tr>
    </w:tbl>
    <w:p/>
    <w:p>
      <w:pPr>
        <w:pStyle w:val="Heading3"/>
      </w:pPr>
      <w:r>
        <w:t>D. Rekognisi dan Pengakuan Dosen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No</w:t>
            </w:r>
          </w:p>
        </w:tc>
        <w:tc>
          <w:tcPr>
            <w:tcW w:type="dxa" w:w="2160"/>
          </w:tcPr>
          <w:p>
            <w:r>
              <w:t>Indikator</w:t>
            </w:r>
          </w:p>
        </w:tc>
        <w:tc>
          <w:tcPr>
            <w:tcW w:type="dxa" w:w="2160"/>
          </w:tcPr>
          <w:p>
            <w:r>
              <w:t>Target Akhir Siklus (2026/2027)</w:t>
            </w:r>
          </w:p>
        </w:tc>
        <w:tc>
          <w:tcPr>
            <w:tcW w:type="dxa" w:w="2160"/>
          </w:tcPr>
          <w:p>
            <w:r>
              <w:t>Standar Sumber</w:t>
            </w:r>
          </w:p>
        </w:tc>
      </w:tr>
      <w:tr>
        <w:tc>
          <w:tcPr>
            <w:tcW w:type="dxa" w:w="2160"/>
          </w:tcPr>
          <w:p>
            <w:r>
              <w:rPr>
                <w:sz w:val="19"/>
              </w:rPr>
              <w:t>1</w:t>
            </w:r>
          </w:p>
        </w:tc>
        <w:tc>
          <w:tcPr>
            <w:tcW w:type="dxa" w:w="2160"/>
          </w:tcPr>
          <w:p>
            <w:r>
              <w:rPr>
                <w:sz w:val="19"/>
              </w:rPr>
              <w:t>Persentase dosen memperoleh rekognisi nasional/internasional</w:t>
            </w:r>
          </w:p>
        </w:tc>
        <w:tc>
          <w:tcPr>
            <w:tcW w:type="dxa" w:w="2160"/>
          </w:tcPr>
          <w:p>
            <w:r>
              <w:rPr>
                <w:sz w:val="19"/>
              </w:rPr>
              <w:t>50%</w:t>
            </w:r>
          </w:p>
        </w:tc>
        <w:tc>
          <w:tcPr>
            <w:tcW w:type="dxa" w:w="2160"/>
          </w:tcPr>
          <w:p>
            <w:r>
              <w:rPr>
                <w:sz w:val="19"/>
              </w:rPr>
              <w:t>Masukan Pendidikan / Standar Dosen dan Tenaga Kependidikan</w:t>
            </w:r>
          </w:p>
        </w:tc>
      </w:tr>
      <w:tr>
        <w:tc>
          <w:tcPr>
            <w:tcW w:type="dxa" w:w="2160"/>
          </w:tcPr>
          <w:p>
            <w:r>
              <w:rPr>
                <w:sz w:val="19"/>
              </w:rPr>
              <w:t>2</w:t>
            </w:r>
          </w:p>
        </w:tc>
        <w:tc>
          <w:tcPr>
            <w:tcW w:type="dxa" w:w="2160"/>
          </w:tcPr>
          <w:p>
            <w:r>
              <w:rPr>
                <w:sz w:val="19"/>
              </w:rPr>
              <w:t>*Jumlah produk/jasa karya dosen yang diadopsi industri/masyarakat per tahun</w:t>
            </w:r>
          </w:p>
        </w:tc>
        <w:tc>
          <w:tcPr>
            <w:tcW w:type="dxa" w:w="2160"/>
          </w:tcPr>
          <w:p>
            <w:r>
              <w:rPr>
                <w:sz w:val="19"/>
              </w:rPr>
              <w:t>≥4</w:t>
            </w:r>
          </w:p>
        </w:tc>
        <w:tc>
          <w:tcPr>
            <w:tcW w:type="dxa" w:w="2160"/>
          </w:tcPr>
          <w:p>
            <w:r>
              <w:rPr>
                <w:sz w:val="19"/>
              </w:rPr>
              <w:t>Masukan Pendidikan / Standar Dosen dan Tenaga Kependidikan</w:t>
            </w:r>
          </w:p>
        </w:tc>
      </w:tr>
      <w:tr>
        <w:tc>
          <w:tcPr>
            <w:tcW w:type="dxa" w:w="2160"/>
          </w:tcPr>
          <w:p>
            <w:r>
              <w:rPr>
                <w:sz w:val="19"/>
              </w:rPr>
              <w:t>3</w:t>
            </w:r>
          </w:p>
        </w:tc>
        <w:tc>
          <w:tcPr>
            <w:tcW w:type="dxa" w:w="2160"/>
          </w:tcPr>
          <w:p>
            <w:r>
              <w:rPr>
                <w:sz w:val="19"/>
              </w:rPr>
              <w:t>Jumlah penghargaan penelitian nasional per program studi per 3 tahun [IKT]</w:t>
            </w:r>
          </w:p>
        </w:tc>
        <w:tc>
          <w:tcPr>
            <w:tcW w:type="dxa" w:w="2160"/>
          </w:tcPr>
          <w:p>
            <w:r>
              <w:rPr>
                <w:sz w:val="19"/>
              </w:rPr>
              <w:t>≥1</w:t>
            </w:r>
          </w:p>
        </w:tc>
        <w:tc>
          <w:tcPr>
            <w:tcW w:type="dxa" w:w="2160"/>
          </w:tcPr>
          <w:p>
            <w:r>
              <w:rPr>
                <w:sz w:val="19"/>
              </w:rPr>
              <w:t>Masukan Penelitian / Standar Peneliti</w:t>
            </w:r>
          </w:p>
        </w:tc>
      </w:tr>
      <w:tr>
        <w:tc>
          <w:tcPr>
            <w:tcW w:type="dxa" w:w="2160"/>
          </w:tcPr>
          <w:p>
            <w:r>
              <w:rPr>
                <w:sz w:val="19"/>
              </w:rPr>
              <w:t>4</w:t>
            </w:r>
          </w:p>
        </w:tc>
        <w:tc>
          <w:tcPr>
            <w:tcW w:type="dxa" w:w="2160"/>
          </w:tcPr>
          <w:p>
            <w:r>
              <w:rPr>
                <w:sz w:val="19"/>
              </w:rPr>
              <w:t>Jumlah penghargaan penelitian internasional per program studi per 3 tahun [IKT]</w:t>
            </w:r>
          </w:p>
        </w:tc>
        <w:tc>
          <w:tcPr>
            <w:tcW w:type="dxa" w:w="2160"/>
          </w:tcPr>
          <w:p>
            <w:r>
              <w:rPr>
                <w:sz w:val="19"/>
              </w:rPr>
              <w:t>≥1</w:t>
            </w:r>
          </w:p>
        </w:tc>
        <w:tc>
          <w:tcPr>
            <w:tcW w:type="dxa" w:w="2160"/>
          </w:tcPr>
          <w:p>
            <w:r>
              <w:rPr>
                <w:sz w:val="19"/>
              </w:rPr>
              <w:t>Masukan Penelitian / Standar Peneliti</w:t>
            </w:r>
          </w:p>
        </w:tc>
      </w:tr>
    </w:tbl>
    <w:p/>
    <w:p>
      <w:pPr>
        <w:pStyle w:val="Heading3"/>
      </w:pPr>
      <w:r>
        <w:t>E. Kinerja Penelitian Dosen (hibah, publikasi, sitasi)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No</w:t>
            </w:r>
          </w:p>
        </w:tc>
        <w:tc>
          <w:tcPr>
            <w:tcW w:type="dxa" w:w="2160"/>
          </w:tcPr>
          <w:p>
            <w:r>
              <w:t>Indikator</w:t>
            </w:r>
          </w:p>
        </w:tc>
        <w:tc>
          <w:tcPr>
            <w:tcW w:type="dxa" w:w="2160"/>
          </w:tcPr>
          <w:p>
            <w:r>
              <w:t>Target Akhir Siklus (2026/2027)</w:t>
            </w:r>
          </w:p>
        </w:tc>
        <w:tc>
          <w:tcPr>
            <w:tcW w:type="dxa" w:w="2160"/>
          </w:tcPr>
          <w:p>
            <w:r>
              <w:t>Standar Sumber</w:t>
            </w:r>
          </w:p>
        </w:tc>
      </w:tr>
      <w:tr>
        <w:tc>
          <w:tcPr>
            <w:tcW w:type="dxa" w:w="2160"/>
          </w:tcPr>
          <w:p>
            <w:r>
              <w:rPr>
                <w:sz w:val="19"/>
              </w:rPr>
              <w:t>1</w:t>
            </w:r>
          </w:p>
        </w:tc>
        <w:tc>
          <w:tcPr>
            <w:tcW w:type="dxa" w:w="2160"/>
          </w:tcPr>
          <w:p>
            <w:r>
              <w:rPr>
                <w:sz w:val="19"/>
              </w:rPr>
              <w:t>Dana penelitian per dosen per tahun</w:t>
            </w:r>
          </w:p>
        </w:tc>
        <w:tc>
          <w:tcPr>
            <w:tcW w:type="dxa" w:w="2160"/>
          </w:tcPr>
          <w:p>
            <w:r>
              <w:rPr>
                <w:sz w:val="19"/>
              </w:rPr>
              <w:t>Rp15 juta</w:t>
            </w:r>
          </w:p>
        </w:tc>
        <w:tc>
          <w:tcPr>
            <w:tcW w:type="dxa" w:w="2160"/>
          </w:tcPr>
          <w:p>
            <w:r>
              <w:rPr>
                <w:sz w:val="19"/>
              </w:rPr>
              <w:t>Masukan Pendidikan / Standar Dosen dan Tenaga Kependidikan</w:t>
            </w:r>
          </w:p>
        </w:tc>
      </w:tr>
      <w:tr>
        <w:tc>
          <w:tcPr>
            <w:tcW w:type="dxa" w:w="2160"/>
          </w:tcPr>
          <w:p>
            <w:r>
              <w:rPr>
                <w:sz w:val="19"/>
              </w:rPr>
              <w:t>2</w:t>
            </w:r>
          </w:p>
        </w:tc>
        <w:tc>
          <w:tcPr>
            <w:tcW w:type="dxa" w:w="2160"/>
          </w:tcPr>
          <w:p>
            <w:r>
              <w:rPr>
                <w:sz w:val="19"/>
              </w:rPr>
              <w:t>Persentase dosen aktif penelitian, PkM, dan publikasi ilmiah</w:t>
            </w:r>
          </w:p>
        </w:tc>
        <w:tc>
          <w:tcPr>
            <w:tcW w:type="dxa" w:w="2160"/>
          </w:tcPr>
          <w:p>
            <w:r>
              <w:rPr>
                <w:sz w:val="19"/>
              </w:rPr>
              <w:t>95-100%</w:t>
            </w:r>
          </w:p>
        </w:tc>
        <w:tc>
          <w:tcPr>
            <w:tcW w:type="dxa" w:w="2160"/>
          </w:tcPr>
          <w:p>
            <w:r>
              <w:rPr>
                <w:sz w:val="19"/>
              </w:rPr>
              <w:t>Masukan Pendidikan / Standar Dosen dan Tenaga Kependidikan</w:t>
            </w:r>
          </w:p>
        </w:tc>
      </w:tr>
      <w:tr>
        <w:tc>
          <w:tcPr>
            <w:tcW w:type="dxa" w:w="2160"/>
          </w:tcPr>
          <w:p>
            <w:r>
              <w:rPr>
                <w:sz w:val="19"/>
              </w:rPr>
              <w:t>3</w:t>
            </w:r>
          </w:p>
        </w:tc>
        <w:tc>
          <w:tcPr>
            <w:tcW w:type="dxa" w:w="2160"/>
          </w:tcPr>
          <w:p>
            <w:r>
              <w:rPr>
                <w:sz w:val="19"/>
              </w:rPr>
              <w:t>*Jumlah sitasi karya ilmiah dosen per dosen aktif publikasi per tahun</w:t>
            </w:r>
          </w:p>
        </w:tc>
        <w:tc>
          <w:tcPr>
            <w:tcW w:type="dxa" w:w="2160"/>
          </w:tcPr>
          <w:p>
            <w:r>
              <w:rPr>
                <w:sz w:val="19"/>
              </w:rPr>
              <w:t>≥5</w:t>
            </w:r>
          </w:p>
        </w:tc>
        <w:tc>
          <w:tcPr>
            <w:tcW w:type="dxa" w:w="2160"/>
          </w:tcPr>
          <w:p>
            <w:r>
              <w:rPr>
                <w:sz w:val="19"/>
              </w:rPr>
              <w:t>Masukan Pendidikan / Standar Dosen dan Tenaga Kependidikan</w:t>
            </w:r>
          </w:p>
        </w:tc>
      </w:tr>
      <w:tr>
        <w:tc>
          <w:tcPr>
            <w:tcW w:type="dxa" w:w="2160"/>
          </w:tcPr>
          <w:p>
            <w:r>
              <w:rPr>
                <w:sz w:val="19"/>
              </w:rPr>
              <w:t>4</w:t>
            </w:r>
          </w:p>
        </w:tc>
        <w:tc>
          <w:tcPr>
            <w:tcW w:type="dxa" w:w="2160"/>
          </w:tcPr>
          <w:p>
            <w:r>
              <w:rPr>
                <w:sz w:val="19"/>
              </w:rPr>
              <w:t>*Persentase DTPS penulis utama/korespondensi publikasi jurnal internasional bereputasi</w:t>
            </w:r>
          </w:p>
        </w:tc>
        <w:tc>
          <w:tcPr>
            <w:tcW w:type="dxa" w:w="2160"/>
          </w:tcPr>
          <w:p>
            <w:r>
              <w:rPr>
                <w:sz w:val="19"/>
              </w:rPr>
              <w:t>50%</w:t>
            </w:r>
          </w:p>
        </w:tc>
        <w:tc>
          <w:tcPr>
            <w:tcW w:type="dxa" w:w="2160"/>
          </w:tcPr>
          <w:p>
            <w:r>
              <w:rPr>
                <w:sz w:val="19"/>
              </w:rPr>
              <w:t>Masukan Pendidikan / Standar Dosen dan Tenaga Kependidikan</w:t>
            </w:r>
          </w:p>
        </w:tc>
      </w:tr>
      <w:tr>
        <w:tc>
          <w:tcPr>
            <w:tcW w:type="dxa" w:w="2160"/>
          </w:tcPr>
          <w:p>
            <w:r>
              <w:rPr>
                <w:sz w:val="19"/>
              </w:rPr>
              <w:t>5</w:t>
            </w:r>
          </w:p>
        </w:tc>
        <w:tc>
          <w:tcPr>
            <w:tcW w:type="dxa" w:w="2160"/>
          </w:tcPr>
          <w:p>
            <w:r>
              <w:rPr>
                <w:sz w:val="19"/>
              </w:rPr>
              <w:t>*Persentase DTPS yang karya ilmiahnya tersitasi pada jurnal/basis data bereputasi (selaras formula PKIB LAM Teknik)</w:t>
            </w:r>
          </w:p>
        </w:tc>
        <w:tc>
          <w:tcPr>
            <w:tcW w:type="dxa" w:w="2160"/>
          </w:tcPr>
          <w:p>
            <w:r>
              <w:rPr>
                <w:sz w:val="19"/>
              </w:rPr>
              <w:t>25%</w:t>
            </w:r>
          </w:p>
        </w:tc>
        <w:tc>
          <w:tcPr>
            <w:tcW w:type="dxa" w:w="2160"/>
          </w:tcPr>
          <w:p>
            <w:r>
              <w:rPr>
                <w:sz w:val="19"/>
              </w:rPr>
              <w:t>Masukan Pendidikan / Standar Dosen dan Tenaga Kependidikan</w:t>
            </w:r>
          </w:p>
        </w:tc>
      </w:tr>
      <w:tr>
        <w:tc>
          <w:tcPr>
            <w:tcW w:type="dxa" w:w="2160"/>
          </w:tcPr>
          <w:p>
            <w:r>
              <w:rPr>
                <w:sz w:val="19"/>
              </w:rPr>
              <w:t>6</w:t>
            </w:r>
          </w:p>
        </w:tc>
        <w:tc>
          <w:tcPr>
            <w:tcW w:type="dxa" w:w="2160"/>
          </w:tcPr>
          <w:p>
            <w:r>
              <w:rPr>
                <w:sz w:val="19"/>
              </w:rPr>
              <w:t>Rata-rata jumlah penelitian per dosen per tahun [IKU]</w:t>
            </w:r>
          </w:p>
        </w:tc>
        <w:tc>
          <w:tcPr>
            <w:tcW w:type="dxa" w:w="2160"/>
          </w:tcPr>
          <w:p>
            <w:r>
              <w:rPr>
                <w:sz w:val="19"/>
              </w:rPr>
              <w:t>1</w:t>
            </w:r>
          </w:p>
        </w:tc>
        <w:tc>
          <w:tcPr>
            <w:tcW w:type="dxa" w:w="2160"/>
          </w:tcPr>
          <w:p>
            <w:r>
              <w:rPr>
                <w:sz w:val="19"/>
              </w:rPr>
              <w:t>Masukan Penelitian / Standar Peneliti</w:t>
            </w:r>
          </w:p>
        </w:tc>
      </w:tr>
      <w:tr>
        <w:tc>
          <w:tcPr>
            <w:tcW w:type="dxa" w:w="2160"/>
          </w:tcPr>
          <w:p>
            <w:r>
              <w:rPr>
                <w:sz w:val="19"/>
              </w:rPr>
              <w:t>7</w:t>
            </w:r>
          </w:p>
        </w:tc>
        <w:tc>
          <w:tcPr>
            <w:tcW w:type="dxa" w:w="2160"/>
          </w:tcPr>
          <w:p>
            <w:r>
              <w:rPr>
                <w:sz w:val="19"/>
              </w:rPr>
              <w:t>Pelaporan proporsi tingkat penelitian (internasional/nasional/lokal) per dosen [IKT]</w:t>
            </w:r>
          </w:p>
        </w:tc>
        <w:tc>
          <w:tcPr>
            <w:tcW w:type="dxa" w:w="2160"/>
          </w:tcPr>
          <w:p>
            <w:r>
              <w:rPr>
                <w:sz w:val="19"/>
              </w:rPr>
              <w:t>Tersedia</w:t>
            </w:r>
          </w:p>
        </w:tc>
        <w:tc>
          <w:tcPr>
            <w:tcW w:type="dxa" w:w="2160"/>
          </w:tcPr>
          <w:p>
            <w:r>
              <w:rPr>
                <w:sz w:val="19"/>
              </w:rPr>
              <w:t>Masukan Penelitian / Standar Peneliti</w:t>
            </w:r>
          </w:p>
        </w:tc>
      </w:tr>
      <w:tr>
        <w:tc>
          <w:tcPr>
            <w:tcW w:type="dxa" w:w="2160"/>
          </w:tcPr>
          <w:p>
            <w:r>
              <w:rPr>
                <w:sz w:val="19"/>
              </w:rPr>
              <w:t>8</w:t>
            </w:r>
          </w:p>
        </w:tc>
        <w:tc>
          <w:tcPr>
            <w:tcW w:type="dxa" w:w="2160"/>
          </w:tcPr>
          <w:p>
            <w:r>
              <w:rPr>
                <w:sz w:val="19"/>
              </w:rPr>
              <w:t>Persentase kepuasan dosen dan mahasiswa terhadap sarana-prasarana dan layanan penelitian [IKU]</w:t>
            </w:r>
          </w:p>
        </w:tc>
        <w:tc>
          <w:tcPr>
            <w:tcW w:type="dxa" w:w="2160"/>
          </w:tcPr>
          <w:p>
            <w:r>
              <w:rPr>
                <w:sz w:val="19"/>
              </w:rPr>
              <w:t>95%</w:t>
            </w:r>
          </w:p>
        </w:tc>
        <w:tc>
          <w:tcPr>
            <w:tcW w:type="dxa" w:w="2160"/>
          </w:tcPr>
          <w:p>
            <w:r>
              <w:rPr>
                <w:sz w:val="19"/>
              </w:rPr>
              <w:t>Masukan Penelitian / Standar Pengelolaan Penelitian</w:t>
            </w:r>
          </w:p>
        </w:tc>
      </w:tr>
      <w:tr>
        <w:tc>
          <w:tcPr>
            <w:tcW w:type="dxa" w:w="2160"/>
          </w:tcPr>
          <w:p>
            <w:r>
              <w:rPr>
                <w:sz w:val="19"/>
              </w:rPr>
              <w:t>9</w:t>
            </w:r>
          </w:p>
        </w:tc>
        <w:tc>
          <w:tcPr>
            <w:tcW w:type="dxa" w:w="2160"/>
          </w:tcPr>
          <w:p>
            <w:r>
              <w:rPr>
                <w:sz w:val="19"/>
              </w:rPr>
              <w:t>Dana penelitian per dosen per tahun [IKU]</w:t>
            </w:r>
          </w:p>
        </w:tc>
        <w:tc>
          <w:tcPr>
            <w:tcW w:type="dxa" w:w="2160"/>
          </w:tcPr>
          <w:p>
            <w:r>
              <w:rPr>
                <w:sz w:val="19"/>
              </w:rPr>
              <w:t>Rp25 juta</w:t>
            </w:r>
          </w:p>
        </w:tc>
        <w:tc>
          <w:tcPr>
            <w:tcW w:type="dxa" w:w="2160"/>
          </w:tcPr>
          <w:p>
            <w:r>
              <w:rPr>
                <w:sz w:val="19"/>
              </w:rPr>
              <w:t>Masukan Penelitian / Standar Pendanaan dan Pembiayaan Penelitian</w:t>
            </w:r>
          </w:p>
        </w:tc>
      </w:tr>
      <w:tr>
        <w:tc>
          <w:tcPr>
            <w:tcW w:type="dxa" w:w="2160"/>
          </w:tcPr>
          <w:p>
            <w:r>
              <w:rPr>
                <w:sz w:val="19"/>
              </w:rPr>
              <w:t>10</w:t>
            </w:r>
          </w:p>
        </w:tc>
        <w:tc>
          <w:tcPr>
            <w:tcW w:type="dxa" w:w="2160"/>
          </w:tcPr>
          <w:p>
            <w:r>
              <w:rPr>
                <w:sz w:val="19"/>
              </w:rPr>
              <w:t>Pelaporan proporsi sumber pendanaan penelitian (luar negeri/dalam negeri/PT-mandiri) per dosen [IKT]</w:t>
            </w:r>
          </w:p>
        </w:tc>
        <w:tc>
          <w:tcPr>
            <w:tcW w:type="dxa" w:w="2160"/>
          </w:tcPr>
          <w:p>
            <w:r>
              <w:rPr>
                <w:sz w:val="19"/>
              </w:rPr>
              <w:t>Tersedia</w:t>
            </w:r>
          </w:p>
        </w:tc>
        <w:tc>
          <w:tcPr>
            <w:tcW w:type="dxa" w:w="2160"/>
          </w:tcPr>
          <w:p>
            <w:r>
              <w:rPr>
                <w:sz w:val="19"/>
              </w:rPr>
              <w:t>Masukan Penelitian / Standar Pendanaan dan Pembiayaan Penelitian</w:t>
            </w:r>
          </w:p>
        </w:tc>
      </w:tr>
      <w:tr>
        <w:tc>
          <w:tcPr>
            <w:tcW w:type="dxa" w:w="2160"/>
          </w:tcPr>
          <w:p>
            <w:r>
              <w:rPr>
                <w:sz w:val="19"/>
              </w:rPr>
              <w:t>11</w:t>
            </w:r>
          </w:p>
        </w:tc>
        <w:tc>
          <w:tcPr>
            <w:tcW w:type="dxa" w:w="2160"/>
          </w:tcPr>
          <w:p>
            <w:r>
              <w:rPr>
                <w:sz w:val="19"/>
              </w:rPr>
              <w:t>Penelitian dosen selaras roadmap/RIP [IKU - baru]</w:t>
            </w:r>
          </w:p>
        </w:tc>
        <w:tc>
          <w:tcPr>
            <w:tcW w:type="dxa" w:w="2160"/>
          </w:tcPr>
          <w:p>
            <w:r>
              <w:rPr>
                <w:sz w:val="19"/>
              </w:rPr>
              <w:t>100%</w:t>
            </w:r>
          </w:p>
        </w:tc>
        <w:tc>
          <w:tcPr>
            <w:tcW w:type="dxa" w:w="2160"/>
          </w:tcPr>
          <w:p>
            <w:r>
              <w:rPr>
                <w:sz w:val="19"/>
              </w:rPr>
              <w:t>Proses Penelitian / Standar Perencanaan Penelitian</w:t>
            </w:r>
          </w:p>
        </w:tc>
      </w:tr>
      <w:tr>
        <w:tc>
          <w:tcPr>
            <w:tcW w:type="dxa" w:w="2160"/>
          </w:tcPr>
          <w:p>
            <w:r>
              <w:rPr>
                <w:sz w:val="19"/>
              </w:rPr>
              <w:t>12</w:t>
            </w:r>
          </w:p>
        </w:tc>
        <w:tc>
          <w:tcPr>
            <w:tcW w:type="dxa" w:w="2160"/>
          </w:tcPr>
          <w:p>
            <w:r>
              <w:rPr>
                <w:sz w:val="19"/>
              </w:rPr>
              <w:t>Setiap dosen tetap memiliki penelitian per tahun [IKU]</w:t>
            </w:r>
          </w:p>
        </w:tc>
        <w:tc>
          <w:tcPr>
            <w:tcW w:type="dxa" w:w="2160"/>
          </w:tcPr>
          <w:p>
            <w:r>
              <w:rPr>
                <w:sz w:val="19"/>
              </w:rPr>
              <w:t>100%</w:t>
            </w:r>
          </w:p>
        </w:tc>
        <w:tc>
          <w:tcPr>
            <w:tcW w:type="dxa" w:w="2160"/>
          </w:tcPr>
          <w:p>
            <w:r>
              <w:rPr>
                <w:sz w:val="19"/>
              </w:rPr>
              <w:t>Proses Penelitian / Standar Pelaksanaan Penelitian</w:t>
            </w:r>
          </w:p>
        </w:tc>
      </w:tr>
      <w:tr>
        <w:tc>
          <w:tcPr>
            <w:tcW w:type="dxa" w:w="2160"/>
          </w:tcPr>
          <w:p>
            <w:r>
              <w:rPr>
                <w:sz w:val="19"/>
              </w:rPr>
              <w:t>13</w:t>
            </w:r>
          </w:p>
        </w:tc>
        <w:tc>
          <w:tcPr>
            <w:tcW w:type="dxa" w:w="2160"/>
          </w:tcPr>
          <w:p>
            <w:r>
              <w:rPr>
                <w:sz w:val="19"/>
              </w:rPr>
              <w:t>Jumlah judul penelitian dosen bersumber hibah eksternal [IKU - baru]</w:t>
            </w:r>
          </w:p>
        </w:tc>
        <w:tc>
          <w:tcPr>
            <w:tcW w:type="dxa" w:w="2160"/>
          </w:tcPr>
          <w:p>
            <w:r>
              <w:rPr>
                <w:sz w:val="19"/>
              </w:rPr>
              <w:t>15 judul/tahun</w:t>
            </w:r>
          </w:p>
        </w:tc>
        <w:tc>
          <w:tcPr>
            <w:tcW w:type="dxa" w:w="2160"/>
          </w:tcPr>
          <w:p>
            <w:r>
              <w:rPr>
                <w:sz w:val="19"/>
              </w:rPr>
              <w:t>Proses Penelitian / Standar Pelaksanaan Penelitian</w:t>
            </w:r>
          </w:p>
        </w:tc>
      </w:tr>
      <w:tr>
        <w:tc>
          <w:tcPr>
            <w:tcW w:type="dxa" w:w="2160"/>
          </w:tcPr>
          <w:p>
            <w:r>
              <w:rPr>
                <w:sz w:val="19"/>
              </w:rPr>
              <w:t>14</w:t>
            </w:r>
          </w:p>
        </w:tc>
        <w:tc>
          <w:tcPr>
            <w:tcW w:type="dxa" w:w="2160"/>
          </w:tcPr>
          <w:p>
            <w:r>
              <w:rPr>
                <w:sz w:val="19"/>
              </w:rPr>
              <w:t>Persentase dosen tetap memperoleh hibah penelitian eksternal [IKU - baru]</w:t>
            </w:r>
          </w:p>
        </w:tc>
        <w:tc>
          <w:tcPr>
            <w:tcW w:type="dxa" w:w="2160"/>
          </w:tcPr>
          <w:p>
            <w:r>
              <w:rPr>
                <w:sz w:val="19"/>
              </w:rPr>
              <w:t>60%</w:t>
            </w:r>
          </w:p>
        </w:tc>
        <w:tc>
          <w:tcPr>
            <w:tcW w:type="dxa" w:w="2160"/>
          </w:tcPr>
          <w:p>
            <w:r>
              <w:rPr>
                <w:sz w:val="19"/>
              </w:rPr>
              <w:t>Proses Penelitian / Standar Pelaksanaan Penelitian</w:t>
            </w:r>
          </w:p>
        </w:tc>
      </w:tr>
      <w:tr>
        <w:tc>
          <w:tcPr>
            <w:tcW w:type="dxa" w:w="2160"/>
          </w:tcPr>
          <w:p>
            <w:r>
              <w:rPr>
                <w:sz w:val="19"/>
              </w:rPr>
              <w:t>15</w:t>
            </w:r>
          </w:p>
        </w:tc>
        <w:tc>
          <w:tcPr>
            <w:tcW w:type="dxa" w:w="2160"/>
          </w:tcPr>
          <w:p>
            <w:r>
              <w:rPr>
                <w:sz w:val="19"/>
              </w:rPr>
              <w:t>Rata-rata jumlah publikasi ilmiah per dosen per tahun [IKU]</w:t>
            </w:r>
          </w:p>
        </w:tc>
        <w:tc>
          <w:tcPr>
            <w:tcW w:type="dxa" w:w="2160"/>
          </w:tcPr>
          <w:p>
            <w:r>
              <w:rPr>
                <w:sz w:val="19"/>
              </w:rPr>
              <w:t>1,2</w:t>
            </w:r>
          </w:p>
        </w:tc>
        <w:tc>
          <w:tcPr>
            <w:tcW w:type="dxa" w:w="2160"/>
          </w:tcPr>
          <w:p>
            <w:r>
              <w:rPr>
                <w:sz w:val="19"/>
              </w:rPr>
              <w:t>Luaran Penelitian</w:t>
            </w:r>
          </w:p>
        </w:tc>
      </w:tr>
    </w:tbl>
    <w:p/>
    <w:p>
      <w:pPr>
        <w:pStyle w:val="Heading3"/>
      </w:pPr>
      <w:r>
        <w:t>F. Kinerja PkM Dosen (hibah, hilirisasi)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No</w:t>
            </w:r>
          </w:p>
        </w:tc>
        <w:tc>
          <w:tcPr>
            <w:tcW w:type="dxa" w:w="2160"/>
          </w:tcPr>
          <w:p>
            <w:r>
              <w:t>Indikator</w:t>
            </w:r>
          </w:p>
        </w:tc>
        <w:tc>
          <w:tcPr>
            <w:tcW w:type="dxa" w:w="2160"/>
          </w:tcPr>
          <w:p>
            <w:r>
              <w:t>Target Akhir Siklus (2026/2027)</w:t>
            </w:r>
          </w:p>
        </w:tc>
        <w:tc>
          <w:tcPr>
            <w:tcW w:type="dxa" w:w="2160"/>
          </w:tcPr>
          <w:p>
            <w:r>
              <w:t>Standar Sumber</w:t>
            </w:r>
          </w:p>
        </w:tc>
      </w:tr>
      <w:tr>
        <w:tc>
          <w:tcPr>
            <w:tcW w:type="dxa" w:w="2160"/>
          </w:tcPr>
          <w:p>
            <w:r>
              <w:rPr>
                <w:sz w:val="19"/>
              </w:rPr>
              <w:t>1</w:t>
            </w:r>
          </w:p>
        </w:tc>
        <w:tc>
          <w:tcPr>
            <w:tcW w:type="dxa" w:w="2160"/>
          </w:tcPr>
          <w:p>
            <w:r>
              <w:rPr>
                <w:sz w:val="19"/>
              </w:rPr>
              <w:t>Dana PkM per dosen per tahun</w:t>
            </w:r>
          </w:p>
        </w:tc>
        <w:tc>
          <w:tcPr>
            <w:tcW w:type="dxa" w:w="2160"/>
          </w:tcPr>
          <w:p>
            <w:r>
              <w:rPr>
                <w:sz w:val="19"/>
              </w:rPr>
              <w:t>Rp8 juta</w:t>
            </w:r>
          </w:p>
        </w:tc>
        <w:tc>
          <w:tcPr>
            <w:tcW w:type="dxa" w:w="2160"/>
          </w:tcPr>
          <w:p>
            <w:r>
              <w:rPr>
                <w:sz w:val="19"/>
              </w:rPr>
              <w:t>Masukan Pendidikan / Standar Dosen dan Tenaga Kependidikan</w:t>
            </w:r>
          </w:p>
        </w:tc>
      </w:tr>
      <w:tr>
        <w:tc>
          <w:tcPr>
            <w:tcW w:type="dxa" w:w="2160"/>
          </w:tcPr>
          <w:p>
            <w:r>
              <w:rPr>
                <w:sz w:val="19"/>
              </w:rPr>
              <w:t>2</w:t>
            </w:r>
          </w:p>
        </w:tc>
        <w:tc>
          <w:tcPr>
            <w:tcW w:type="dxa" w:w="2160"/>
          </w:tcPr>
          <w:p>
            <w:r>
              <w:rPr>
                <w:sz w:val="19"/>
              </w:rPr>
              <w:t>Rata-rata jumlah PkM per dosen per tahun [IKU]</w:t>
            </w:r>
          </w:p>
        </w:tc>
        <w:tc>
          <w:tcPr>
            <w:tcW w:type="dxa" w:w="2160"/>
          </w:tcPr>
          <w:p>
            <w:r>
              <w:rPr>
                <w:sz w:val="19"/>
              </w:rPr>
              <w:t>1</w:t>
            </w:r>
          </w:p>
        </w:tc>
        <w:tc>
          <w:tcPr>
            <w:tcW w:type="dxa" w:w="2160"/>
          </w:tcPr>
          <w:p>
            <w:r>
              <w:rPr>
                <w:sz w:val="19"/>
              </w:rPr>
              <w:t>Masukan PkM / Standar Pelaksana PkM</w:t>
            </w:r>
          </w:p>
        </w:tc>
      </w:tr>
      <w:tr>
        <w:tc>
          <w:tcPr>
            <w:tcW w:type="dxa" w:w="2160"/>
          </w:tcPr>
          <w:p>
            <w:r>
              <w:rPr>
                <w:sz w:val="19"/>
              </w:rPr>
              <w:t>3</w:t>
            </w:r>
          </w:p>
        </w:tc>
        <w:tc>
          <w:tcPr>
            <w:tcW w:type="dxa" w:w="2160"/>
          </w:tcPr>
          <w:p>
            <w:r>
              <w:rPr>
                <w:sz w:val="19"/>
              </w:rPr>
              <w:t>Pelaporan proporsi sumber pendanaan PkM (luar negeri/dalam negeri/PT-mandiri) per dosen [IKT]</w:t>
            </w:r>
          </w:p>
        </w:tc>
        <w:tc>
          <w:tcPr>
            <w:tcW w:type="dxa" w:w="2160"/>
          </w:tcPr>
          <w:p>
            <w:r>
              <w:rPr>
                <w:sz w:val="19"/>
              </w:rPr>
              <w:t>Tersedia</w:t>
            </w:r>
          </w:p>
        </w:tc>
        <w:tc>
          <w:tcPr>
            <w:tcW w:type="dxa" w:w="2160"/>
          </w:tcPr>
          <w:p>
            <w:r>
              <w:rPr>
                <w:sz w:val="19"/>
              </w:rPr>
              <w:t>Masukan PkM / Standar Pelaksana PkM</w:t>
            </w:r>
          </w:p>
        </w:tc>
      </w:tr>
      <w:tr>
        <w:tc>
          <w:tcPr>
            <w:tcW w:type="dxa" w:w="2160"/>
          </w:tcPr>
          <w:p>
            <w:r>
              <w:rPr>
                <w:sz w:val="19"/>
              </w:rPr>
              <w:t>4</w:t>
            </w:r>
          </w:p>
        </w:tc>
        <w:tc>
          <w:tcPr>
            <w:tcW w:type="dxa" w:w="2160"/>
          </w:tcPr>
          <w:p>
            <w:r>
              <w:rPr>
                <w:sz w:val="19"/>
              </w:rPr>
              <w:t>Persentase kepuasan dosen dan mahasiswa terhadap sarana-prasarana dan layanan PkM [IKU]</w:t>
            </w:r>
          </w:p>
        </w:tc>
        <w:tc>
          <w:tcPr>
            <w:tcW w:type="dxa" w:w="2160"/>
          </w:tcPr>
          <w:p>
            <w:r>
              <w:rPr>
                <w:sz w:val="19"/>
              </w:rPr>
              <w:t>95%</w:t>
            </w:r>
          </w:p>
        </w:tc>
        <w:tc>
          <w:tcPr>
            <w:tcW w:type="dxa" w:w="2160"/>
          </w:tcPr>
          <w:p>
            <w:r>
              <w:rPr>
                <w:sz w:val="19"/>
              </w:rPr>
              <w:t>Masukan PkM / Standar Pengelolaan PkM</w:t>
            </w:r>
          </w:p>
        </w:tc>
      </w:tr>
      <w:tr>
        <w:tc>
          <w:tcPr>
            <w:tcW w:type="dxa" w:w="2160"/>
          </w:tcPr>
          <w:p>
            <w:r>
              <w:rPr>
                <w:sz w:val="19"/>
              </w:rPr>
              <w:t>5</w:t>
            </w:r>
          </w:p>
        </w:tc>
        <w:tc>
          <w:tcPr>
            <w:tcW w:type="dxa" w:w="2160"/>
          </w:tcPr>
          <w:p>
            <w:r>
              <w:rPr>
                <w:sz w:val="19"/>
              </w:rPr>
              <w:t>Dana PkM per dosen per tahun [IKU]</w:t>
            </w:r>
          </w:p>
        </w:tc>
        <w:tc>
          <w:tcPr>
            <w:tcW w:type="dxa" w:w="2160"/>
          </w:tcPr>
          <w:p>
            <w:r>
              <w:rPr>
                <w:sz w:val="19"/>
              </w:rPr>
              <w:t>Rp6,5 juta</w:t>
            </w:r>
          </w:p>
        </w:tc>
        <w:tc>
          <w:tcPr>
            <w:tcW w:type="dxa" w:w="2160"/>
          </w:tcPr>
          <w:p>
            <w:r>
              <w:rPr>
                <w:sz w:val="19"/>
              </w:rPr>
              <w:t>Masukan PkM / Standar Pendanaan dan Pembiayaan PkM</w:t>
            </w:r>
          </w:p>
        </w:tc>
      </w:tr>
      <w:tr>
        <w:tc>
          <w:tcPr>
            <w:tcW w:type="dxa" w:w="2160"/>
          </w:tcPr>
          <w:p>
            <w:r>
              <w:rPr>
                <w:sz w:val="19"/>
              </w:rPr>
              <w:t>6</w:t>
            </w:r>
          </w:p>
        </w:tc>
        <w:tc>
          <w:tcPr>
            <w:tcW w:type="dxa" w:w="2160"/>
          </w:tcPr>
          <w:p>
            <w:r>
              <w:rPr>
                <w:sz w:val="19"/>
              </w:rPr>
              <w:t>*Persentase dana PkM eksternal (luar negeri/dalam negeri/kerja sama DUDI-pemerintah) terhadap total dana PkM per dosen [IKT]</w:t>
            </w:r>
          </w:p>
        </w:tc>
        <w:tc>
          <w:tcPr>
            <w:tcW w:type="dxa" w:w="2160"/>
          </w:tcPr>
          <w:p>
            <w:r>
              <w:rPr>
                <w:sz w:val="19"/>
              </w:rPr>
              <w:t>20%</w:t>
            </w:r>
          </w:p>
        </w:tc>
        <w:tc>
          <w:tcPr>
            <w:tcW w:type="dxa" w:w="2160"/>
          </w:tcPr>
          <w:p>
            <w:r>
              <w:rPr>
                <w:sz w:val="19"/>
              </w:rPr>
              <w:t>Masukan PkM / Standar Pendanaan dan Pembiayaan PkM</w:t>
            </w:r>
          </w:p>
        </w:tc>
      </w:tr>
      <w:tr>
        <w:tc>
          <w:tcPr>
            <w:tcW w:type="dxa" w:w="2160"/>
          </w:tcPr>
          <w:p>
            <w:r>
              <w:rPr>
                <w:sz w:val="19"/>
              </w:rPr>
              <w:t>7</w:t>
            </w:r>
          </w:p>
        </w:tc>
        <w:tc>
          <w:tcPr>
            <w:tcW w:type="dxa" w:w="2160"/>
          </w:tcPr>
          <w:p>
            <w:r>
              <w:rPr>
                <w:sz w:val="19"/>
              </w:rPr>
              <w:t>Jumlah kegiatan PkM per tahun [IKU]</w:t>
            </w:r>
          </w:p>
        </w:tc>
        <w:tc>
          <w:tcPr>
            <w:tcW w:type="dxa" w:w="2160"/>
          </w:tcPr>
          <w:p>
            <w:r>
              <w:rPr>
                <w:sz w:val="19"/>
              </w:rPr>
              <w:t>14</w:t>
            </w:r>
          </w:p>
        </w:tc>
        <w:tc>
          <w:tcPr>
            <w:tcW w:type="dxa" w:w="2160"/>
          </w:tcPr>
          <w:p>
            <w:r>
              <w:rPr>
                <w:sz w:val="19"/>
              </w:rPr>
              <w:t>Luaran PkM</w:t>
            </w:r>
          </w:p>
        </w:tc>
      </w:tr>
    </w:tbl>
    <w:p/>
    <w:p>
      <w:pPr>
        <w:pStyle w:val="Heading3"/>
      </w:pPr>
      <w:r>
        <w:t>G. Beban Kerja Dosen (BKD)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No</w:t>
            </w:r>
          </w:p>
        </w:tc>
        <w:tc>
          <w:tcPr>
            <w:tcW w:type="dxa" w:w="2160"/>
          </w:tcPr>
          <w:p>
            <w:r>
              <w:t>Indikator</w:t>
            </w:r>
          </w:p>
        </w:tc>
        <w:tc>
          <w:tcPr>
            <w:tcW w:type="dxa" w:w="2160"/>
          </w:tcPr>
          <w:p>
            <w:r>
              <w:t>Target Akhir Siklus (2026/2027)</w:t>
            </w:r>
          </w:p>
        </w:tc>
        <w:tc>
          <w:tcPr>
            <w:tcW w:type="dxa" w:w="2160"/>
          </w:tcPr>
          <w:p>
            <w:r>
              <w:t>Standar Sumber</w:t>
            </w:r>
          </w:p>
        </w:tc>
      </w:tr>
      <w:tr>
        <w:tc>
          <w:tcPr>
            <w:tcW w:type="dxa" w:w="2160"/>
          </w:tcPr>
          <w:p>
            <w:r>
              <w:rPr>
                <w:sz w:val="19"/>
              </w:rPr>
              <w:t>1</w:t>
            </w:r>
          </w:p>
        </w:tc>
        <w:tc>
          <w:tcPr>
            <w:tcW w:type="dxa" w:w="2160"/>
          </w:tcPr>
          <w:p>
            <w:r>
              <w:rPr>
                <w:sz w:val="19"/>
              </w:rPr>
              <w:t>*Persentase dosen memenuhi Beban Kerja Dosen (BKD) 12-16 sks per semester</w:t>
            </w:r>
          </w:p>
        </w:tc>
        <w:tc>
          <w:tcPr>
            <w:tcW w:type="dxa" w:w="2160"/>
          </w:tcPr>
          <w:p>
            <w:r>
              <w:rPr>
                <w:sz w:val="19"/>
              </w:rPr>
              <w:t>100%</w:t>
            </w:r>
          </w:p>
        </w:tc>
        <w:tc>
          <w:tcPr>
            <w:tcW w:type="dxa" w:w="2160"/>
          </w:tcPr>
          <w:p>
            <w:r>
              <w:rPr>
                <w:sz w:val="19"/>
              </w:rPr>
              <w:t>Masukan Pendidikan / Standar Dosen dan Tenaga Kependidikan</w:t>
            </w:r>
          </w:p>
        </w:tc>
      </w:tr>
    </w:tbl>
    <w:p/>
    <w:p>
      <w:pPr>
        <w:pStyle w:val="Heading3"/>
      </w:pPr>
      <w:r>
        <w:t>H. Pengembangan Kompetensi/Karier Dosen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No</w:t>
            </w:r>
          </w:p>
        </w:tc>
        <w:tc>
          <w:tcPr>
            <w:tcW w:type="dxa" w:w="2160"/>
          </w:tcPr>
          <w:p>
            <w:r>
              <w:t>Indikator</w:t>
            </w:r>
          </w:p>
        </w:tc>
        <w:tc>
          <w:tcPr>
            <w:tcW w:type="dxa" w:w="2160"/>
          </w:tcPr>
          <w:p>
            <w:r>
              <w:t>Target Akhir Siklus (2026/2027)</w:t>
            </w:r>
          </w:p>
        </w:tc>
        <w:tc>
          <w:tcPr>
            <w:tcW w:type="dxa" w:w="2160"/>
          </w:tcPr>
          <w:p>
            <w:r>
              <w:t>Standar Sumber</w:t>
            </w:r>
          </w:p>
        </w:tc>
      </w:tr>
      <w:tr>
        <w:tc>
          <w:tcPr>
            <w:tcW w:type="dxa" w:w="2160"/>
          </w:tcPr>
          <w:p>
            <w:r>
              <w:rPr>
                <w:sz w:val="19"/>
              </w:rPr>
              <w:t>1</w:t>
            </w:r>
          </w:p>
        </w:tc>
        <w:tc>
          <w:tcPr>
            <w:tcW w:type="dxa" w:w="2160"/>
          </w:tcPr>
          <w:p>
            <w:r>
              <w:rPr>
                <w:sz w:val="19"/>
              </w:rPr>
              <w:t>Jumlah kegiatan pengembangan kompetensi peneliti per tahun [IKU]</w:t>
            </w:r>
          </w:p>
        </w:tc>
        <w:tc>
          <w:tcPr>
            <w:tcW w:type="dxa" w:w="2160"/>
          </w:tcPr>
          <w:p>
            <w:r>
              <w:rPr>
                <w:sz w:val="19"/>
              </w:rPr>
              <w:t>3</w:t>
            </w:r>
          </w:p>
        </w:tc>
        <w:tc>
          <w:tcPr>
            <w:tcW w:type="dxa" w:w="2160"/>
          </w:tcPr>
          <w:p>
            <w:r>
              <w:rPr>
                <w:sz w:val="19"/>
              </w:rPr>
              <w:t>Masukan Penelitian / Standar Peneliti</w:t>
            </w:r>
          </w:p>
        </w:tc>
      </w:tr>
      <w:tr>
        <w:tc>
          <w:tcPr>
            <w:tcW w:type="dxa" w:w="2160"/>
          </w:tcPr>
          <w:p>
            <w:r>
              <w:rPr>
                <w:sz w:val="19"/>
              </w:rPr>
              <w:t>2</w:t>
            </w:r>
          </w:p>
        </w:tc>
        <w:tc>
          <w:tcPr>
            <w:tcW w:type="dxa" w:w="2160"/>
          </w:tcPr>
          <w:p>
            <w:r>
              <w:rPr>
                <w:sz w:val="19"/>
              </w:rPr>
              <w:t>Persentase dosen mengikuti minimal 1 kegiatan pengembangan kompetensi peneliti [IKU]</w:t>
            </w:r>
          </w:p>
        </w:tc>
        <w:tc>
          <w:tcPr>
            <w:tcW w:type="dxa" w:w="2160"/>
          </w:tcPr>
          <w:p>
            <w:r>
              <w:rPr>
                <w:sz w:val="19"/>
              </w:rPr>
              <w:t>95%</w:t>
            </w:r>
          </w:p>
        </w:tc>
        <w:tc>
          <w:tcPr>
            <w:tcW w:type="dxa" w:w="2160"/>
          </w:tcPr>
          <w:p>
            <w:r>
              <w:rPr>
                <w:sz w:val="19"/>
              </w:rPr>
              <w:t>Masukan Penelitian / Standar Peneliti</w:t>
            </w:r>
          </w:p>
        </w:tc>
      </w:tr>
      <w:tr>
        <w:tc>
          <w:tcPr>
            <w:tcW w:type="dxa" w:w="2160"/>
          </w:tcPr>
          <w:p>
            <w:r>
              <w:rPr>
                <w:sz w:val="19"/>
              </w:rPr>
              <w:t>3</w:t>
            </w:r>
          </w:p>
        </w:tc>
        <w:tc>
          <w:tcPr>
            <w:tcW w:type="dxa" w:w="2160"/>
          </w:tcPr>
          <w:p>
            <w:r>
              <w:rPr>
                <w:sz w:val="19"/>
              </w:rPr>
              <w:t>Persentase dosen mengikuti sabbatical/post-doc/kerja sama penelitian luar negeri [IKT]</w:t>
            </w:r>
          </w:p>
        </w:tc>
        <w:tc>
          <w:tcPr>
            <w:tcW w:type="dxa" w:w="2160"/>
          </w:tcPr>
          <w:p>
            <w:r>
              <w:rPr>
                <w:sz w:val="19"/>
              </w:rPr>
              <w:t>2%</w:t>
            </w:r>
          </w:p>
        </w:tc>
        <w:tc>
          <w:tcPr>
            <w:tcW w:type="dxa" w:w="2160"/>
          </w:tcPr>
          <w:p>
            <w:r>
              <w:rPr>
                <w:sz w:val="19"/>
              </w:rPr>
              <w:t>Masukan Penelitian / Standar Peneliti</w:t>
            </w:r>
          </w:p>
        </w:tc>
      </w:tr>
      <w:tr>
        <w:tc>
          <w:tcPr>
            <w:tcW w:type="dxa" w:w="2160"/>
          </w:tcPr>
          <w:p>
            <w:r>
              <w:rPr>
                <w:sz w:val="19"/>
              </w:rPr>
              <w:t>4</w:t>
            </w:r>
          </w:p>
        </w:tc>
        <w:tc>
          <w:tcPr>
            <w:tcW w:type="dxa" w:w="2160"/>
          </w:tcPr>
          <w:p>
            <w:r>
              <w:rPr>
                <w:sz w:val="19"/>
              </w:rPr>
              <w:t>Jumlah kegiatan pengembangan kompetensi pelaksana PkM per tahun [IKU]</w:t>
            </w:r>
          </w:p>
        </w:tc>
        <w:tc>
          <w:tcPr>
            <w:tcW w:type="dxa" w:w="2160"/>
          </w:tcPr>
          <w:p>
            <w:r>
              <w:rPr>
                <w:sz w:val="19"/>
              </w:rPr>
              <w:t>3</w:t>
            </w:r>
          </w:p>
        </w:tc>
        <w:tc>
          <w:tcPr>
            <w:tcW w:type="dxa" w:w="2160"/>
          </w:tcPr>
          <w:p>
            <w:r>
              <w:rPr>
                <w:sz w:val="19"/>
              </w:rPr>
              <w:t>Masukan PkM / Standar Pelaksana PkM</w:t>
            </w:r>
          </w:p>
        </w:tc>
      </w:tr>
      <w:tr>
        <w:tc>
          <w:tcPr>
            <w:tcW w:type="dxa" w:w="2160"/>
          </w:tcPr>
          <w:p>
            <w:r>
              <w:rPr>
                <w:sz w:val="19"/>
              </w:rPr>
              <w:t>5</w:t>
            </w:r>
          </w:p>
        </w:tc>
        <w:tc>
          <w:tcPr>
            <w:tcW w:type="dxa" w:w="2160"/>
          </w:tcPr>
          <w:p>
            <w:r>
              <w:rPr>
                <w:sz w:val="19"/>
              </w:rPr>
              <w:t>Persentase dosen mengikuti minimal 1 kegiatan pengembangan kompetensi pelaksana [IKU]</w:t>
            </w:r>
          </w:p>
        </w:tc>
        <w:tc>
          <w:tcPr>
            <w:tcW w:type="dxa" w:w="2160"/>
          </w:tcPr>
          <w:p>
            <w:r>
              <w:rPr>
                <w:sz w:val="19"/>
              </w:rPr>
              <w:t>95%</w:t>
            </w:r>
          </w:p>
        </w:tc>
        <w:tc>
          <w:tcPr>
            <w:tcW w:type="dxa" w:w="2160"/>
          </w:tcPr>
          <w:p>
            <w:r>
              <w:rPr>
                <w:sz w:val="19"/>
              </w:rPr>
              <w:t>Masukan PkM / Standar Pelaksana PkM</w:t>
            </w:r>
          </w:p>
        </w:tc>
      </w:tr>
    </w:tbl>
    <w:p/>
    <w:p>
      <w:pPr>
        <w:pStyle w:val="Heading3"/>
      </w:pPr>
      <w:r>
        <w:t>I. Lainnya (Sarana Pendukung, Karya, Root-Cause/SWOT)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No</w:t>
            </w:r>
          </w:p>
        </w:tc>
        <w:tc>
          <w:tcPr>
            <w:tcW w:type="dxa" w:w="2160"/>
          </w:tcPr>
          <w:p>
            <w:r>
              <w:t>Indikator</w:t>
            </w:r>
          </w:p>
        </w:tc>
        <w:tc>
          <w:tcPr>
            <w:tcW w:type="dxa" w:w="2160"/>
          </w:tcPr>
          <w:p>
            <w:r>
              <w:t>Target Akhir Siklus (2026/2027)</w:t>
            </w:r>
          </w:p>
        </w:tc>
        <w:tc>
          <w:tcPr>
            <w:tcW w:type="dxa" w:w="2160"/>
          </w:tcPr>
          <w:p>
            <w:r>
              <w:t>Standar Sumber</w:t>
            </w:r>
          </w:p>
        </w:tc>
      </w:tr>
      <w:tr>
        <w:tc>
          <w:tcPr>
            <w:tcW w:type="dxa" w:w="2160"/>
          </w:tcPr>
          <w:p>
            <w:r>
              <w:rPr>
                <w:sz w:val="19"/>
              </w:rPr>
              <w:t>1</w:t>
            </w:r>
          </w:p>
        </w:tc>
        <w:tc>
          <w:tcPr>
            <w:tcW w:type="dxa" w:w="2160"/>
          </w:tcPr>
          <w:p>
            <w:r>
              <w:rPr>
                <w:sz w:val="19"/>
              </w:rPr>
              <w:t>Rasio luas ruang dosen per dosen</w:t>
            </w:r>
          </w:p>
        </w:tc>
        <w:tc>
          <w:tcPr>
            <w:tcW w:type="dxa" w:w="2160"/>
          </w:tcPr>
          <w:p>
            <w:r>
              <w:rPr>
                <w:sz w:val="19"/>
              </w:rPr>
              <w:t>4 m²</w:t>
            </w:r>
          </w:p>
        </w:tc>
        <w:tc>
          <w:tcPr>
            <w:tcW w:type="dxa" w:w="2160"/>
          </w:tcPr>
          <w:p>
            <w:r>
              <w:rPr>
                <w:sz w:val="19"/>
              </w:rPr>
              <w:t>Masukan Pendidikan / Standar Sarana dan Prasarana Pembelajaran</w:t>
            </w:r>
          </w:p>
        </w:tc>
      </w:tr>
      <w:tr>
        <w:tc>
          <w:tcPr>
            <w:tcW w:type="dxa" w:w="2160"/>
          </w:tcPr>
          <w:p>
            <w:r>
              <w:rPr>
                <w:sz w:val="19"/>
              </w:rPr>
              <w:t>2</w:t>
            </w:r>
          </w:p>
        </w:tc>
        <w:tc>
          <w:tcPr>
            <w:tcW w:type="dxa" w:w="2160"/>
          </w:tcPr>
          <w:p>
            <w:r>
              <w:rPr>
                <w:sz w:val="19"/>
              </w:rPr>
              <w:t>Buku ajar dosen mendapat insentif [IKT]</w:t>
            </w:r>
          </w:p>
        </w:tc>
        <w:tc>
          <w:tcPr>
            <w:tcW w:type="dxa" w:w="2160"/>
          </w:tcPr>
          <w:p>
            <w:r>
              <w:rPr>
                <w:sz w:val="19"/>
              </w:rPr>
              <w:t>18</w:t>
            </w:r>
          </w:p>
        </w:tc>
        <w:tc>
          <w:tcPr>
            <w:tcW w:type="dxa" w:w="2160"/>
          </w:tcPr>
          <w:p>
            <w:r>
              <w:rPr>
                <w:sz w:val="19"/>
              </w:rPr>
              <w:t>Luaran Pendidikan</w:t>
            </w:r>
          </w:p>
        </w:tc>
      </w:tr>
      <w:tr>
        <w:tc>
          <w:tcPr>
            <w:tcW w:type="dxa" w:w="2160"/>
          </w:tcPr>
          <w:p>
            <w:r>
              <w:rPr>
                <w:sz w:val="19"/>
              </w:rPr>
              <w:t>3</w:t>
            </w:r>
          </w:p>
        </w:tc>
        <w:tc>
          <w:tcPr>
            <w:tcW w:type="dxa" w:w="2160"/>
          </w:tcPr>
          <w:p>
            <w:r>
              <w:rPr>
                <w:sz w:val="19"/>
              </w:rPr>
              <w:t>*Pelaksanaan root-cause analysis &amp; SWOT tahunan Standar Dosen dan Tenaga Kependidikan (sesuai Standar SPMI)</w:t>
            </w:r>
          </w:p>
        </w:tc>
        <w:tc>
          <w:tcPr>
            <w:tcW w:type="dxa" w:w="2160"/>
          </w:tcPr>
          <w:p>
            <w:r>
              <w:rPr>
                <w:sz w:val="19"/>
              </w:rPr>
              <w:t>Terlaksana</w:t>
            </w:r>
          </w:p>
        </w:tc>
        <w:tc>
          <w:tcPr>
            <w:tcW w:type="dxa" w:w="2160"/>
          </w:tcPr>
          <w:p>
            <w:r>
              <w:rPr>
                <w:sz w:val="19"/>
              </w:rPr>
              <w:t>Masukan Pendidikan / Standar Dosen dan Tenaga Kependidikan</w:t>
            </w:r>
          </w:p>
        </w:tc>
      </w:tr>
    </w:tbl>
    <w:p/>
    <w:p>
      <w:pPr>
        <w:pStyle w:val="Heading2"/>
      </w:pPr>
      <w:r>
        <w:t>3. Ringkasan Statistik</w:t>
      </w:r>
    </w:p>
    <w:p>
      <w:r>
        <w:t>Total indikator terkait data dosen ditemukan: 44 indikator, tersebar pada 9 (sembilan) tema:</w:t>
      </w:r>
    </w:p>
    <w:p>
      <w:pPr>
        <w:pStyle w:val="ListBullet"/>
      </w:pPr>
      <w:r>
        <w:t>A. Kecukupan dan Rasio Dosen: 2 indikator</w:t>
      </w:r>
    </w:p>
    <w:p>
      <w:pPr>
        <w:pStyle w:val="ListBullet"/>
      </w:pPr>
      <w:r>
        <w:t>B. Kualifikasi Akademik dan Jabatan Fungsional: 4 indikator</w:t>
      </w:r>
    </w:p>
    <w:p>
      <w:pPr>
        <w:pStyle w:val="ListBullet"/>
      </w:pPr>
      <w:r>
        <w:t>C. Sertifikasi dan Kompetensi Dosen: 3 indikator</w:t>
      </w:r>
    </w:p>
    <w:p>
      <w:pPr>
        <w:pStyle w:val="ListBullet"/>
      </w:pPr>
      <w:r>
        <w:t>D. Rekognisi dan Pengakuan Dosen: 4 indikator</w:t>
      </w:r>
    </w:p>
    <w:p>
      <w:pPr>
        <w:pStyle w:val="ListBullet"/>
      </w:pPr>
      <w:r>
        <w:t>E. Kinerja Penelitian Dosen (hibah, publikasi, sitasi): 15 indikator</w:t>
      </w:r>
    </w:p>
    <w:p>
      <w:pPr>
        <w:pStyle w:val="ListBullet"/>
      </w:pPr>
      <w:r>
        <w:t>F. Kinerja PkM Dosen (hibah, hilirisasi): 7 indikator</w:t>
      </w:r>
    </w:p>
    <w:p>
      <w:pPr>
        <w:pStyle w:val="ListBullet"/>
      </w:pPr>
      <w:r>
        <w:t>G. Beban Kerja Dosen (BKD): 1 indikator</w:t>
      </w:r>
    </w:p>
    <w:p>
      <w:pPr>
        <w:pStyle w:val="ListBullet"/>
      </w:pPr>
      <w:r>
        <w:t>H. Pengembangan Kompetensi/Karier Dosen: 5 indikator</w:t>
      </w:r>
    </w:p>
    <w:p>
      <w:pPr>
        <w:pStyle w:val="ListBullet"/>
      </w:pPr>
      <w:r>
        <w:t>I. Lainnya (Sarana Pendukung, Karya, Root-Cause/SWOT): 3 indikator</w:t>
      </w:r>
    </w:p>
    <w:p>
      <w:r>
        <w:t>Sebaran per dokumen sumber: Masukan Pendidikan (sub-standar Dosen dan Tenaga Kependidikan) memuat porsi terbesar (kualifikasi, jabatan fungsional, sertifikasi, rekognisi, sitasi, BKD), diikuti Masukan Penelitian (sub-standar Peneliti dan Pendanaan Penelitian), Proses Penelitian (sub-standar Perencanaan dan Pelaksanaan Penelitian), Masukan PkM (sub-standar Pelaksana PkM dan Pendanaan PkM), serta masing-masing satu indikator pada Luaran Pendidikan, Luaran Penelitian, dan Luaran PkM.</w:t>
      </w:r>
    </w:p>
    <w:p>
      <w:pPr>
        <w:pStyle w:val="Heading2"/>
      </w:pPr>
      <w:r>
        <w:t>4. Referensi</w:t>
      </w:r>
    </w:p>
    <w:p>
      <w:pPr>
        <w:pStyle w:val="ListBullet"/>
      </w:pPr>
      <w:r>
        <w:t>Standar_Visi_Misi_Unggul_FTII.docx (FTII UNISBANK).</w:t>
      </w:r>
    </w:p>
    <w:p>
      <w:pPr>
        <w:pStyle w:val="ListBullet"/>
      </w:pPr>
      <w:r>
        <w:t>Standar_Tata_Kelola_Unggul_FTII.docx (FTII UNISBANK).</w:t>
      </w:r>
    </w:p>
    <w:p>
      <w:pPr>
        <w:pStyle w:val="ListBullet"/>
      </w:pPr>
      <w:r>
        <w:t>Standar_Kerjasama_Unggul_FTII.docx (FTII UNISBANK).</w:t>
      </w:r>
    </w:p>
    <w:p>
      <w:pPr>
        <w:pStyle w:val="ListBullet"/>
      </w:pPr>
      <w:r>
        <w:t>Standar_Penjaminan_Mutu_Internal_Unggul_FTII.docx (FTII UNISBANK).</w:t>
      </w:r>
    </w:p>
    <w:p>
      <w:pPr>
        <w:pStyle w:val="ListBullet"/>
      </w:pPr>
      <w:r>
        <w:t>Standar_Kemahasiswaan_Unggul_FTII.docx (FTII UNISBANK).</w:t>
      </w:r>
    </w:p>
    <w:p>
      <w:pPr>
        <w:pStyle w:val="ListBullet"/>
      </w:pPr>
      <w:r>
        <w:t>standarmasukanpendidikanunggul.docx (FTII UNISBANK).</w:t>
      </w:r>
    </w:p>
    <w:p>
      <w:pPr>
        <w:pStyle w:val="ListBullet"/>
      </w:pPr>
      <w:r>
        <w:t>standarprosespendidikanunggul.docx (FTII UNISBANK).</w:t>
      </w:r>
    </w:p>
    <w:p>
      <w:pPr>
        <w:pStyle w:val="ListBullet"/>
      </w:pPr>
      <w:r>
        <w:t>standarluaranpendidikanunggul.docx (FTII UNISBANK).</w:t>
      </w:r>
    </w:p>
    <w:p>
      <w:pPr>
        <w:pStyle w:val="ListBullet"/>
      </w:pPr>
      <w:r>
        <w:t>standarmasukanpenelitianunggul.docx (FTII UNISBANK).</w:t>
      </w:r>
    </w:p>
    <w:p>
      <w:pPr>
        <w:pStyle w:val="ListBullet"/>
      </w:pPr>
      <w:r>
        <w:t>standarprosespenelitianunggul.docx (FTII UNISBANK).</w:t>
      </w:r>
    </w:p>
    <w:p>
      <w:pPr>
        <w:pStyle w:val="ListBullet"/>
      </w:pPr>
      <w:r>
        <w:t>standarluaranpenelitianunggul.docx (FTII UNISBANK).</w:t>
      </w:r>
    </w:p>
    <w:p>
      <w:pPr>
        <w:pStyle w:val="ListBullet"/>
      </w:pPr>
      <w:r>
        <w:t>standarmasukanpkmunggul.docx (FTII UNISBANK).</w:t>
      </w:r>
    </w:p>
    <w:p>
      <w:pPr>
        <w:pStyle w:val="ListBullet"/>
      </w:pPr>
      <w:r>
        <w:t>standarprosespkmunggul.docx (FTII UNISBANK).</w:t>
      </w:r>
    </w:p>
    <w:p>
      <w:pPr>
        <w:pStyle w:val="ListBullet"/>
      </w:pPr>
      <w:r>
        <w:t>standarluaranpkmunggul.docx (FTII UNISBANK).</w:t>
      </w:r>
    </w:p>
    <w:p/>
    <w:p>
      <w:pPr>
        <w:jc w:val="right"/>
      </w:pPr>
      <w: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