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VISI, MISI, TUJUAN, DAN STRATEGI (VMTS)</w:t>
      </w:r>
    </w:p>
    <w:p>
      <w:pPr>
        <w:jc w:val="center"/>
      </w:pPr>
      <w:r>
        <w:rPr>
          <w:b/>
          <w:sz w:val="26"/>
        </w:rPr>
        <w:t>PROGRAM STUDI TEKNIK INDUSTRI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 sebagai turunan dan pemenuhan Pernyataan Standar #36 Standar Visi, Misi, Tujuan, dan Strategi (VMTS) FTII</w:t>
      </w:r>
    </w:p>
    <w:p/>
    <w:p>
      <w:pPr>
        <w:spacing w:after="120"/>
      </w:pPr>
      <w:r>
        <w:t>Dokumen ini merupakan Standar Visi, Misi, Tujuan, dan Strategi (VMTS) tingkat Program Studi Teknik Industri (Sarjana), disusun sebagai turunan langsung dari Standar Visi, Misi, Tujuan, dan Strategi (VMTS) Fakultas Teknologi Informasi dan Industri (FTII) UNISBANK versi Unggul (Standar_Visi_Misi_Unggul_FTII.docx), khususnya memenuhi Pernyataan Standar #36 dokumen tersebut yang mewajibkan setiap program studi di lingkungan FTII menyusun dan menetapkan visi keilmuan program studi (scientific vision) yang diturunkan secara eksplisit dari diferensiasi misi FTII, dituangkan dalam dokumen kurikulum program studi, dan ditinjau bersamaan dengan siklus peninjauan kurikulum. Dokumen ini juga berfungsi sebagai bukti langsung yang dapat diverifikasi terhadap deskriptor skor tertinggi Kriteria C.1 Diferensiasi Misi Pedoman Penyusunan LEDPS LAM Teknik 2025 dan Kriteria C.6 Diferensiasi Misi LED LAM INFOKOM 2.1, yang keduanya menilai 'visi keilmuan program studi ... didukung dengan Renstra dan kurikulum yang memadai' sebagai bagian penilaian tertinggi.</w:t>
      </w:r>
    </w:p>
    <w:p/>
    <w:p>
      <w:r>
        <w:rPr>
          <w:b/>
          <w:sz w:val="26"/>
        </w:rPr>
        <w:t>1. RASIONAL</w:t>
      </w:r>
    </w:p>
    <w:p>
      <w:pPr>
        <w:spacing w:after="120"/>
      </w:pPr>
      <w:r>
        <w:t>Program Studi Teknik Industri FTII UNISBANK menetapkan Standar Visi, Misi, Tujuan, dan Strategi (VMTS) tingkat program studi sebagai penjabaran operasional dari VMTS FTII dan Universitas, dengan menegaskan visi keilmuan (scientific vision) yang menjadi kekhasan dan identitas keilmuan Program Studi Teknik Industri, yaitu: "Menjadi rujukan pengembangan rekayasa dan manajemen sistem industri yang unggul dalam optimasi manufaktur cerdas (smart manufacturing), rantai pasok (supply chain), dan ergonomi berbasis penerapan teknologi informasi, selaras diferensiasi misi FTII pada bidang industri dan data-driven.".</w:t>
      </w:r>
    </w:p>
    <w:p>
      <w:pPr>
        <w:spacing w:after="120"/>
      </w:pPr>
      <w:r>
        <w:t>Visi keilmuan ini diturunkan secara eksplisit dari diferensiasi misi FTII pada bidang teknologi informasi, industri, data-driven, dan digital business, dan menjadi landasan bagi pengembangan kurikulum, RPS, penelitian, dan pengabdian kepada masyarakat di lingkungan Program Studi Teknik Industri.</w:t>
      </w:r>
    </w:p>
    <w:p>
      <w:pPr>
        <w:spacing w:after="120"/>
      </w:pPr>
      <w:r>
        <w:t>Standar ini disusun agar setiap indikator kinerjanya memenuhi atau melampaui ambang skor tertinggi (skor 4) Kriteria C.1 (Diferensiasi Misi) Matriks Penilaian LED-LKPS LAM Teknik APS-AV 2025 1.0, serta deskriptor tertinggi Kriteria C.6 (Diferensiasi Misi) LED LAM INFOKOM 2.1, sekaligus memenuhi kewajiban Pernyataan Standar #36 Standar VMTS FTII bagi seluruh program studi di lingkungannya.</w:t>
      </w:r>
    </w:p>
    <w:p/>
    <w:p>
      <w:r>
        <w:rPr>
          <w:b/>
          <w:sz w:val="26"/>
        </w:rPr>
        <w:t>2. PIHAK YANG BERTANGGUNG JAWAB</w:t>
      </w:r>
    </w:p>
    <w:p>
      <w:pPr>
        <w:pStyle w:val="ListNumber"/>
        <w:spacing w:after="120"/>
      </w:pPr>
      <w:r>
        <w:t>Penetapan: Ketua Program Studi Teknik Industri menetapkan Standar VMTS Program Studi melalui Keputusan Ketua Program Studi atas persetujuan Dekan FTII, selaras dengan Standar VMTS FTII dan Universitas.</w:t>
      </w:r>
    </w:p>
    <w:p>
      <w:pPr>
        <w:pStyle w:val="ListNumber"/>
        <w:spacing w:after="120"/>
      </w:pPr>
      <w:r>
        <w:t>Pelaksanaan: Ketua Program Studi, dosen, tenaga kependidikan, mahasiswa, alumni, serta pemangku kepentingan Program Studi Teknik Industri melaksanakan Standar VMTS Program Studi sesuai tugas dan kewenangan masing-masing, termasuk penyusunan visi keilmuan, sosialisasi, dan survei pemahaman VMTS di tingkat program studi.</w:t>
      </w:r>
    </w:p>
    <w:p>
      <w:pPr>
        <w:pStyle w:val="ListNumber"/>
        <w:spacing w:after="120"/>
      </w:pPr>
      <w:r>
        <w:t>Evaluasi: Gugus Kendali Mutu (GKM) Program Studi melaksanakan monitoring dan evaluasi, survei pemahaman VMTS, serta verifikasi keterkaitan visi keilmuan dengan kurikulum secara berkala, terkoordinasi dengan Unit Jaminan Mutu (UJM) Fakultas.</w:t>
      </w:r>
    </w:p>
    <w:p>
      <w:pPr>
        <w:pStyle w:val="ListNumber"/>
        <w:spacing w:after="120"/>
      </w:pPr>
      <w:r>
        <w:t>Pengendalian: Ketua Program Studi bersama Dekan FTII memastikan kesesuaian pelaksanaan VMTS Program Studi dengan VMTS FTII, kurikulum, dan hasil Audit Mutu Internal (AMI), termasuk menindaklanjuti hasil evaluasi melalui Rencana Tindak Lanjut (RTL).</w:t>
      </w:r>
    </w:p>
    <w:p>
      <w:pPr>
        <w:pStyle w:val="ListNumber"/>
        <w:spacing w:after="120"/>
      </w:pPr>
      <w:r>
        <w:t>Peningkatan: Ketua Program Studi bersama GKM merumuskan peningkatan target dan strategi VMTS Program Studi berdasarkan hasil evaluasi, benchmarking, dan perubahan lingkungan strategis, selaras dengan siklus peningkatan Standar VMTS FTII.</w:t>
      </w:r>
    </w:p>
    <w:p/>
    <w:p>
      <w:r>
        <w:rPr>
          <w:b/>
          <w:sz w:val="26"/>
        </w:rPr>
        <w:t>3. PERNYATAAN STANDAR</w:t>
      </w:r>
    </w:p>
    <w:p>
      <w:pPr>
        <w:pStyle w:val="ListNumber"/>
        <w:spacing w:after="120"/>
      </w:pPr>
      <w:r>
        <w:t>Program Studi Teknik Industri wajib memiliki dan menetapkan visi keilmuan program studi (scientific vision) yang diturunkan secara eksplisit dari diferensiasi misi FTII, yaitu: "Menjadi rujukan pengembangan rekayasa dan manajemen sistem industri yang unggul dalam optimasi manufaktur cerdas (smart manufacturing), rantai pasok (supply chain), dan ergonomi berbasis penerapan teknologi informasi, selaras diferensiasi misi FTII pada bidang industri dan data-driven.", dituangkan dalam dokumen kurikulum program studi, dan ditinjau bersamaan dengan siklus peninjauan kurikulum (paling lama 4 tahun) untuk memastikan keterkaitannya tetap relevan dengan VMTS FTII yang berlaku.</w:t>
      </w:r>
    </w:p>
    <w:p>
      <w:pPr>
        <w:pStyle w:val="ListNumber"/>
        <w:spacing w:after="120"/>
      </w:pPr>
      <w:r>
        <w:t>Program Studi Teknik Industri wajib memiliki VMTS yang selaras dengan VMTS FTII dan Universitas, ditetapkan melalui Keputusan Ketua Program Studi atas persetujuan Dekan FTII, serta ditinjau paling sedikit 1 (satu) kali setiap siklus Renstra (4-5 tahun) atau lebih cepat apabila terjadi perubahan lingkungan strategis yang signifikan.</w:t>
      </w:r>
    </w:p>
    <w:p>
      <w:pPr>
        <w:pStyle w:val="ListNumber"/>
        <w:spacing w:after="120"/>
      </w:pPr>
      <w:r>
        <w:t>Ketua Program Studi Teknik Industri wajib membentuk Tim Penyusun/Peninjau VMTS Program Studi yang melibatkan dosen, tenaga kependidikan, mahasiswa, alumni, pengguna lulusan, pakar/mitra profesi, dan DUDIKA, dibuktikan dengan Surat Keputusan Tim dan berita acara keterlibatan seluruh unsur.</w:t>
      </w:r>
    </w:p>
    <w:p>
      <w:pPr>
        <w:pStyle w:val="ListNumber"/>
        <w:spacing w:after="120"/>
      </w:pPr>
      <w:r>
        <w:t>Tim Penyusun VMTS Program Studi wajib melaksanakan analisis kondisi internal-eksternal (SWOT) dan benchmarking dengan paling sedikit 2 (dua) program studi sejenis pada perguruan tinggi/institusi lain — mencakup minimal 1 (satu) program studi nasional terakreditasi Unggul dan 1 (satu) mitra/institusi internasional — sebagai dasar penyusunan atau peninjauan VMTS Program Studi.</w:t>
      </w:r>
    </w:p>
    <w:p>
      <w:pPr>
        <w:pStyle w:val="ListNumber"/>
        <w:spacing w:after="120"/>
      </w:pPr>
      <w:r>
        <w:t>Program Studi Teknik Industri wajib memiliki dokumen formal VMTS yang secara eksplisit mencerminkan visi keilmuan program studi sebagai identitas dan keunggulan kompetitif, diimplementasikan pada 100% mata kuliah dan kegiatan tridharma di lingkungan Program Studi.</w:t>
      </w:r>
    </w:p>
    <w:p>
      <w:pPr>
        <w:pStyle w:val="ListNumber"/>
        <w:spacing w:after="120"/>
      </w:pPr>
      <w:r>
        <w:t>VMTS Program Studi wajib dijabarkan ke dalam Rencana Strategis (Renstra) dan Rencana Operasional (Renop) Program Studi yang selaras dengan Renstra dan Renop FTII, memuat program kerja, indikator kinerja, dan target pencapaian yang terukur serta berorientasi pada peningkatan daya saing nasional dan internasional.</w:t>
      </w:r>
    </w:p>
    <w:p>
      <w:pPr>
        <w:pStyle w:val="ListNumber"/>
        <w:spacing w:after="120"/>
      </w:pPr>
      <w:r>
        <w:t>Seluruh program pendidikan, penelitian, dan pengabdian kepada masyarakat di Program Studi Teknik Industri wajib dilaksanakan sesuai VMTS Program Studi dan peta jalan pengembangan, dengan tingkat keterlaksanaan program tridharma paling sedikit 95% dari program yang direncanakan pada tahun berjalan, meningkat menuju 100% pada akhir siklus Renstra.</w:t>
      </w:r>
    </w:p>
    <w:p>
      <w:pPr>
        <w:pStyle w:val="ListNumber"/>
        <w:spacing w:after="120"/>
      </w:pPr>
      <w:r>
        <w:t>Program Studi Teknik Industri wajib melaksanakan evaluasi efektivitas dan efisiensi pelaksanaan program serta evaluasi keterlaksanaan visi keilmuan dan ketercapaian tujuan/strategi paling sedikit 1 (satu) kali setiap tahun akademik menggunakan indikator kinerja yang ditetapkan, dengan capaian kinerja program studi paling sedikit 80% dan meningkat berkelanjutan menuju paling sedikit 90%.</w:t>
      </w:r>
    </w:p>
    <w:p>
      <w:pPr>
        <w:pStyle w:val="ListNumber"/>
        <w:spacing w:after="120"/>
      </w:pPr>
      <w:r>
        <w:t>Program Studi Teknik Industri wajib melaksanakan benchmarking capaian tridharma dengan program studi sejenis pada perguruan tinggi/institusi lain paling sedikit 1 (satu) kali per tahun, dengan cakupan sasaran meningkat dari minimal 1 mitra nasional dan 1 mitra internasional (tahun pertama) menjadi minimal 1 mitra nasional dan 2 mitra internasional (akhir siklus Renstra).</w:t>
      </w:r>
    </w:p>
    <w:p>
      <w:pPr>
        <w:pStyle w:val="ListNumber"/>
        <w:spacing w:after="120"/>
      </w:pPr>
      <w:r>
        <w:t>Program Studi wajib menyusun laporan tahunan ketercapaian VMTS dan visi keilmuan program studi yang disampaikan kepada Dekan FTII melalui rapat kerja/Rapat Tinjauan Manajemen (RTM) paling lambat triwulan pertama tahun akademik berikutnya.</w:t>
      </w:r>
    </w:p>
    <w:p>
      <w:pPr>
        <w:pStyle w:val="ListNumber"/>
        <w:spacing w:after="120"/>
      </w:pPr>
      <w:r>
        <w:t>Program Studi Teknik Industri wajib memperoleh dan mendokumentasikan pengakuan/apresiasi eksternal atas keunggulan penyelenggaraan tridharma sesuai visi keilmuan dari masyarakat dan/atau DUDIKA pada tingkat lokal, nasional, dan internasional, dengan target paling sedikit 1 (satu) bentuk pengakuan pada masing-masing tingkat setiap tahun, sebagai bukti sahih pada seluruh tahap PPEPP.</w:t>
      </w:r>
    </w:p>
    <w:p>
      <w:pPr>
        <w:pStyle w:val="ListNumber"/>
        <w:spacing w:after="120"/>
      </w:pPr>
      <w:r>
        <w:t>Program Studi wajib melaksanakan sosialisasi VMTS Program Studi kepada seluruh dosen, tenaga kependidikan, mahasiswa, dan pemangku kepentingan paling sedikit 2 (dua) kali setiap tahun akademik melalui berbagai media (rapat program studi, orientasi mahasiswa baru, media cetak/elektronik/daring), dengan bukti daftar hadir dan materi sosialisasi yang terdokumentasi.</w:t>
      </w:r>
    </w:p>
    <w:p>
      <w:pPr>
        <w:pStyle w:val="ListNumber"/>
        <w:spacing w:after="120"/>
      </w:pPr>
      <w:r>
        <w:t>Program Studi wajib melaksanakan survei/kuesioner pengukuran tingkat pemahaman VMTS Program Studi terhadap dosen, tenaga kependidikan, mahasiswa, dan pemangku kepentingan eksternal paling sedikit 1 (satu) kali per tahun, dengan target tingkat pemahaman paling sedikit 85% pada tahun pertama, meningkat menjadi paling sedikit 95% pada akhir siklus Renstra.</w:t>
      </w:r>
    </w:p>
    <w:p>
      <w:pPr>
        <w:pStyle w:val="ListNumber"/>
        <w:spacing w:after="120"/>
      </w:pPr>
      <w:r>
        <w:t>Program Studi wajib menerapkan siklus Penetapan, Pelaksanaan, Evaluasi, Pengendalian, dan Peningkatan (PPEPP) terhadap VMTS Program Studi secara terdokumentasi pada kelima tahap, disertai bukti sahih dan lengkap pada setiap tahap.</w:t>
      </w:r>
    </w:p>
    <w:p>
      <w:pPr>
        <w:pStyle w:val="ListNumber"/>
        <w:spacing w:after="120"/>
      </w:pPr>
      <w:r>
        <w:t>Program Studi wajib berpartisipasi dalam Audit Mutu Internal (AMI) atas implementasi Standar VMTS Program Studi paling sedikit 1 (satu) kali per tahun yang diselenggarakan Fakultas, dengan tindak lanjut Rencana Tindak Lanjut (RTL) yang diselesaikan paling sedikit 80% pada tahun berjalan dan 100% pada akhir siklus evaluasi.</w:t>
      </w:r>
    </w:p>
    <w:p>
      <w:pPr>
        <w:pStyle w:val="ListNumber"/>
        <w:spacing w:after="120"/>
      </w:pPr>
      <w:r>
        <w:t>*Program Studi wajib melaksanakan Analisis Faktor Keberhasilan dan Penghambat (root-cause analysis) serta analisis SWOT atas ketercapaian VMTS Program Studi paling sedikit 1 (satu) kali setiap tahun akademik, sesuai mekanisme yang diwajibkan Standar Penjaminan Mutu Internal FTII bagi seluruh standar turunan, sebagai bagian wajib pembahasan Rapat Tinjauan Manajemen (RTM) tingkat program studi dan dasar penyusunan Rencana Tindak Lanjut (RTL).</w:t>
      </w:r>
    </w:p>
    <w:p>
      <w:pPr>
        <w:spacing w:after="120"/>
      </w:pPr>
      <w:r>
        <w:t>Catatan: pernyataan bertanda (*) mengikuti ketentuan lintas-standar yang diwajibkan Standar Penjaminan Mutu Internal FTII versi Unggul bagi seluruh standar turunan, termasuk tingkat program studi.</w:t>
      </w:r>
    </w:p>
    <w:p/>
    <w:p>
      <w:r>
        <w:rPr>
          <w:b/>
          <w:sz w:val="26"/>
        </w:rPr>
        <w:t>4. INDIKATOR KINERJA (IKU / IKT)</w:t>
      </w:r>
    </w:p>
    <w:p>
      <w:pPr>
        <w:spacing w:after="120"/>
      </w:pPr>
      <w:r>
        <w:t>Seluruh ambang Indikator Kinerja Utama (IKU) pada tabel berikut ditetapkan setara dengan atau melampaui ambang skor tertinggi (skor 4) Kriteria C.1 Matriks Penilaian LAM Teknik APS-AV 2025 1.0 dan deskriptor tertinggi Kriteria C.6 (Diferensiasi Misi) LED LAM INFOKOM 2.1, sesuai dengan ambang yang telah ditetapkan Standar VMTS FTII.</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Utama (IKU)</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Ketersediaan dokumen visi keilmuan program studi tertaut kurikulum</w:t>
            </w:r>
          </w:p>
        </w:tc>
        <w:tc>
          <w:tcPr>
            <w:tcW w:type="dxa" w:w="1727"/>
          </w:tcPr>
          <w:p>
            <w:r/>
            <w:r>
              <w:rPr>
                <w:sz w:val="19"/>
              </w:rPr>
              <w:t>Tersedia</w:t>
            </w:r>
          </w:p>
        </w:tc>
        <w:tc>
          <w:tcPr>
            <w:tcW w:type="dxa" w:w="1727"/>
          </w:tcPr>
          <w:p>
            <w:r/>
            <w:r>
              <w:rPr>
                <w:sz w:val="19"/>
              </w:rPr>
              <w:t>Tersedia</w:t>
            </w:r>
          </w:p>
        </w:tc>
        <w:tc>
          <w:tcPr>
            <w:tcW w:type="dxa" w:w="1727"/>
          </w:tcPr>
          <w:p>
            <w:r/>
            <w:r>
              <w:rPr>
                <w:sz w:val="19"/>
              </w:rPr>
              <w:t>Tersedia</w:t>
            </w:r>
          </w:p>
        </w:tc>
      </w:tr>
      <w:tr>
        <w:tc>
          <w:tcPr>
            <w:tcW w:type="dxa" w:w="1727"/>
          </w:tcPr>
          <w:p>
            <w:r/>
            <w:r>
              <w:rPr>
                <w:sz w:val="19"/>
              </w:rPr>
              <w:t>2</w:t>
            </w:r>
          </w:p>
        </w:tc>
        <w:tc>
          <w:tcPr>
            <w:tcW w:type="dxa" w:w="1727"/>
          </w:tcPr>
          <w:p>
            <w:r/>
            <w:r>
              <w:rPr>
                <w:sz w:val="19"/>
              </w:rPr>
              <w:t>Ketersediaan dan keselarasan VMTS Program Studi dengan VMTS FTII dan Universitas</w:t>
            </w:r>
          </w:p>
        </w:tc>
        <w:tc>
          <w:tcPr>
            <w:tcW w:type="dxa" w:w="1727"/>
          </w:tcPr>
          <w:p>
            <w:r/>
            <w:r>
              <w:rPr>
                <w:sz w:val="19"/>
              </w:rPr>
              <w:t>Tersedia &amp; selaras</w:t>
            </w:r>
          </w:p>
        </w:tc>
        <w:tc>
          <w:tcPr>
            <w:tcW w:type="dxa" w:w="1727"/>
          </w:tcPr>
          <w:p>
            <w:r/>
            <w:r>
              <w:rPr>
                <w:sz w:val="19"/>
              </w:rPr>
              <w:t>Tersedia &amp; selaras</w:t>
            </w:r>
          </w:p>
        </w:tc>
        <w:tc>
          <w:tcPr>
            <w:tcW w:type="dxa" w:w="1727"/>
          </w:tcPr>
          <w:p>
            <w:r/>
            <w:r>
              <w:rPr>
                <w:sz w:val="19"/>
              </w:rPr>
              <w:t>Tersedia &amp; selaras</w:t>
            </w:r>
          </w:p>
        </w:tc>
      </w:tr>
      <w:tr>
        <w:tc>
          <w:tcPr>
            <w:tcW w:type="dxa" w:w="1727"/>
          </w:tcPr>
          <w:p>
            <w:r/>
            <w:r>
              <w:rPr>
                <w:sz w:val="19"/>
              </w:rPr>
              <w:t>3</w:t>
            </w:r>
          </w:p>
        </w:tc>
        <w:tc>
          <w:tcPr>
            <w:tcW w:type="dxa" w:w="1727"/>
          </w:tcPr>
          <w:p>
            <w:r/>
            <w:r>
              <w:rPr>
                <w:sz w:val="19"/>
              </w:rPr>
              <w:t>Persentase mata kuliah inti/RPS yang selaras dengan visi keilmuan Program Studi</w:t>
            </w:r>
          </w:p>
        </w:tc>
        <w:tc>
          <w:tcPr>
            <w:tcW w:type="dxa" w:w="1727"/>
          </w:tcPr>
          <w:p>
            <w:r/>
            <w:r>
              <w:rPr>
                <w:sz w:val="19"/>
              </w:rPr>
              <w:t>90%</w:t>
            </w:r>
          </w:p>
        </w:tc>
        <w:tc>
          <w:tcPr>
            <w:tcW w:type="dxa" w:w="1727"/>
          </w:tcPr>
          <w:p>
            <w:r/>
            <w:r>
              <w:rPr>
                <w:sz w:val="19"/>
              </w:rPr>
              <w:t>95%</w:t>
            </w:r>
          </w:p>
        </w:tc>
        <w:tc>
          <w:tcPr>
            <w:tcW w:type="dxa" w:w="1727"/>
          </w:tcPr>
          <w:p>
            <w:r/>
            <w:r>
              <w:rPr>
                <w:sz w:val="19"/>
              </w:rPr>
              <w:t>100%</w:t>
            </w:r>
          </w:p>
        </w:tc>
      </w:tr>
      <w:tr>
        <w:tc>
          <w:tcPr>
            <w:tcW w:type="dxa" w:w="1727"/>
          </w:tcPr>
          <w:p>
            <w:r/>
            <w:r>
              <w:rPr>
                <w:sz w:val="19"/>
              </w:rPr>
              <w:t>4</w:t>
            </w:r>
          </w:p>
        </w:tc>
        <w:tc>
          <w:tcPr>
            <w:tcW w:type="dxa" w:w="1727"/>
          </w:tcPr>
          <w:p>
            <w:r/>
            <w:r>
              <w:rPr>
                <w:sz w:val="19"/>
              </w:rPr>
              <w:t>Keterlibatan pemangku kepentingan internal &amp; eksternal dalam penyusunan/peninjauan VMTS Program Studi, dibuktikan SK Tim &amp; berita acara</w:t>
            </w:r>
          </w:p>
        </w:tc>
        <w:tc>
          <w:tcPr>
            <w:tcW w:type="dxa" w:w="1727"/>
          </w:tcPr>
          <w:p>
            <w:r/>
            <w:r>
              <w:rPr>
                <w:sz w:val="19"/>
              </w:rPr>
              <w:t>100% unsur terlibat</w:t>
            </w:r>
          </w:p>
        </w:tc>
        <w:tc>
          <w:tcPr>
            <w:tcW w:type="dxa" w:w="1727"/>
          </w:tcPr>
          <w:p>
            <w:r/>
            <w:r>
              <w:rPr>
                <w:sz w:val="19"/>
              </w:rPr>
              <w:t>100% unsur terlibat</w:t>
            </w:r>
          </w:p>
        </w:tc>
        <w:tc>
          <w:tcPr>
            <w:tcW w:type="dxa" w:w="1727"/>
          </w:tcPr>
          <w:p>
            <w:r/>
            <w:r>
              <w:rPr>
                <w:sz w:val="19"/>
              </w:rPr>
              <w:t>100% unsur terlibat</w:t>
            </w:r>
          </w:p>
        </w:tc>
      </w:tr>
      <w:tr>
        <w:tc>
          <w:tcPr>
            <w:tcW w:type="dxa" w:w="1727"/>
          </w:tcPr>
          <w:p>
            <w:r/>
            <w:r>
              <w:rPr>
                <w:sz w:val="19"/>
              </w:rPr>
              <w:t>5</w:t>
            </w:r>
          </w:p>
        </w:tc>
        <w:tc>
          <w:tcPr>
            <w:tcW w:type="dxa" w:w="1727"/>
          </w:tcPr>
          <w:p>
            <w:r/>
            <w:r>
              <w:rPr>
                <w:sz w:val="19"/>
              </w:rPr>
              <w:t>Jumlah mitra benchmarking (nasional/internasional) per tahun</w:t>
            </w:r>
          </w:p>
        </w:tc>
        <w:tc>
          <w:tcPr>
            <w:tcW w:type="dxa" w:w="1727"/>
          </w:tcPr>
          <w:p>
            <w:r/>
            <w:r>
              <w:rPr>
                <w:sz w:val="19"/>
              </w:rPr>
              <w:t>≥1 nasional &amp; ≥1 internasional</w:t>
            </w:r>
          </w:p>
        </w:tc>
        <w:tc>
          <w:tcPr>
            <w:tcW w:type="dxa" w:w="1727"/>
          </w:tcPr>
          <w:p>
            <w:r/>
            <w:r>
              <w:rPr>
                <w:sz w:val="19"/>
              </w:rPr>
              <w:t>≥1 nasional &amp; ≥1 internasional</w:t>
            </w:r>
          </w:p>
        </w:tc>
        <w:tc>
          <w:tcPr>
            <w:tcW w:type="dxa" w:w="1727"/>
          </w:tcPr>
          <w:p>
            <w:r/>
            <w:r>
              <w:rPr>
                <w:sz w:val="19"/>
              </w:rPr>
              <w:t>≥1 nasional &amp; ≥2 internasional</w:t>
            </w:r>
          </w:p>
        </w:tc>
      </w:tr>
      <w:tr>
        <w:tc>
          <w:tcPr>
            <w:tcW w:type="dxa" w:w="1727"/>
          </w:tcPr>
          <w:p>
            <w:r/>
            <w:r>
              <w:rPr>
                <w:sz w:val="19"/>
              </w:rPr>
              <w:t>6</w:t>
            </w:r>
          </w:p>
        </w:tc>
        <w:tc>
          <w:tcPr>
            <w:tcW w:type="dxa" w:w="1727"/>
          </w:tcPr>
          <w:p>
            <w:r/>
            <w:r>
              <w:rPr>
                <w:sz w:val="19"/>
              </w:rPr>
              <w:t>Ketersediaan Renstra dan Renop Program Studi selaras Renstra/Renop FTII</w:t>
            </w:r>
          </w:p>
        </w:tc>
        <w:tc>
          <w:tcPr>
            <w:tcW w:type="dxa" w:w="1727"/>
          </w:tcPr>
          <w:p>
            <w:r/>
            <w:r>
              <w:rPr>
                <w:sz w:val="19"/>
              </w:rPr>
              <w:t>Tersedia lengkap</w:t>
            </w:r>
          </w:p>
        </w:tc>
        <w:tc>
          <w:tcPr>
            <w:tcW w:type="dxa" w:w="1727"/>
          </w:tcPr>
          <w:p>
            <w:r/>
            <w:r>
              <w:rPr>
                <w:sz w:val="19"/>
              </w:rPr>
              <w:t>Tersedia lengkap</w:t>
            </w:r>
          </w:p>
        </w:tc>
        <w:tc>
          <w:tcPr>
            <w:tcW w:type="dxa" w:w="1727"/>
          </w:tcPr>
          <w:p>
            <w:r/>
            <w:r>
              <w:rPr>
                <w:sz w:val="19"/>
              </w:rPr>
              <w:t>Tersedia lengkap</w:t>
            </w:r>
          </w:p>
        </w:tc>
      </w:tr>
      <w:tr>
        <w:tc>
          <w:tcPr>
            <w:tcW w:type="dxa" w:w="1727"/>
          </w:tcPr>
          <w:p>
            <w:r/>
            <w:r>
              <w:rPr>
                <w:sz w:val="19"/>
              </w:rPr>
              <w:t>7</w:t>
            </w:r>
          </w:p>
        </w:tc>
        <w:tc>
          <w:tcPr>
            <w:tcW w:type="dxa" w:w="1727"/>
          </w:tcPr>
          <w:p>
            <w:r/>
            <w:r>
              <w:rPr>
                <w:sz w:val="19"/>
              </w:rPr>
              <w:t>Persentase keterlaksanaan program tridharma sesuai Renstra dan peta jalan pengembangan Program Studi</w:t>
            </w:r>
          </w:p>
        </w:tc>
        <w:tc>
          <w:tcPr>
            <w:tcW w:type="dxa" w:w="1727"/>
          </w:tcPr>
          <w:p>
            <w:r/>
            <w:r>
              <w:rPr>
                <w:sz w:val="19"/>
              </w:rPr>
              <w:t>≥95%</w:t>
            </w:r>
          </w:p>
        </w:tc>
        <w:tc>
          <w:tcPr>
            <w:tcW w:type="dxa" w:w="1727"/>
          </w:tcPr>
          <w:p>
            <w:r/>
            <w:r>
              <w:rPr>
                <w:sz w:val="19"/>
              </w:rPr>
              <w:t>≥98%</w:t>
            </w:r>
          </w:p>
        </w:tc>
        <w:tc>
          <w:tcPr>
            <w:tcW w:type="dxa" w:w="1727"/>
          </w:tcPr>
          <w:p>
            <w:r/>
            <w:r>
              <w:rPr>
                <w:sz w:val="19"/>
              </w:rPr>
              <w:t>100%</w:t>
            </w:r>
          </w:p>
        </w:tc>
      </w:tr>
      <w:tr>
        <w:tc>
          <w:tcPr>
            <w:tcW w:type="dxa" w:w="1727"/>
          </w:tcPr>
          <w:p>
            <w:r/>
            <w:r>
              <w:rPr>
                <w:sz w:val="19"/>
              </w:rPr>
              <w:t>8</w:t>
            </w:r>
          </w:p>
        </w:tc>
        <w:tc>
          <w:tcPr>
            <w:tcW w:type="dxa" w:w="1727"/>
          </w:tcPr>
          <w:p>
            <w:r/>
            <w:r>
              <w:rPr>
                <w:sz w:val="19"/>
              </w:rPr>
              <w:t>Frekuensi evaluasi efektivitas-efisiensi program dan ketercapaian tujuan/strategi per tahun</w:t>
            </w:r>
          </w:p>
        </w:tc>
        <w:tc>
          <w:tcPr>
            <w:tcW w:type="dxa" w:w="1727"/>
          </w:tcPr>
          <w:p>
            <w:r/>
            <w:r>
              <w:rPr>
                <w:sz w:val="19"/>
              </w:rPr>
              <w:t>≥1 kali</w:t>
            </w:r>
          </w:p>
        </w:tc>
        <w:tc>
          <w:tcPr>
            <w:tcW w:type="dxa" w:w="1727"/>
          </w:tcPr>
          <w:p>
            <w:r/>
            <w:r>
              <w:rPr>
                <w:sz w:val="19"/>
              </w:rPr>
              <w:t>≥1 kali</w:t>
            </w:r>
          </w:p>
        </w:tc>
        <w:tc>
          <w:tcPr>
            <w:tcW w:type="dxa" w:w="1727"/>
          </w:tcPr>
          <w:p>
            <w:r/>
            <w:r>
              <w:rPr>
                <w:sz w:val="19"/>
              </w:rPr>
              <w:t>≥1 kali</w:t>
            </w:r>
          </w:p>
        </w:tc>
      </w:tr>
      <w:tr>
        <w:tc>
          <w:tcPr>
            <w:tcW w:type="dxa" w:w="1727"/>
          </w:tcPr>
          <w:p>
            <w:r/>
            <w:r>
              <w:rPr>
                <w:sz w:val="19"/>
              </w:rPr>
              <w:t>9</w:t>
            </w:r>
          </w:p>
        </w:tc>
        <w:tc>
          <w:tcPr>
            <w:tcW w:type="dxa" w:w="1727"/>
          </w:tcPr>
          <w:p>
            <w:r/>
            <w:r>
              <w:rPr>
                <w:sz w:val="19"/>
              </w:rPr>
              <w:t>Persentase capaian kinerja Program Studi (baseline ≥80%)</w:t>
            </w:r>
          </w:p>
        </w:tc>
        <w:tc>
          <w:tcPr>
            <w:tcW w:type="dxa" w:w="1727"/>
          </w:tcPr>
          <w:p>
            <w:r/>
            <w:r>
              <w:rPr>
                <w:sz w:val="19"/>
              </w:rPr>
              <w:t>≥80%</w:t>
            </w:r>
          </w:p>
        </w:tc>
        <w:tc>
          <w:tcPr>
            <w:tcW w:type="dxa" w:w="1727"/>
          </w:tcPr>
          <w:p>
            <w:r/>
            <w:r>
              <w:rPr>
                <w:sz w:val="19"/>
              </w:rPr>
              <w:t>≥85%</w:t>
            </w:r>
          </w:p>
        </w:tc>
        <w:tc>
          <w:tcPr>
            <w:tcW w:type="dxa" w:w="1727"/>
          </w:tcPr>
          <w:p>
            <w:r/>
            <w:r>
              <w:rPr>
                <w:sz w:val="19"/>
              </w:rPr>
              <w:t>≥90%</w:t>
            </w:r>
          </w:p>
        </w:tc>
      </w:tr>
      <w:tr>
        <w:tc>
          <w:tcPr>
            <w:tcW w:type="dxa" w:w="1727"/>
          </w:tcPr>
          <w:p>
            <w:r/>
            <w:r>
              <w:rPr>
                <w:sz w:val="19"/>
              </w:rPr>
              <w:t>10</w:t>
            </w:r>
          </w:p>
        </w:tc>
        <w:tc>
          <w:tcPr>
            <w:tcW w:type="dxa" w:w="1727"/>
          </w:tcPr>
          <w:p>
            <w:r/>
            <w:r>
              <w:rPr>
                <w:sz w:val="19"/>
              </w:rPr>
              <w:t>Ketersediaan dan ketepatan waktu laporan tahunan ketercapaian VMTS Program Studi</w:t>
            </w:r>
          </w:p>
        </w:tc>
        <w:tc>
          <w:tcPr>
            <w:tcW w:type="dxa" w:w="1727"/>
          </w:tcPr>
          <w:p>
            <w:r/>
            <w:r>
              <w:rPr>
                <w:sz w:val="19"/>
              </w:rPr>
              <w:t>Tersedia tepat waktu</w:t>
            </w:r>
          </w:p>
        </w:tc>
        <w:tc>
          <w:tcPr>
            <w:tcW w:type="dxa" w:w="1727"/>
          </w:tcPr>
          <w:p>
            <w:r/>
            <w:r>
              <w:rPr>
                <w:sz w:val="19"/>
              </w:rPr>
              <w:t>Tersedia tepat waktu</w:t>
            </w:r>
          </w:p>
        </w:tc>
        <w:tc>
          <w:tcPr>
            <w:tcW w:type="dxa" w:w="1727"/>
          </w:tcPr>
          <w:p>
            <w:r/>
            <w:r>
              <w:rPr>
                <w:sz w:val="19"/>
              </w:rPr>
              <w:t>Tersedia tepat waktu</w:t>
            </w:r>
          </w:p>
        </w:tc>
      </w:tr>
      <w:tr>
        <w:tc>
          <w:tcPr>
            <w:tcW w:type="dxa" w:w="1727"/>
          </w:tcPr>
          <w:p>
            <w:r/>
            <w:r>
              <w:rPr>
                <w:sz w:val="19"/>
              </w:rPr>
              <w:t>11</w:t>
            </w:r>
          </w:p>
        </w:tc>
        <w:tc>
          <w:tcPr>
            <w:tcW w:type="dxa" w:w="1727"/>
          </w:tcPr>
          <w:p>
            <w:r/>
            <w:r>
              <w:rPr>
                <w:sz w:val="19"/>
              </w:rPr>
              <w:t>Jumlah bentuk pengakuan/apresiasi eksternal per tingkat (lokal/nasional/internasional) per tahun</w:t>
            </w:r>
          </w:p>
        </w:tc>
        <w:tc>
          <w:tcPr>
            <w:tcW w:type="dxa" w:w="1727"/>
          </w:tcPr>
          <w:p>
            <w:r/>
            <w:r>
              <w:rPr>
                <w:sz w:val="19"/>
              </w:rPr>
              <w:t>≥1/1/1</w:t>
            </w:r>
          </w:p>
        </w:tc>
        <w:tc>
          <w:tcPr>
            <w:tcW w:type="dxa" w:w="1727"/>
          </w:tcPr>
          <w:p>
            <w:r/>
            <w:r>
              <w:rPr>
                <w:sz w:val="19"/>
              </w:rPr>
              <w:t>≥2/1/1</w:t>
            </w:r>
          </w:p>
        </w:tc>
        <w:tc>
          <w:tcPr>
            <w:tcW w:type="dxa" w:w="1727"/>
          </w:tcPr>
          <w:p>
            <w:r/>
            <w:r>
              <w:rPr>
                <w:sz w:val="19"/>
              </w:rPr>
              <w:t>≥2/2/1</w:t>
            </w:r>
          </w:p>
        </w:tc>
      </w:tr>
      <w:tr>
        <w:tc>
          <w:tcPr>
            <w:tcW w:type="dxa" w:w="1727"/>
          </w:tcPr>
          <w:p>
            <w:r/>
            <w:r>
              <w:rPr>
                <w:sz w:val="19"/>
              </w:rPr>
              <w:t>12</w:t>
            </w:r>
          </w:p>
        </w:tc>
        <w:tc>
          <w:tcPr>
            <w:tcW w:type="dxa" w:w="1727"/>
          </w:tcPr>
          <w:p>
            <w:r/>
            <w:r>
              <w:rPr>
                <w:sz w:val="19"/>
              </w:rPr>
              <w:t>Frekuensi sosialisasi VMTS Program Studi kepada sivitas akademika dan pemangku kepentingan per tahun akademik</w:t>
            </w:r>
          </w:p>
        </w:tc>
        <w:tc>
          <w:tcPr>
            <w:tcW w:type="dxa" w:w="1727"/>
          </w:tcPr>
          <w:p>
            <w:r/>
            <w:r>
              <w:rPr>
                <w:sz w:val="19"/>
              </w:rPr>
              <w:t>≥2 kali</w:t>
            </w:r>
          </w:p>
        </w:tc>
        <w:tc>
          <w:tcPr>
            <w:tcW w:type="dxa" w:w="1727"/>
          </w:tcPr>
          <w:p>
            <w:r/>
            <w:r>
              <w:rPr>
                <w:sz w:val="19"/>
              </w:rPr>
              <w:t>≥2 kali</w:t>
            </w:r>
          </w:p>
        </w:tc>
        <w:tc>
          <w:tcPr>
            <w:tcW w:type="dxa" w:w="1727"/>
          </w:tcPr>
          <w:p>
            <w:r/>
            <w:r>
              <w:rPr>
                <w:sz w:val="19"/>
              </w:rPr>
              <w:t>≥3 kali</w:t>
            </w:r>
          </w:p>
        </w:tc>
      </w:tr>
      <w:tr>
        <w:tc>
          <w:tcPr>
            <w:tcW w:type="dxa" w:w="1727"/>
          </w:tcPr>
          <w:p>
            <w:r/>
            <w:r>
              <w:rPr>
                <w:sz w:val="19"/>
              </w:rPr>
              <w:t>13</w:t>
            </w:r>
          </w:p>
        </w:tc>
        <w:tc>
          <w:tcPr>
            <w:tcW w:type="dxa" w:w="1727"/>
          </w:tcPr>
          <w:p>
            <w:r/>
            <w:r>
              <w:rPr>
                <w:sz w:val="19"/>
              </w:rPr>
              <w:t>Tingkat pemahaman VMTS Program Studi sivitas akademika dan pemangku kepentingan (hasil survei)</w:t>
            </w:r>
          </w:p>
        </w:tc>
        <w:tc>
          <w:tcPr>
            <w:tcW w:type="dxa" w:w="1727"/>
          </w:tcPr>
          <w:p>
            <w:r/>
            <w:r>
              <w:rPr>
                <w:sz w:val="19"/>
              </w:rPr>
              <w:t>≥85%</w:t>
            </w:r>
          </w:p>
        </w:tc>
        <w:tc>
          <w:tcPr>
            <w:tcW w:type="dxa" w:w="1727"/>
          </w:tcPr>
          <w:p>
            <w:r/>
            <w:r>
              <w:rPr>
                <w:sz w:val="19"/>
              </w:rPr>
              <w:t>≥90%</w:t>
            </w:r>
          </w:p>
        </w:tc>
        <w:tc>
          <w:tcPr>
            <w:tcW w:type="dxa" w:w="1727"/>
          </w:tcPr>
          <w:p>
            <w:r/>
            <w:r>
              <w:rPr>
                <w:sz w:val="19"/>
              </w:rPr>
              <w:t>≥95%</w:t>
            </w:r>
          </w:p>
        </w:tc>
      </w:tr>
      <w:tr>
        <w:tc>
          <w:tcPr>
            <w:tcW w:type="dxa" w:w="1727"/>
          </w:tcPr>
          <w:p>
            <w:r/>
            <w:r>
              <w:rPr>
                <w:sz w:val="19"/>
              </w:rPr>
              <w:t>14</w:t>
            </w:r>
          </w:p>
        </w:tc>
        <w:tc>
          <w:tcPr>
            <w:tcW w:type="dxa" w:w="1727"/>
          </w:tcPr>
          <w:p>
            <w:r/>
            <w:r>
              <w:rPr>
                <w:sz w:val="19"/>
              </w:rPr>
              <w:t>Kelengkapan dokumentasi siklus PPEPP pada VMTS Program Studi (5 tahap)</w:t>
            </w:r>
          </w:p>
        </w:tc>
        <w:tc>
          <w:tcPr>
            <w:tcW w:type="dxa" w:w="1727"/>
          </w:tcPr>
          <w:p>
            <w:r/>
            <w:r>
              <w:rPr>
                <w:sz w:val="19"/>
              </w:rPr>
              <w:t>Lengkap</w:t>
            </w:r>
          </w:p>
        </w:tc>
        <w:tc>
          <w:tcPr>
            <w:tcW w:type="dxa" w:w="1727"/>
          </w:tcPr>
          <w:p>
            <w:r/>
            <w:r>
              <w:rPr>
                <w:sz w:val="19"/>
              </w:rPr>
              <w:t>Lengkap</w:t>
            </w:r>
          </w:p>
        </w:tc>
        <w:tc>
          <w:tcPr>
            <w:tcW w:type="dxa" w:w="1727"/>
          </w:tcPr>
          <w:p>
            <w:r/>
            <w:r>
              <w:rPr>
                <w:sz w:val="19"/>
              </w:rPr>
              <w:t>Lengkap</w:t>
            </w:r>
          </w:p>
        </w:tc>
      </w:tr>
      <w:tr>
        <w:tc>
          <w:tcPr>
            <w:tcW w:type="dxa" w:w="1727"/>
          </w:tcPr>
          <w:p>
            <w:r/>
            <w:r>
              <w:rPr>
                <w:sz w:val="19"/>
              </w:rPr>
              <w:t>15</w:t>
            </w:r>
          </w:p>
        </w:tc>
        <w:tc>
          <w:tcPr>
            <w:tcW w:type="dxa" w:w="1727"/>
          </w:tcPr>
          <w:p>
            <w:r/>
            <w:r>
              <w:rPr>
                <w:sz w:val="19"/>
              </w:rPr>
              <w:t>Partisipasi dalam Audit Mutu Internal (AMI) atas VMTS Program Studi per tahun</w:t>
            </w:r>
          </w:p>
        </w:tc>
        <w:tc>
          <w:tcPr>
            <w:tcW w:type="dxa" w:w="1727"/>
          </w:tcPr>
          <w:p>
            <w:r/>
            <w:r>
              <w:rPr>
                <w:sz w:val="19"/>
              </w:rPr>
              <w:t>1 kali/tahun</w:t>
            </w:r>
          </w:p>
        </w:tc>
        <w:tc>
          <w:tcPr>
            <w:tcW w:type="dxa" w:w="1727"/>
          </w:tcPr>
          <w:p>
            <w:r/>
            <w:r>
              <w:rPr>
                <w:sz w:val="19"/>
              </w:rPr>
              <w:t>1 kali/tahun</w:t>
            </w:r>
          </w:p>
        </w:tc>
        <w:tc>
          <w:tcPr>
            <w:tcW w:type="dxa" w:w="1727"/>
          </w:tcPr>
          <w:p>
            <w:r/>
            <w:r>
              <w:rPr>
                <w:sz w:val="19"/>
              </w:rPr>
              <w:t>1 kali/tahun</w:t>
            </w:r>
          </w:p>
        </w:tc>
      </w:tr>
      <w:tr>
        <w:tc>
          <w:tcPr>
            <w:tcW w:type="dxa" w:w="1727"/>
          </w:tcPr>
          <w:p>
            <w:r/>
            <w:r>
              <w:rPr>
                <w:sz w:val="19"/>
              </w:rPr>
              <w:t>16</w:t>
            </w:r>
          </w:p>
        </w:tc>
        <w:tc>
          <w:tcPr>
            <w:tcW w:type="dxa" w:w="1727"/>
          </w:tcPr>
          <w:p>
            <w:r/>
            <w:r>
              <w:rPr>
                <w:sz w:val="19"/>
              </w:rPr>
              <w:t>Persentase penyelesaian Rencana Tindak Lanjut (RTL) hasil AMI/evaluasi</w:t>
            </w:r>
          </w:p>
        </w:tc>
        <w:tc>
          <w:tcPr>
            <w:tcW w:type="dxa" w:w="1727"/>
          </w:tcPr>
          <w:p>
            <w:r/>
            <w:r>
              <w:rPr>
                <w:sz w:val="19"/>
              </w:rPr>
              <w:t>≥80%</w:t>
            </w:r>
          </w:p>
        </w:tc>
        <w:tc>
          <w:tcPr>
            <w:tcW w:type="dxa" w:w="1727"/>
          </w:tcPr>
          <w:p>
            <w:r/>
            <w:r>
              <w:rPr>
                <w:sz w:val="19"/>
              </w:rPr>
              <w:t>≥90%</w:t>
            </w:r>
          </w:p>
        </w:tc>
        <w:tc>
          <w:tcPr>
            <w:tcW w:type="dxa" w:w="1727"/>
          </w:tcPr>
          <w:p>
            <w:r/>
            <w:r>
              <w:rPr>
                <w:sz w:val="19"/>
              </w:rPr>
              <w:t>100%</w:t>
            </w:r>
          </w:p>
        </w:tc>
      </w:tr>
      <w:tr>
        <w:tc>
          <w:tcPr>
            <w:tcW w:type="dxa" w:w="1727"/>
          </w:tcPr>
          <w:p>
            <w:r/>
            <w:r>
              <w:rPr>
                <w:sz w:val="19"/>
              </w:rPr>
              <w:t>*17</w:t>
            </w:r>
          </w:p>
        </w:tc>
        <w:tc>
          <w:tcPr>
            <w:tcW w:type="dxa" w:w="1727"/>
          </w:tcPr>
          <w:p>
            <w:r/>
            <w:r>
              <w:rPr>
                <w:sz w:val="19"/>
              </w:rPr>
              <w:t>Pelaksanaan root-cause analysis &amp; SWOT tahunan atas ketercapaian VMTS Program Studi</w:t>
            </w:r>
          </w:p>
        </w:tc>
        <w:tc>
          <w:tcPr>
            <w:tcW w:type="dxa" w:w="1727"/>
          </w:tcPr>
          <w:p>
            <w:r/>
            <w:r>
              <w:rPr>
                <w:sz w:val="19"/>
              </w:rPr>
              <w:t>Terlaksana</w:t>
            </w:r>
          </w:p>
        </w:tc>
        <w:tc>
          <w:tcPr>
            <w:tcW w:type="dxa" w:w="1727"/>
          </w:tcPr>
          <w:p>
            <w:r/>
            <w:r>
              <w:rPr>
                <w:sz w:val="19"/>
              </w:rPr>
              <w:t>Terlaksana</w:t>
            </w:r>
          </w:p>
        </w:tc>
        <w:tc>
          <w:tcPr>
            <w:tcW w:type="dxa" w:w="1727"/>
          </w:tcPr>
          <w:p>
            <w:r/>
            <w:r>
              <w:rPr>
                <w:sz w:val="19"/>
              </w:rPr>
              <w:t>Terlaksana</w:t>
            </w:r>
          </w:p>
        </w:tc>
      </w:tr>
    </w:tbl>
    <w:p/>
    <w:p>
      <w:pPr>
        <w:spacing w:after="120"/>
      </w:pPr>
      <w:r>
        <w:t>Baris bertanda (*) adalah indikator pemenuhan Pernyataan #36 Standar VMTS FTII (visi keilmuan program studi) dan ketentuan root-cause/SWOT lintas-standar Standar Penjaminan Mutu Internal FTII.</w:t>
      </w:r>
    </w:p>
    <w:p/>
    <w:p>
      <w:pPr>
        <w:spacing w:after="120"/>
      </w:pPr>
      <w:r>
        <w:t>Indikator Kinerja Tambahan (IKT):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Tambahan (IKT)</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Jumlah pengakuan/penghargaan tingkat internasional atas keunggulan visi keilmuan Program Studi per siklus Renstra</w:t>
            </w:r>
          </w:p>
        </w:tc>
        <w:tc>
          <w:tcPr>
            <w:tcW w:type="dxa" w:w="1727"/>
          </w:tcPr>
          <w:p>
            <w:r/>
            <w:r>
              <w:rPr>
                <w:sz w:val="19"/>
              </w:rPr>
              <w:t>-</w:t>
            </w:r>
          </w:p>
        </w:tc>
        <w:tc>
          <w:tcPr>
            <w:tcW w:type="dxa" w:w="1727"/>
          </w:tcPr>
          <w:p>
            <w:r/>
            <w:r>
              <w:rPr>
                <w:sz w:val="19"/>
              </w:rPr>
              <w:t>≥1</w:t>
            </w:r>
          </w:p>
        </w:tc>
        <w:tc>
          <w:tcPr>
            <w:tcW w:type="dxa" w:w="1727"/>
          </w:tcPr>
          <w:p>
            <w:r/>
            <w:r>
              <w:rPr>
                <w:sz w:val="19"/>
              </w:rPr>
              <w:t>≥1</w:t>
            </w:r>
          </w:p>
        </w:tc>
      </w:tr>
      <w:tr>
        <w:tc>
          <w:tcPr>
            <w:tcW w:type="dxa" w:w="1727"/>
          </w:tcPr>
          <w:p>
            <w:r/>
            <w:r>
              <w:rPr>
                <w:sz w:val="19"/>
              </w:rPr>
              <w:t>2</w:t>
            </w:r>
          </w:p>
        </w:tc>
        <w:tc>
          <w:tcPr>
            <w:tcW w:type="dxa" w:w="1727"/>
          </w:tcPr>
          <w:p>
            <w:r/>
            <w:r>
              <w:rPr>
                <w:sz w:val="19"/>
              </w:rPr>
              <w:t>Jumlah MoU/MoA/kemitraan strategis internasional yang mendukung visi keilmuan Program Studi Teknik Industri</w:t>
            </w:r>
          </w:p>
        </w:tc>
        <w:tc>
          <w:tcPr>
            <w:tcW w:type="dxa" w:w="1727"/>
          </w:tcPr>
          <w:p>
            <w:r/>
            <w:r>
              <w:rPr>
                <w:sz w:val="19"/>
              </w:rPr>
              <w:t>≥1</w:t>
            </w:r>
          </w:p>
        </w:tc>
        <w:tc>
          <w:tcPr>
            <w:tcW w:type="dxa" w:w="1727"/>
          </w:tcPr>
          <w:p>
            <w:r/>
            <w:r>
              <w:rPr>
                <w:sz w:val="19"/>
              </w:rPr>
              <w:t>≥2</w:t>
            </w:r>
          </w:p>
        </w:tc>
        <w:tc>
          <w:tcPr>
            <w:tcW w:type="dxa" w:w="1727"/>
          </w:tcPr>
          <w:p>
            <w:r/>
            <w:r>
              <w:rPr>
                <w:sz w:val="19"/>
              </w:rPr>
              <w:t>≥3</w:t>
            </w:r>
          </w:p>
        </w:tc>
      </w:tr>
      <w:tr>
        <w:tc>
          <w:tcPr>
            <w:tcW w:type="dxa" w:w="1727"/>
          </w:tcPr>
          <w:p>
            <w:r/>
            <w:r>
              <w:rPr>
                <w:sz w:val="19"/>
              </w:rPr>
              <w:t>3</w:t>
            </w:r>
          </w:p>
        </w:tc>
        <w:tc>
          <w:tcPr>
            <w:tcW w:type="dxa" w:w="1727"/>
          </w:tcPr>
          <w:p>
            <w:r/>
            <w:r>
              <w:rPr>
                <w:sz w:val="19"/>
              </w:rPr>
              <w:t>Indeks kepuasan pemangku kepentingan terhadap efektivitas sosialisasi dan keterlibatan penyusunan VMTS Program Studi</w:t>
            </w:r>
          </w:p>
        </w:tc>
        <w:tc>
          <w:tcPr>
            <w:tcW w:type="dxa" w:w="1727"/>
          </w:tcPr>
          <w:p>
            <w:r/>
            <w:r>
              <w:rPr>
                <w:sz w:val="19"/>
              </w:rPr>
              <w:t>≥80%</w:t>
            </w:r>
          </w:p>
        </w:tc>
        <w:tc>
          <w:tcPr>
            <w:tcW w:type="dxa" w:w="1727"/>
          </w:tcPr>
          <w:p>
            <w:r/>
            <w:r>
              <w:rPr>
                <w:sz w:val="19"/>
              </w:rPr>
              <w:t>≥85%</w:t>
            </w:r>
          </w:p>
        </w:tc>
        <w:tc>
          <w:tcPr>
            <w:tcW w:type="dxa" w:w="1727"/>
          </w:tcPr>
          <w:p>
            <w:r/>
            <w:r>
              <w:rPr>
                <w:sz w:val="19"/>
              </w:rPr>
              <w:t>≥90%</w:t>
            </w:r>
          </w:p>
        </w:tc>
      </w:tr>
    </w:tbl>
    <w:p/>
    <w:p>
      <w:r>
        <w:rPr>
          <w:b/>
          <w:sz w:val="26"/>
        </w:rPr>
        <w:t>5. STRATEGI PENCAPAIAN</w:t>
      </w:r>
    </w:p>
    <w:p>
      <w:pPr>
        <w:pStyle w:val="ListNumber"/>
        <w:spacing w:after="120"/>
      </w:pPr>
      <w:r>
        <w:t>Ketua Program Studi Teknik Industri menetapkan Standar VMTS Program Studi melalui Keputusan Ketua Program Studi atas persetujuan Dekan FTII, selaras dengan Standar VMTS FTII.</w:t>
      </w:r>
    </w:p>
    <w:p>
      <w:pPr>
        <w:pStyle w:val="ListNumber"/>
        <w:spacing w:after="120"/>
      </w:pPr>
      <w:r>
        <w:t>Ketua Program Studi membentuk Tim Penyusun dan Peninjau VMTS Program Studi yang melibatkan dosen, tenaga kependidikan, mahasiswa, alumni, pengguna lulusan, dan DUDIKA, dituangkan dalam SK Tim dan berita acara pelibatan seluruh unsur.</w:t>
      </w:r>
    </w:p>
    <w:p>
      <w:pPr>
        <w:pStyle w:val="ListNumber"/>
        <w:spacing w:after="120"/>
      </w:pPr>
      <w:r>
        <w:t>Ketua Program Studi bersama tim kurikulum menyusun visi keilmuan program studi ("Menjadi rujukan pengembangan rekayasa dan manajemen sistem industri yang unggul dalam optimasi manufaktur cerdas (smart manufacturing), rantai pasok (supply chain), dan ergonomi berbasis penerapan teknologi informasi, selaras diferensiasi misi FTII pada bidang industri dan data-driven."), melibatkan pakar bidang ilmu dan DUDIKA, memastikan keterkaitannya eksplisit tercantum dalam dokumen kurikulum dan RPS, ditinjau ulang setiap siklus peninjauan kurikulum.</w:t>
      </w:r>
    </w:p>
    <w:p>
      <w:pPr>
        <w:pStyle w:val="ListNumber"/>
        <w:spacing w:after="120"/>
      </w:pPr>
      <w:r>
        <w:t>Ketua Program Studi menyusun Renstra dan Renop Program Studi yang selaras VMTS FTII serta mengintegrasikan visi keilmuan Program Studi ke dalam kurikulum dan seluruh mata kuliah.</w:t>
      </w:r>
    </w:p>
    <w:p>
      <w:pPr>
        <w:pStyle w:val="ListNumber"/>
        <w:spacing w:after="120"/>
      </w:pPr>
      <w:r>
        <w:t>Tim Penyusun VMTS Program Studi melaksanakan analisis lingkungan internal-eksternal (SWOT) dan benchmarking terjadwal dengan minimal 1 program studi sejenis nasional terakreditasi Unggul dan 1 mitra internasional setiap tahun, meningkat menuju 2 mitra internasional pada akhir siklus Renstra.</w:t>
      </w:r>
    </w:p>
    <w:p>
      <w:pPr>
        <w:pStyle w:val="ListNumber"/>
        <w:spacing w:after="120"/>
      </w:pPr>
      <w:r>
        <w:t>Ketua Program Studi melaksanakan program tridharma sesuai Renstra dan peta jalan pengembangan, dengan pemantauan keterlaksanaan program paling sedikit triwulanan untuk menjaga tingkat keterlaksanaan ≥95% menuju 100%.</w:t>
      </w:r>
    </w:p>
    <w:p>
      <w:pPr>
        <w:pStyle w:val="ListNumber"/>
        <w:spacing w:after="120"/>
      </w:pPr>
      <w:r>
        <w:t>GKM Program Studi melaksanakan monitoring dan evaluasi efektivitas-efisiensi program serta ketercapaian tujuan/strategi setiap akhir tahun akademik, dengan hasil dilaporkan pada Rapat Tinjauan Manajemen (RTM) tingkat program studi.</w:t>
      </w:r>
    </w:p>
    <w:p>
      <w:pPr>
        <w:pStyle w:val="ListNumber"/>
        <w:spacing w:after="120"/>
      </w:pPr>
      <w:r>
        <w:t>Ketua Program Studi menjalin dan mendokumentasikan kegiatan benchmarking dengan program studi sejenis pada perguruan tinggi/institusi lain berreputasi baik, mencakup kunjungan, forum, dan pertukaran praktik baik tridharma.</w:t>
      </w:r>
    </w:p>
    <w:p>
      <w:pPr>
        <w:pStyle w:val="ListNumber"/>
        <w:spacing w:after="120"/>
      </w:pPr>
      <w:r>
        <w:t>Ketua Program Studi menyusun dan menyampaikan laporan tahunan ketercapaian VMTS dan visi keilmuan Program Studi kepada Dekan FTII paling lambat triwulan pertama tahun akademik berikutnya.</w:t>
      </w:r>
    </w:p>
    <w:p>
      <w:pPr>
        <w:pStyle w:val="ListNumber"/>
        <w:spacing w:after="120"/>
      </w:pPr>
      <w:r>
        <w:t>Program Studi memperluas kerja sama dengan DUDIKA, asosiasi profesi, dan mitra internasional untuk memperoleh pengakuan/apresiasi eksternal pada tingkat lokal, nasional, dan internasional, didokumentasikan sebagai bukti pada setiap tahap PPEPP.</w:t>
      </w:r>
    </w:p>
    <w:p>
      <w:pPr>
        <w:pStyle w:val="ListNumber"/>
        <w:spacing w:after="120"/>
      </w:pPr>
      <w:r>
        <w:t>Ketua Program Studi melaksanakan sosialisasi VMTS Program Studi terjadwal minimal 2 kali per tahun akademik (orientasi mahasiswa baru, rapat program studi) melalui media cetak, elektronik, dan daring, dengan dokumentasi daftar hadir dan materi.</w:t>
      </w:r>
    </w:p>
    <w:p>
      <w:pPr>
        <w:pStyle w:val="ListNumber"/>
        <w:spacing w:after="120"/>
      </w:pPr>
      <w:r>
        <w:t>GKM Program Studi menyusun dan melaksanakan instrumen survei tingkat pemahaman VMTS Program Studi setiap tahun, menganalisis hasil, dan menggunakannya sebagai dasar perbaikan strategi sosialisasi menuju target pemahaman ≥95%.</w:t>
      </w:r>
    </w:p>
    <w:p>
      <w:pPr>
        <w:pStyle w:val="ListNumber"/>
        <w:spacing w:after="120"/>
      </w:pPr>
      <w:r>
        <w:t>Program Studi berpartisipasi aktif dalam Audit Mutu Internal (AMI) yang diselenggarakan DJM dan UJM Fakultas atas implementasi VMTS Program Studi paling sedikit 1 kali per tahun, dan mengoordinasikan penyelesaian Rencana Tindak Lanjut (RTL) bersama Dekan FTII.</w:t>
      </w:r>
    </w:p>
    <w:p>
      <w:pPr>
        <w:pStyle w:val="ListNumber"/>
        <w:spacing w:after="120"/>
      </w:pPr>
      <w:r>
        <w:t>Ketua Program Studi mengajukan kebutuhan sumber daya (anggaran, SDM, sistem informasi) kepada Dekan FTII untuk mendukung pelaksanaan benchmarking, sosialisasi, survei pemahaman, dan pendokumentasian bukti pengakuan eksternal secara berkelanjutan.</w:t>
      </w:r>
    </w:p>
    <w:p>
      <w:pPr>
        <w:pStyle w:val="ListNumber"/>
        <w:spacing w:after="120"/>
      </w:pPr>
      <w:r>
        <w:t>GKM Program Studi melaksanakan root-cause analysis dan SWOT tahunan atas ketercapaian VMTS Program Studi mengikuti template dan prosedur yang ditetapkan Standar Penjaminan Mutu Internal FTII, hasilnya menjadi bahan wajib RTM tingkat program studi.</w:t>
      </w:r>
    </w:p>
    <w:p/>
    <w:p>
      <w:r>
        <w:rPr>
          <w:b/>
          <w:sz w:val="26"/>
        </w:rPr>
        <w:t>6. MEKANISME EVALUASI</w:t>
      </w:r>
    </w:p>
    <w:p>
      <w:pPr>
        <w:spacing w:after="120"/>
      </w:pPr>
      <w:r>
        <w:t>Evaluasi ketercapaian VMTS Program Studi dilakukan oleh Ketua Program Studi paling sedikit 1 (satu) kali setiap tahun akademik berdasarkan indikator kinerja yang ditetapkan, hasilnya dituangkan dalam laporan evaluasi diri program studi.</w:t>
      </w:r>
    </w:p>
    <w:p>
      <w:pPr>
        <w:spacing w:after="120"/>
      </w:pPr>
      <w:r>
        <w:t>Pelaksanaan benchmarking dievaluasi oleh Ketua Program Studi setiap akhir tahun untuk memastikan jumlah dan kualitas mitra benchmarking memenuhi ambang target yang ditetapkan.</w:t>
      </w:r>
    </w:p>
    <w:p>
      <w:pPr>
        <w:spacing w:after="120"/>
      </w:pPr>
      <w:r>
        <w:t>Pelaksanaan sosialisasi VMTS Program Studi dan hasil survei tingkat pemahaman dievaluasi oleh GKM Program Studi setiap tahun, mencakup verifikasi frekuensi sosialisasi (≥2 kali/tahun) dan capaian tingkat pemahaman terhadap ambang target.</w:t>
      </w:r>
    </w:p>
    <w:p>
      <w:pPr>
        <w:spacing w:after="120"/>
      </w:pPr>
      <w:r>
        <w:t>Kesesuaian visi keilmuan program studi dengan diferensiasi misi FTII dan kurikulum diverifikasi oleh GKM Program Studi setiap siklus peninjauan kurikulum, dilaporkan kepada Ketua Program Studi dan Dekan FTII.</w:t>
      </w:r>
    </w:p>
    <w:p>
      <w:pPr>
        <w:spacing w:after="120"/>
      </w:pPr>
      <w:r>
        <w:t>Bukti pengakuan/apresiasi eksternal (lokal, nasional, internasional) diverifikasi oleh Ketua Program Studi berdasarkan dokumen bukti yang divalidasi oleh GKM Program Studi dan dilaporkan kepada Dekan FTII.</w:t>
      </w:r>
    </w:p>
    <w:p>
      <w:pPr>
        <w:spacing w:after="120"/>
      </w:pPr>
      <w:r>
        <w:t>Audit Mutu Internal (AMI) atas VMTS Program Studi dilaksanakan oleh DJM dan UJM Fakultas paling sedikit 1 (satu) kali per tahun, dikoordinasikan bersama GKM Program Studi.</w:t>
      </w:r>
    </w:p>
    <w:p>
      <w:pPr>
        <w:spacing w:after="120"/>
      </w:pPr>
      <w:r>
        <w:t>Rapat Tinjauan Manajemen (RTM) tingkat Program Studi diselenggarakan setelah setiap siklus AMI untuk membahas hasil evaluasi, capaian terhadap ambang target, dan menyusun Rencana Tindak Lanjut (RTL) yang ditargetkan selesai paling sedikit 80% pada tahun berjalan.</w:t>
      </w:r>
    </w:p>
    <w:p>
      <w:pPr>
        <w:spacing w:after="120"/>
      </w:pPr>
      <w:r>
        <w:t>Peninjauan menyeluruh terhadap Standar VMTS Program Studi dilakukan paling sedikit 1 (satu) kali setiap siklus Renstra (4-5 tahun), selaras dengan siklus peninjauan Standar VMTS FTII.</w:t>
      </w:r>
    </w:p>
    <w:p>
      <w:pPr>
        <w:spacing w:after="120"/>
      </w:pPr>
      <w:r>
        <w:t>Root-cause analysis dan SWOT tahunan atas ketercapaian VMTS Program Studi dievaluasi oleh GKM Program Studi paling sedikit 1 (satu) kali setiap akhir tahun akademik, sesuai mekanisme yang diatur Standar Penjaminan Mutu Internal FTII, dan wajib dibahas dalam RTM.</w:t>
      </w:r>
    </w:p>
    <w:p/>
    <w:p>
      <w:r>
        <w:rPr>
          <w:b/>
          <w:sz w:val="26"/>
        </w:rPr>
        <w:t>7. DOKUMEN / BUKTI PENDUKUNG</w:t>
      </w:r>
    </w:p>
    <w:p>
      <w:pPr>
        <w:spacing w:after="120"/>
      </w:pPr>
      <w:r>
        <w:t>Keputusan Ketua Program Studi tentang penetapan Standar VMTS Program Studi beserta persetujuan Dekan FTII.</w:t>
      </w:r>
    </w:p>
    <w:p>
      <w:pPr>
        <w:spacing w:after="120"/>
      </w:pPr>
      <w:r>
        <w:t>Dokumen visi keilmuan Program Studi yang tertaut kurikulum, beserta berita acara penyusunan/peninjauan yang melibatkan pakar bidang ilmu dan DUDIKA.</w:t>
      </w:r>
    </w:p>
    <w:p>
      <w:pPr>
        <w:spacing w:after="120"/>
      </w:pPr>
      <w:r>
        <w:t>Renstra dan Renop Program Studi yang menunjukkan keselarasan VMTS PS-UPPS-PT.</w:t>
      </w:r>
    </w:p>
    <w:p>
      <w:pPr>
        <w:spacing w:after="120"/>
      </w:pPr>
      <w:r>
        <w:t>Surat Keputusan (SK) Tim Penyusun/Peninjau VMTS Program Studi dan berita acara pelibatan pemangku kepentingan internal dan eksternal.</w:t>
      </w:r>
    </w:p>
    <w:p>
      <w:pPr>
        <w:spacing w:after="120"/>
      </w:pPr>
      <w:r>
        <w:t>Dokumen analisis lingkungan internal-eksternal (SWOT) dan laporan pelaksanaan benchmarking dengan program studi sejenis pada perguruan tinggi/institusi lain, termasuk MoU/MoA pendukung.</w:t>
      </w:r>
    </w:p>
    <w:p>
      <w:pPr>
        <w:spacing w:after="120"/>
      </w:pPr>
      <w:r>
        <w:t>Dokumen VMTS Program Studi yang memuat pernyataan visi keilmuan serta bukti implementasinya pada kurikulum dan RPS.</w:t>
      </w:r>
    </w:p>
    <w:p>
      <w:pPr>
        <w:spacing w:after="120"/>
      </w:pPr>
      <w:r>
        <w:t>Laporan tahunan ketercapaian VMTS Program Studi, beserta berita acara penyampaiannya dalam rapat program studi/RTM.</w:t>
      </w:r>
    </w:p>
    <w:p>
      <w:pPr>
        <w:spacing w:after="120"/>
      </w:pPr>
      <w:r>
        <w:t>Dokumen bukti pengakuan/apresiasi eksternal (piagam, sertifikat, publikasi media, surat keterangan DUDIKA) pada tingkat lokal, nasional, dan internasional.</w:t>
      </w:r>
    </w:p>
    <w:p>
      <w:pPr>
        <w:spacing w:after="120"/>
      </w:pPr>
      <w:r>
        <w:t>Dokumentasi sosialisasi VMTS Program Studi (daftar hadir, materi, dokumentasi kegiatan) minimal 2 kali per tahun akademik.</w:t>
      </w:r>
    </w:p>
    <w:p>
      <w:pPr>
        <w:spacing w:after="120"/>
      </w:pPr>
      <w:r>
        <w:t>Instrumen dan hasil survei/kuesioner tingkat pemahaman VMTS Program Studi beserta data mentah responden dan laporan analisis hasil.</w:t>
      </w:r>
    </w:p>
    <w:p>
      <w:pPr>
        <w:spacing w:after="120"/>
      </w:pPr>
      <w:r>
        <w:t>Laporan Audit Mutu Internal (AMI) dan Rencana Tindak Lanjut (RTL) atas implementasi Standar VMTS Program Studi.</w:t>
      </w:r>
    </w:p>
    <w:p>
      <w:pPr>
        <w:spacing w:after="120"/>
      </w:pPr>
      <w:r>
        <w:t>Berita Acara Rapat Tinjauan Manajemen (RTM) Program Studi terkait pembahasan capaian VMTS.</w:t>
      </w:r>
    </w:p>
    <w:p>
      <w:pPr>
        <w:spacing w:after="120"/>
      </w:pPr>
      <w:r>
        <w:t>Dokumen evaluasi diri tahunan Program Studi dan rekapitulasi capaian kinerja.</w:t>
      </w:r>
    </w:p>
    <w:p>
      <w:pPr>
        <w:spacing w:after="120"/>
      </w:pPr>
      <w:r>
        <w:t>Dokumen root-cause analysis dan SWOT tahunan atas ketercapaian VMTS Program Studi, sesuai template Standar Penjaminan Mutu Internal FTII, beserta berita acara pembahasannya dalam RTM.</w:t>
      </w:r>
    </w:p>
    <w:p>
      <w:pPr>
        <w:spacing w:after="120"/>
      </w:pPr>
      <w:r>
        <w:t>Standar_Visi_Misi_Unggul_FTII.docx sebagai acuan utama Standar VMTS tingkat Fakultas.</w:t>
      </w:r>
    </w:p>
    <w:p>
      <w:pPr>
        <w:spacing w:after="120"/>
      </w:pPr>
      <w:r>
        <w:t>Instrumen Akreditasi Program Studi LAM INFOKOM (Kriteria Unggul 2.1) dan Matriks Penilaian LED-LKPS LAM Teknik APS-AV 2025 1.0 sebagai acuan kalibrasi ambang indikator.</w:t>
      </w:r>
    </w:p>
    <w:p/>
    <w:p>
      <w:pPr>
        <w:spacing w:after="120"/>
      </w:pPr>
      <w:r>
        <w:t>Disusun di Semarang pada tanggal 2 Agustus 2026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