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UNIVERSITAS STIKUBANK (UNISBANK) SEMARANG</w:t>
      </w:r>
    </w:p>
    <w:p>
      <w:r>
        <w:t>STANDAR LUARAN PENDIDIKAN</w:t>
      </w:r>
    </w:p>
    <w:p>
      <w:r>
        <w:t>PROGRAM STUDI TEKNIK INDUSTRI</w:t>
      </w:r>
    </w:p>
    <w:p>
      <w:r>
        <w:t>FAKULTAS TEKNOLOGI INFORMASI DAN INDUSTRI (FTII)</w:t>
      </w:r>
    </w:p>
    <w:p>
      <w:r>
        <w:t>Disusun untuk memenuhi ambang kriteria status Terakreditasi Unggul LAM TEKNIK (APS-AV 2025 1.0), sebagai turunan Standar Standar Luaran Pendidikan FTII versi Unggul, dengan indikator standar yang terukur dan disesuaikan pada skala Program Studi Teknik Industri</w:t>
      </w:r>
    </w:p>
    <w:p>
      <w:pPr/>
      <w:r>
        <w:rPr>
          <w:b/>
        </w:rPr>
        <w:t>1. RASIONAL</w:t>
      </w:r>
    </w:p>
    <w:p>
      <w:r>
        <w:t>Program Studi Teknik Industri FTII UNISBANK menetapkan Standar Luaran Pendidikan sebagai perwujudan visi keilmuan program studi bidang smart manufacturing, rantai pasok, dan ergonomi, diturunkan dari Standar Luaran Pendidikan FTII versi Unggul (standarluaranpendidikanunggul.docx) dan dipersempit pada skala program studi, memastikan lulusan memiliki CPL yang selaras profil lulusan, KKNI Level 6, dan kebutuhan DUDIKA manufaktur/logistik/konsultansi industri.</w:t>
      </w:r>
    </w:p>
    <w:p>
      <w:r>
        <w:t>Standar ini dirancang agar setiap indikator kinerjanya memenuhi atau melampaui ambang skor tertinggi (skor 4) pada Matriks Penilaian LED-LKPS LAM Teknik APS-AV 2025 1.0 Kriteria C.6 (Mahasiswa dan Luaran) dan Kriteria C.3 (Pendidikan, Penelitian, dan PkM).</w:t>
      </w:r>
    </w:p>
    <w:p>
      <w:pPr/>
      <w:r>
        <w:rPr>
          <w:b/>
        </w:rPr>
        <w:t>2. PIHAK YANG BERTANGGUNG JAWAB</w:t>
      </w:r>
    </w:p>
    <w:p>
      <w:pPr>
        <w:pStyle w:val="ListNumber"/>
      </w:pPr>
      <w:r>
        <w:t>Ketua Program Studi Teknik Industri, dalam penetapan profil lulusan, CPL, dan pemantauan capaian luaran pendidikan.</w:t>
      </w:r>
    </w:p>
    <w:p>
      <w:pPr>
        <w:pStyle w:val="ListNumber"/>
      </w:pPr>
      <w:r>
        <w:t>Dosen Pembimbing Akademik dan Tugas Akhir, dalam pembimbingan capaian akademik dan ketepatan waktu studi mahasiswa.</w:t>
      </w:r>
    </w:p>
    <w:p>
      <w:pPr>
        <w:pStyle w:val="ListNumber"/>
      </w:pPr>
      <w:r>
        <w:t>Gugus Kendali Mutu (GKM) Program Studi, dalam verifikasi pemetaan CPL-CPMK dan pelaksanaan tracer study.</w:t>
      </w:r>
    </w:p>
    <w:p>
      <w:pPr>
        <w:pStyle w:val="ListNumber"/>
      </w:pPr>
      <w:r>
        <w:t>Unit Karier dan Alumni, dalam pelaksanaan tracer study dan penelusuran kepuasan pengguna lulusan.</w:t>
      </w:r>
    </w:p>
    <w:p>
      <w:pPr/>
      <w:r>
        <w:rPr>
          <w:b/>
        </w:rPr>
        <w:t>3. PERNYATAAN STANDAR</w:t>
      </w:r>
    </w:p>
    <w:p>
      <w:pPr>
        <w:pStyle w:val="ListNumber"/>
      </w:pPr>
      <w:r>
        <w:t>Program Studi Teknik Industri wajib memiliki kebijakan profil lulusan, bahan kajian, CPL, dan CPMK berbasis OBE, selaras KKNI Level 6 dan visi keilmuan program studi.</w:t>
      </w:r>
    </w:p>
    <w:p>
      <w:pPr>
        <w:pStyle w:val="ListNumber"/>
      </w:pPr>
      <w:r>
        <w:t>Program Studi Teknik Industri wajib meninjau profil lulusan, CPL, dan CPMK secara berkala setiap 4-5 tahun, melibatkan dosen, mahasiswa, alumni, pengguna lulusan, asosiasi profesi (BKSTI/PII), dan DUDIKA.</w:t>
      </w:r>
    </w:p>
    <w:p>
      <w:pPr>
        <w:pStyle w:val="ListNumber"/>
      </w:pPr>
      <w:r>
        <w:t>Kompetensi lulusan Program Studi Teknik Industri wajib mencakup sikap, pengetahuan, keterampilan umum, dan keterampilan khusus sesuai KKNI Level 6, meliputi penguasaan rekayasa dan optimasi sistem industri, kemampuan adaptasi teknologi manufaktur, kerja tim, dan etika profesi.</w:t>
      </w:r>
    </w:p>
    <w:p>
      <w:pPr>
        <w:pStyle w:val="ListNumber"/>
      </w:pPr>
      <w:r>
        <w:t>Program Studi Teknik Industri wajib memastikan 100% mata kuliah memiliki pemetaan CPL-CPMK terdokumentasi dan diinformasikan kepada mahasiswa.</w:t>
      </w:r>
    </w:p>
    <w:p>
      <w:pPr>
        <w:pStyle w:val="ListNumber"/>
      </w:pPr>
      <w:r>
        <w:t>Persentase mahasiswa mencapai nilai minimal pada setiap CPMK paling sedikit 80%, dan tingkat ketercapaian CPL berdasarkan agregasi CPMK paling sedikit 80%.</w:t>
      </w:r>
    </w:p>
    <w:p>
      <w:pPr>
        <w:pStyle w:val="ListNumber"/>
      </w:pPr>
      <w:r>
        <w:t>Program Studi Teknik Industri wajib mencapai persentase kelulusan tepat waktu paling sedikit 60%.</w:t>
      </w:r>
    </w:p>
    <w:p>
      <w:pPr>
        <w:pStyle w:val="ListNumber"/>
      </w:pPr>
      <w:r>
        <w:t>Rata-rata lama studi lulusan berada pada rentang 3,5 sampai dengan 4,5 tahun.</w:t>
      </w:r>
    </w:p>
    <w:p>
      <w:pPr>
        <w:pStyle w:val="ListNumber"/>
      </w:pPr>
      <w:r>
        <w:t>Rata-rata Indeks Prestasi Kumulatif (IPK) lulusan paling sedikit 3,25 dan meningkat berkelanjutan menuju paling sedikit 3,40.</w:t>
      </w:r>
    </w:p>
    <w:p>
      <w:pPr>
        <w:pStyle w:val="ListNumber"/>
      </w:pPr>
      <w:r>
        <w:t>Rata-rata waktu tunggu lulusan memperoleh pekerjaan atau berwirausaha paling lama 3 bulan sejak dinyatakan lulus.</w:t>
      </w:r>
    </w:p>
    <w:p>
      <w:pPr>
        <w:pStyle w:val="ListNumber"/>
      </w:pPr>
      <w:r>
        <w:t>Persentase kesesuaian bidang kerja lulusan dengan bidang keilmuan Teknik Industri paling sedikit 60%.</w:t>
      </w:r>
    </w:p>
    <w:p>
      <w:pPr>
        <w:pStyle w:val="ListNumber"/>
      </w:pPr>
      <w:r>
        <w:t>Persentase lulusan bekerja pada badan usaha tingkat internasional/multinasional paling sedikit 5%, dan tingkat nasional atau berwirausaha berizin paling sedikit 20%.</w:t>
      </w:r>
    </w:p>
    <w:p>
      <w:pPr>
        <w:pStyle w:val="ListNumber"/>
      </w:pPr>
      <w:r>
        <w:t>Tingkat kepuasan pengguna lulusan dinilai atas 7 aspek (etika, keahlian bidang ilmu, bahasa asing, TI, komunikasi, kerja sama tim, pengembangan diri), dengan hasil 'sangat baik' dan 'baik' paling sedikit 85% pada masing-masing aspek.</w:t>
      </w:r>
    </w:p>
    <w:p>
      <w:pPr>
        <w:pStyle w:val="ListNumber"/>
      </w:pPr>
      <w:r>
        <w:t>Persentase lulusan memperoleh sertifikasi kompetensi (mis. Ahli K3, Six Sigma, Lean Manufacturing) paling sedikit 50% dari jumlah lulusan per tahun.</w:t>
      </w:r>
    </w:p>
    <w:p>
      <w:pPr>
        <w:pStyle w:val="ListNumber"/>
      </w:pPr>
      <w:r>
        <w:t>Program Studi Teknik Industri wajib melaksanakan tracer study mencakup 5 aspek (terkoordinasi universitas, reguler tahunan, kuesioner inti DIKTI, populasi lulusan TS-2 s.d. TS-1, hasil disosialisasikan untuk pengembangan kurikulum).</w:t>
      </w:r>
    </w:p>
    <w:p>
      <w:pPr/>
      <w:r>
        <w:rPr>
          <w:b/>
        </w:rPr>
        <w:t>4. INDIKATOR KINERJA (IKU/IKT)</w:t>
      </w:r>
    </w:p>
    <w:p>
      <w:r>
        <w:t>Indikator Kinerja Utama (IKU):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Indikator Kinerja Utama (IKU)</w:t>
            </w:r>
          </w:p>
        </w:tc>
        <w:tc>
          <w:tcPr>
            <w:tcW w:type="dxa" w:w="1728"/>
          </w:tcPr>
          <w:p>
            <w:r>
              <w:t>2024/2025</w:t>
            </w:r>
          </w:p>
        </w:tc>
        <w:tc>
          <w:tcPr>
            <w:tcW w:type="dxa" w:w="1728"/>
          </w:tcPr>
          <w:p>
            <w:r>
              <w:t>2025/2026</w:t>
            </w:r>
          </w:p>
        </w:tc>
        <w:tc>
          <w:tcPr>
            <w:tcW w:type="dxa" w:w="1728"/>
          </w:tcPr>
          <w:p>
            <w:r>
              <w:t>2026/2027</w:t>
            </w:r>
          </w:p>
        </w:tc>
      </w:tr>
      <w:tr>
        <w:tc>
          <w:tcPr>
            <w:tcW w:type="dxa" w:w="1728"/>
          </w:tcPr>
          <w:p>
            <w:r>
              <w:t>1</w:t>
            </w:r>
          </w:p>
        </w:tc>
        <w:tc>
          <w:tcPr>
            <w:tcW w:type="dxa" w:w="1728"/>
          </w:tcPr>
          <w:p>
            <w:r>
              <w:t>Ketercapaian CPL berdasarkan agregasi CPMK</w:t>
            </w:r>
          </w:p>
        </w:tc>
        <w:tc>
          <w:tcPr>
            <w:tcW w:type="dxa" w:w="1728"/>
          </w:tcPr>
          <w:p>
            <w:r>
              <w:t>80%</w:t>
            </w:r>
          </w:p>
        </w:tc>
        <w:tc>
          <w:tcPr>
            <w:tcW w:type="dxa" w:w="1728"/>
          </w:tcPr>
          <w:p>
            <w:r>
              <w:t>82%</w:t>
            </w:r>
          </w:p>
        </w:tc>
        <w:tc>
          <w:tcPr>
            <w:tcW w:type="dxa" w:w="1728"/>
          </w:tcPr>
          <w:p>
            <w:r>
              <w:t>85%</w:t>
            </w:r>
          </w:p>
        </w:tc>
      </w:tr>
      <w:tr>
        <w:tc>
          <w:tcPr>
            <w:tcW w:type="dxa" w:w="1728"/>
          </w:tcPr>
          <w:p>
            <w:r>
              <w:t>2</w:t>
            </w:r>
          </w:p>
        </w:tc>
        <w:tc>
          <w:tcPr>
            <w:tcW w:type="dxa" w:w="1728"/>
          </w:tcPr>
          <w:p>
            <w:r>
              <w:t>Persentase kelulusan tepat waktu</w:t>
            </w:r>
          </w:p>
        </w:tc>
        <w:tc>
          <w:tcPr>
            <w:tcW w:type="dxa" w:w="1728"/>
          </w:tcPr>
          <w:p>
            <w:r>
              <w:t>55%</w:t>
            </w:r>
          </w:p>
        </w:tc>
        <w:tc>
          <w:tcPr>
            <w:tcW w:type="dxa" w:w="1728"/>
          </w:tcPr>
          <w:p>
            <w:r>
              <w:t>58%</w:t>
            </w:r>
          </w:p>
        </w:tc>
        <w:tc>
          <w:tcPr>
            <w:tcW w:type="dxa" w:w="1728"/>
          </w:tcPr>
          <w:p>
            <w:r>
              <w:t>60%</w:t>
            </w:r>
          </w:p>
        </w:tc>
      </w:tr>
      <w:tr>
        <w:tc>
          <w:tcPr>
            <w:tcW w:type="dxa" w:w="1728"/>
          </w:tcPr>
          <w:p>
            <w:r>
              <w:t>3</w:t>
            </w:r>
          </w:p>
        </w:tc>
        <w:tc>
          <w:tcPr>
            <w:tcW w:type="dxa" w:w="1728"/>
          </w:tcPr>
          <w:p>
            <w:r>
              <w:t>Rata-rata lama studi lulusan</w:t>
            </w:r>
          </w:p>
        </w:tc>
        <w:tc>
          <w:tcPr>
            <w:tcW w:type="dxa" w:w="1728"/>
          </w:tcPr>
          <w:p>
            <w:r>
              <w:t>≤4,5 tahun</w:t>
            </w:r>
          </w:p>
        </w:tc>
        <w:tc>
          <w:tcPr>
            <w:tcW w:type="dxa" w:w="1728"/>
          </w:tcPr>
          <w:p>
            <w:r>
              <w:t>≤4,3 tahun</w:t>
            </w:r>
          </w:p>
        </w:tc>
        <w:tc>
          <w:tcPr>
            <w:tcW w:type="dxa" w:w="1728"/>
          </w:tcPr>
          <w:p>
            <w:r>
              <w:t>≤4,2 tahun</w:t>
            </w:r>
          </w:p>
        </w:tc>
      </w:tr>
      <w:tr>
        <w:tc>
          <w:tcPr>
            <w:tcW w:type="dxa" w:w="1728"/>
          </w:tcPr>
          <w:p>
            <w:r>
              <w:t>4</w:t>
            </w:r>
          </w:p>
        </w:tc>
        <w:tc>
          <w:tcPr>
            <w:tcW w:type="dxa" w:w="1728"/>
          </w:tcPr>
          <w:p>
            <w:r>
              <w:t>Rata-rata IPK lulusan</w:t>
            </w:r>
          </w:p>
        </w:tc>
        <w:tc>
          <w:tcPr>
            <w:tcW w:type="dxa" w:w="1728"/>
          </w:tcPr>
          <w:p>
            <w:r>
              <w:t>3,25</w:t>
            </w:r>
          </w:p>
        </w:tc>
        <w:tc>
          <w:tcPr>
            <w:tcW w:type="dxa" w:w="1728"/>
          </w:tcPr>
          <w:p>
            <w:r>
              <w:t>3,30</w:t>
            </w:r>
          </w:p>
        </w:tc>
        <w:tc>
          <w:tcPr>
            <w:tcW w:type="dxa" w:w="1728"/>
          </w:tcPr>
          <w:p>
            <w:r>
              <w:t>3,40</w:t>
            </w:r>
          </w:p>
        </w:tc>
      </w:tr>
      <w:tr>
        <w:tc>
          <w:tcPr>
            <w:tcW w:type="dxa" w:w="1728"/>
          </w:tcPr>
          <w:p>
            <w:r>
              <w:t>5</w:t>
            </w:r>
          </w:p>
        </w:tc>
        <w:tc>
          <w:tcPr>
            <w:tcW w:type="dxa" w:w="1728"/>
          </w:tcPr>
          <w:p>
            <w:r>
              <w:t>Rata-rata waktu tunggu kerja/berwirausaha</w:t>
            </w:r>
          </w:p>
        </w:tc>
        <w:tc>
          <w:tcPr>
            <w:tcW w:type="dxa" w:w="1728"/>
          </w:tcPr>
          <w:p>
            <w:r>
              <w:t>≤3 bulan</w:t>
            </w:r>
          </w:p>
        </w:tc>
        <w:tc>
          <w:tcPr>
            <w:tcW w:type="dxa" w:w="1728"/>
          </w:tcPr>
          <w:p>
            <w:r>
              <w:t>≤3 bulan</w:t>
            </w:r>
          </w:p>
        </w:tc>
        <w:tc>
          <w:tcPr>
            <w:tcW w:type="dxa" w:w="1728"/>
          </w:tcPr>
          <w:p>
            <w:r>
              <w:t>≤3 bulan</w:t>
            </w:r>
          </w:p>
        </w:tc>
      </w:tr>
      <w:tr>
        <w:tc>
          <w:tcPr>
            <w:tcW w:type="dxa" w:w="1728"/>
          </w:tcPr>
          <w:p>
            <w:r>
              <w:t>6</w:t>
            </w:r>
          </w:p>
        </w:tc>
        <w:tc>
          <w:tcPr>
            <w:tcW w:type="dxa" w:w="1728"/>
          </w:tcPr>
          <w:p>
            <w:r>
              <w:t>Kesesuaian bidang kerja lulusan (PBS)</w:t>
            </w:r>
          </w:p>
        </w:tc>
        <w:tc>
          <w:tcPr>
            <w:tcW w:type="dxa" w:w="1728"/>
          </w:tcPr>
          <w:p>
            <w:r>
              <w:t>55%</w:t>
            </w:r>
          </w:p>
        </w:tc>
        <w:tc>
          <w:tcPr>
            <w:tcW w:type="dxa" w:w="1728"/>
          </w:tcPr>
          <w:p>
            <w:r>
              <w:t>58%</w:t>
            </w:r>
          </w:p>
        </w:tc>
        <w:tc>
          <w:tcPr>
            <w:tcW w:type="dxa" w:w="1728"/>
          </w:tcPr>
          <w:p>
            <w:r>
              <w:t>60%</w:t>
            </w:r>
          </w:p>
        </w:tc>
      </w:tr>
      <w:tr>
        <w:tc>
          <w:tcPr>
            <w:tcW w:type="dxa" w:w="1728"/>
          </w:tcPr>
          <w:p>
            <w:r>
              <w:t>7</w:t>
            </w:r>
          </w:p>
        </w:tc>
        <w:tc>
          <w:tcPr>
            <w:tcW w:type="dxa" w:w="1728"/>
          </w:tcPr>
          <w:p>
            <w:r>
              <w:t>Tingkat kepuasan pengguna lulusan (sangat baik+baik, 7 aspek)</w:t>
            </w:r>
          </w:p>
        </w:tc>
        <w:tc>
          <w:tcPr>
            <w:tcW w:type="dxa" w:w="1728"/>
          </w:tcPr>
          <w:p>
            <w:r>
              <w:t>80%</w:t>
            </w:r>
          </w:p>
        </w:tc>
        <w:tc>
          <w:tcPr>
            <w:tcW w:type="dxa" w:w="1728"/>
          </w:tcPr>
          <w:p>
            <w:r>
              <w:t>82%</w:t>
            </w:r>
          </w:p>
        </w:tc>
        <w:tc>
          <w:tcPr>
            <w:tcW w:type="dxa" w:w="1728"/>
          </w:tcPr>
          <w:p>
            <w:r>
              <w:t>85%</w:t>
            </w:r>
          </w:p>
        </w:tc>
      </w:tr>
    </w:tbl>
    <w:p>
      <w:r>
        <w:t>Indikator Kinerja Tambahan (IKT):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Indikator Kinerja Tambahan (IKT)</w:t>
            </w:r>
          </w:p>
        </w:tc>
        <w:tc>
          <w:tcPr>
            <w:tcW w:type="dxa" w:w="1728"/>
          </w:tcPr>
          <w:p>
            <w:r>
              <w:t>2024/2025</w:t>
            </w:r>
          </w:p>
        </w:tc>
        <w:tc>
          <w:tcPr>
            <w:tcW w:type="dxa" w:w="1728"/>
          </w:tcPr>
          <w:p>
            <w:r>
              <w:t>2025/2026</w:t>
            </w:r>
          </w:p>
        </w:tc>
        <w:tc>
          <w:tcPr>
            <w:tcW w:type="dxa" w:w="1728"/>
          </w:tcPr>
          <w:p>
            <w:r>
              <w:t>2026/2027</w:t>
            </w:r>
          </w:p>
        </w:tc>
      </w:tr>
      <w:tr>
        <w:tc>
          <w:tcPr>
            <w:tcW w:type="dxa" w:w="1728"/>
          </w:tcPr>
          <w:p>
            <w:r>
              <w:t>1</w:t>
            </w:r>
          </w:p>
        </w:tc>
        <w:tc>
          <w:tcPr>
            <w:tcW w:type="dxa" w:w="1728"/>
          </w:tcPr>
          <w:p>
            <w:r>
              <w:t>Persentase lulusan bekerja badan usaha internasional/multinasional</w:t>
            </w:r>
          </w:p>
        </w:tc>
        <w:tc>
          <w:tcPr>
            <w:tcW w:type="dxa" w:w="1728"/>
          </w:tcPr>
          <w:p>
            <w:r>
              <w:t>3%</w:t>
            </w:r>
          </w:p>
        </w:tc>
        <w:tc>
          <w:tcPr>
            <w:tcW w:type="dxa" w:w="1728"/>
          </w:tcPr>
          <w:p>
            <w:r>
              <w:t>4%</w:t>
            </w:r>
          </w:p>
        </w:tc>
        <w:tc>
          <w:tcPr>
            <w:tcW w:type="dxa" w:w="1728"/>
          </w:tcPr>
          <w:p>
            <w:r>
              <w:t>5%</w:t>
            </w:r>
          </w:p>
        </w:tc>
      </w:tr>
      <w:tr>
        <w:tc>
          <w:tcPr>
            <w:tcW w:type="dxa" w:w="1728"/>
          </w:tcPr>
          <w:p>
            <w:r>
              <w:t>2</w:t>
            </w:r>
          </w:p>
        </w:tc>
        <w:tc>
          <w:tcPr>
            <w:tcW w:type="dxa" w:w="1728"/>
          </w:tcPr>
          <w:p>
            <w:r>
              <w:t>Persentase lulusan bekerja nasional/berwirausaha berizin</w:t>
            </w:r>
          </w:p>
        </w:tc>
        <w:tc>
          <w:tcPr>
            <w:tcW w:type="dxa" w:w="1728"/>
          </w:tcPr>
          <w:p>
            <w:r>
              <w:t>15%</w:t>
            </w:r>
          </w:p>
        </w:tc>
        <w:tc>
          <w:tcPr>
            <w:tcW w:type="dxa" w:w="1728"/>
          </w:tcPr>
          <w:p>
            <w:r>
              <w:t>18%</w:t>
            </w:r>
          </w:p>
        </w:tc>
        <w:tc>
          <w:tcPr>
            <w:tcW w:type="dxa" w:w="1728"/>
          </w:tcPr>
          <w:p>
            <w:r>
              <w:t>20%</w:t>
            </w:r>
          </w:p>
        </w:tc>
      </w:tr>
      <w:tr>
        <w:tc>
          <w:tcPr>
            <w:tcW w:type="dxa" w:w="1728"/>
          </w:tcPr>
          <w:p>
            <w:r>
              <w:t>3</w:t>
            </w:r>
          </w:p>
        </w:tc>
        <w:tc>
          <w:tcPr>
            <w:tcW w:type="dxa" w:w="1728"/>
          </w:tcPr>
          <w:p>
            <w:r>
              <w:t>Persentase lulusan memperoleh sertifikasi kompetensi</w:t>
            </w:r>
          </w:p>
        </w:tc>
        <w:tc>
          <w:tcPr>
            <w:tcW w:type="dxa" w:w="1728"/>
          </w:tcPr>
          <w:p>
            <w:r>
              <w:t>40%</w:t>
            </w:r>
          </w:p>
        </w:tc>
        <w:tc>
          <w:tcPr>
            <w:tcW w:type="dxa" w:w="1728"/>
          </w:tcPr>
          <w:p>
            <w:r>
              <w:t>45%</w:t>
            </w:r>
          </w:p>
        </w:tc>
        <w:tc>
          <w:tcPr>
            <w:tcW w:type="dxa" w:w="1728"/>
          </w:tcPr>
          <w:p>
            <w:r>
              <w:t>50%</w:t>
            </w:r>
          </w:p>
        </w:tc>
      </w:tr>
      <w:tr>
        <w:tc>
          <w:tcPr>
            <w:tcW w:type="dxa" w:w="1728"/>
          </w:tcPr>
          <w:p>
            <w:r>
              <w:t>4</w:t>
            </w:r>
          </w:p>
        </w:tc>
        <w:tc>
          <w:tcPr>
            <w:tcW w:type="dxa" w:w="1728"/>
          </w:tcPr>
          <w:p>
            <w:r>
              <w:t>Prestasi mahasiswa tingkat internasional (rasio terhadap jumlah mahasiswa)</w:t>
            </w:r>
          </w:p>
        </w:tc>
        <w:tc>
          <w:tcPr>
            <w:tcW w:type="dxa" w:w="1728"/>
          </w:tcPr>
          <w:p>
            <w:r>
              <w:t>0,1%</w:t>
            </w:r>
          </w:p>
        </w:tc>
        <w:tc>
          <w:tcPr>
            <w:tcW w:type="dxa" w:w="1728"/>
          </w:tcPr>
          <w:p>
            <w:r>
              <w:t>0,15%</w:t>
            </w:r>
          </w:p>
        </w:tc>
        <w:tc>
          <w:tcPr>
            <w:tcW w:type="dxa" w:w="1728"/>
          </w:tcPr>
          <w:p>
            <w:r>
              <w:t>0,2%</w:t>
            </w:r>
          </w:p>
        </w:tc>
      </w:tr>
      <w:tr>
        <w:tc>
          <w:tcPr>
            <w:tcW w:type="dxa" w:w="1728"/>
          </w:tcPr>
          <w:p>
            <w:r>
              <w:t>5</w:t>
            </w:r>
          </w:p>
        </w:tc>
        <w:tc>
          <w:tcPr>
            <w:tcW w:type="dxa" w:w="1728"/>
          </w:tcPr>
          <w:p>
            <w:r>
              <w:t>Prestasi mahasiswa tingkat nasional</w:t>
            </w:r>
          </w:p>
        </w:tc>
        <w:tc>
          <w:tcPr>
            <w:tcW w:type="dxa" w:w="1728"/>
          </w:tcPr>
          <w:p>
            <w:r>
              <w:t>1,5%</w:t>
            </w:r>
          </w:p>
        </w:tc>
        <w:tc>
          <w:tcPr>
            <w:tcW w:type="dxa" w:w="1728"/>
          </w:tcPr>
          <w:p>
            <w:r>
              <w:t>1,8%</w:t>
            </w:r>
          </w:p>
        </w:tc>
        <w:tc>
          <w:tcPr>
            <w:tcW w:type="dxa" w:w="1728"/>
          </w:tcPr>
          <w:p>
            <w:r>
              <w:t>2%</w:t>
            </w:r>
          </w:p>
        </w:tc>
      </w:tr>
      <w:tr>
        <w:tc>
          <w:tcPr>
            <w:tcW w:type="dxa" w:w="1728"/>
          </w:tcPr>
          <w:p>
            <w:r>
              <w:t>*6</w:t>
            </w:r>
          </w:p>
        </w:tc>
        <w:tc>
          <w:tcPr>
            <w:tcW w:type="dxa" w:w="1728"/>
          </w:tcPr>
          <w:p>
            <w:r>
              <w:t>Pelaksanaan tracer study (5 aspek terpenuhi)</w:t>
            </w:r>
          </w:p>
        </w:tc>
        <w:tc>
          <w:tcPr>
            <w:tcW w:type="dxa" w:w="1728"/>
          </w:tcPr>
          <w:p>
            <w:r>
              <w:t>Terlaksana</w:t>
            </w:r>
          </w:p>
        </w:tc>
        <w:tc>
          <w:tcPr>
            <w:tcW w:type="dxa" w:w="1728"/>
          </w:tcPr>
          <w:p>
            <w:r>
              <w:t>Terlaksana</w:t>
            </w:r>
          </w:p>
        </w:tc>
        <w:tc>
          <w:tcPr>
            <w:tcW w:type="dxa" w:w="1728"/>
          </w:tcPr>
          <w:p>
            <w:r>
              <w:t>Terlaksana</w:t>
            </w:r>
          </w:p>
        </w:tc>
      </w:tr>
    </w:tbl>
    <w:p>
      <w:pPr/>
      <w:r>
        <w:rPr>
          <w:b/>
        </w:rPr>
        <w:t>5. STRATEGI PENCAPAIAN</w:t>
      </w:r>
    </w:p>
    <w:p>
      <w:pPr>
        <w:pStyle w:val="ListNumber"/>
      </w:pPr>
      <w:r>
        <w:t>Ketua Program Studi menyusun dan memutakhirkan profil lulusan dan CPL berbasis OBE, ditinjau bersamaan siklus kurikulum.</w:t>
      </w:r>
    </w:p>
    <w:p>
      <w:pPr>
        <w:pStyle w:val="ListNumber"/>
      </w:pPr>
      <w:r>
        <w:t>GKM Program Studi memverifikasi pemetaan CPL-CPMK setiap semester dan melaporkan ketercapaiannya.</w:t>
      </w:r>
    </w:p>
    <w:p>
      <w:pPr>
        <w:pStyle w:val="ListNumber"/>
      </w:pPr>
      <w:r>
        <w:t>Dosen Pembimbing Akademik memantau progres studi mahasiswa secara berkala untuk mendorong kelulusan tepat waktu.</w:t>
      </w:r>
    </w:p>
    <w:p>
      <w:pPr>
        <w:pStyle w:val="ListNumber"/>
      </w:pPr>
      <w:r>
        <w:t>Program Studi memfasilitasi sertifikasi kompetensi mahasiswa (Ahli K3, Lean Six Sigma) melalui kerja sama lembaga sertifikasi dan industri.</w:t>
      </w:r>
    </w:p>
    <w:p>
      <w:pPr>
        <w:pStyle w:val="ListNumber"/>
      </w:pPr>
      <w:r>
        <w:t>Unit Karier dan Alumni melaksanakan tracer study tahunan dan menyosialisasikan hasilnya untuk pengembangan kurikulum.</w:t>
      </w:r>
    </w:p>
    <w:p>
      <w:pPr>
        <w:pStyle w:val="ListNumber"/>
      </w:pPr>
      <w:r>
        <w:t>Program Studi menjalin kerja sama dengan DUDIKA manufaktur/logistik untuk penempatan kerja dan kesesuaian bidang kerja lulusan.</w:t>
      </w:r>
    </w:p>
    <w:p>
      <w:pPr/>
      <w:r>
        <w:rPr>
          <w:b/>
        </w:rPr>
        <w:t>6. MEKANISME EVALUASI</w:t>
      </w:r>
    </w:p>
    <w:p>
      <w:r>
        <w:t>Evaluasi ketercapaian CPL dan kelulusan tepat waktu dilakukan oleh Ketua Program Studi setiap semester berdasarkan data akademik.</w:t>
      </w:r>
    </w:p>
    <w:p>
      <w:r>
        <w:t>Hasil tracer study dan survei kepuasan pengguna lulusan dievaluasi setiap tahun dalam Rapat Tinjauan Manajemen (RTM) tingkat program studi.</w:t>
      </w:r>
    </w:p>
    <w:p>
      <w:r>
        <w:t>Audit Mutu Internal (AMI) atas Standar Luaran Pendidikan dilaksanakan paling sedikit 1 kali setiap tahun akademik oleh UJM Fakultas.</w:t>
      </w:r>
    </w:p>
    <w:p>
      <w:pPr/>
      <w:r>
        <w:rPr>
          <w:b/>
        </w:rPr>
        <w:t>7. DOKUMEN / BUKTI PENDUKUNG</w:t>
      </w:r>
    </w:p>
    <w:p>
      <w:pPr>
        <w:pStyle w:val="ListNumber"/>
      </w:pPr>
      <w:r>
        <w:t>Keputusan Ketua Program Studi tentang penetapan Standar Luaran Pendidikan Program Studi Teknik Industri.</w:t>
      </w:r>
    </w:p>
    <w:p>
      <w:pPr>
        <w:pStyle w:val="ListNumber"/>
      </w:pPr>
      <w:r>
        <w:t>Dokumen profil lulusan, CPL, CPMK, dan pemetaan CPL-CPMK.</w:t>
      </w:r>
    </w:p>
    <w:p>
      <w:pPr>
        <w:pStyle w:val="ListNumber"/>
      </w:pPr>
      <w:r>
        <w:t>Data akademik: IPK, lama studi, kelulusan tepat waktu per angkatan.</w:t>
      </w:r>
    </w:p>
    <w:p>
      <w:pPr>
        <w:pStyle w:val="ListNumber"/>
      </w:pPr>
      <w:r>
        <w:t>Laporan tracer study dan survei kepuasan pengguna lulusan.</w:t>
      </w:r>
    </w:p>
    <w:p>
      <w:pPr>
        <w:pStyle w:val="ListNumber"/>
      </w:pPr>
      <w:r>
        <w:t>Dokumen sertifikasi kompetensi lulusan dan bukti prestasi mahasiswa.</w:t>
      </w:r>
    </w:p>
    <w:p>
      <w:pPr>
        <w:pStyle w:val="ListNumber"/>
      </w:pPr>
      <w:r>
        <w:t>Laporan AMI dan berita acara RTM atas Standar Luaran Pendidikan.</w:t>
      </w:r>
    </w:p>
    <w:p>
      <w:pPr/>
      <w:r>
        <w:rPr>
          <w:b/>
        </w:rPr>
        <w:t>REFERENSI</w:t>
      </w:r>
    </w:p>
    <w:p>
      <w:pPr>
        <w:pStyle w:val="ListNumber"/>
      </w:pPr>
      <w:r>
        <w:t>Undang-Undang Republik Indonesia Nomor 12 Tahun 2012 tentang Pendidikan Tinggi.</w:t>
      </w:r>
    </w:p>
    <w:p>
      <w:pPr>
        <w:pStyle w:val="ListNumber"/>
      </w:pPr>
      <w:r>
        <w:t>Peraturan Pemerintah Republik Indonesia Nomor 4 Tahun 2014 tentang Penyelenggaraan Pendidikan Tinggi dan Pengelolaan Perguruan Tinggi.</w:t>
      </w:r>
    </w:p>
    <w:p>
      <w:pPr>
        <w:pStyle w:val="ListNumber"/>
      </w:pPr>
      <w:r>
        <w:t>Peraturan Menteri Pendidikan, Kebudayaan, Riset, dan Teknologi Republik Indonesia Nomor 53 Tahun 2023 tentang Penjaminan Mutu Pendidikan Tinggi.</w:t>
      </w:r>
    </w:p>
    <w:p>
      <w:pPr>
        <w:pStyle w:val="ListNumber"/>
      </w:pPr>
      <w:r>
        <w:t>Matriks Penilaian LED-LKPS Sarjana APS Akademik dan Vokasi Teknik 2025, Lembaga Akreditasi Mandiri Teknik (LAM Teknik).</w:t>
      </w:r>
    </w:p>
    <w:p>
      <w:pPr>
        <w:pStyle w:val="ListNumber"/>
      </w:pPr>
      <w:r>
        <w:t>Pedoman Penyusunan Laporan Evaluasi Diri (LEDPS), Lampiran 2 Peraturan LAM Teknik Nomor 5 Tahun 2025.</w:t>
      </w:r>
    </w:p>
    <w:p>
      <w:pPr>
        <w:pStyle w:val="ListNumber"/>
      </w:pPr>
      <w:r>
        <w:t>Rencana Strategis (Renstra) Fakultas Teknologi Informasi dan Industri (FTII) UNISBANK Tahun 2024-2027.</w:t>
      </w:r>
    </w:p>
    <w:p>
      <w:pPr>
        <w:pStyle w:val="ListNumber"/>
      </w:pPr>
      <w:r>
        <w:t>Standar VMTS Program Studi Teknik Industri (Standar_VMTS_ProgramStudi_TeknikIndustri.docx).</w:t>
      </w:r>
    </w:p>
    <w:p>
      <w:pPr>
        <w:pStyle w:val="ListNumber"/>
      </w:pPr>
      <w:r>
        <w:t>Standar Penjaminan Mutu Internal FTII versi Unggul (Standar_Penjaminan_Mutu_Internal_Unggul_FTII.docx).</w:t>
      </w:r>
    </w:p>
    <w:p>
      <w:r>
        <w:t>Disusun di Semarang pada tanggal 2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