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UNIVERSITAS STIKUBANK (UNISBANK) SEMARANG</w:t>
      </w:r>
    </w:p>
    <w:p>
      <w:r>
        <w:t>STANDAR LUARAN PENELITIAN</w:t>
      </w:r>
    </w:p>
    <w:p>
      <w:r>
        <w:t>PROGRAM STUDI TEKNIK INDUSTRI</w:t>
      </w:r>
    </w:p>
    <w:p>
      <w:r>
        <w:t>FAKULTAS TEKNOLOGI INFORMASI DAN INDUSTRI (FTII)</w:t>
      </w:r>
    </w:p>
    <w:p>
      <w:r>
        <w:t>Disusun untuk memenuhi ambang kriteria status Terakreditasi Unggul LAM TEKNIK (APS-AV 2025 1.0), sebagai turunan Standar Standar Luaran Penelitian FTII versi Unggul, dengan indikator standar yang terukur dan disesuaikan pada skala Program Studi Teknik Industri</w:t>
      </w:r>
    </w:p>
    <w:p>
      <w:pPr/>
      <w:r>
        <w:rPr>
          <w:b/>
        </w:rPr>
        <w:t>1. RASIONAL</w:t>
      </w:r>
    </w:p>
    <w:p>
      <w:r>
        <w:t>Program Studi Teknik Industri FTII UNISBANK menetapkan Standar Luaran Penelitian, diturunkan dari Standar Luaran Penelitian FTII versi Unggul (standarluaranpenelitianunggul.docx) dan dipersempit pada skala program studi, memastikan setiap penelitian dosen dan mahasiswa bidang rekayasa dan manajemen sistem industri menghasilkan luaran bermutu, terdokumentasi, dan berkontribusi pada pengembangan ilmu, industri, dan masyarakat.</w:t>
      </w:r>
    </w:p>
    <w:p>
      <w:r>
        <w:t>Standar ini dirancang agar setiap indikator kinerjanya memenuhi atau melampaui ambang skor tertinggi (skor 4) Matriks Penilaian LED-LKPS LAM Teknik APS-AV 2025 1.0, mencakup rasio luaran penelitian (paten, teknologi tepat guna, buku ber-ISBN, HKI) per Dosen Tetap Program Studi (DTPS).</w:t>
      </w:r>
    </w:p>
    <w:p>
      <w:pPr/>
      <w:r>
        <w:rPr>
          <w:b/>
        </w:rPr>
        <w:t>2. PIHAK YANG BERTANGGUNG JAWAB</w:t>
      </w:r>
    </w:p>
    <w:p>
      <w:pPr>
        <w:pStyle w:val="ListNumber"/>
      </w:pPr>
      <w:r>
        <w:t>Direktorat Penelitian, Pengabdian kepada Masyarakat dan Publikasi (DPPMP), dalam pemantauan ketercapaian luaran penelitian tingkat fakultas.</w:t>
      </w:r>
    </w:p>
    <w:p>
      <w:pPr>
        <w:pStyle w:val="ListNumber"/>
      </w:pPr>
      <w:r>
        <w:t>Ketua Program Studi Teknik Industri, dalam verifikasi dan pelaporan luaran penelitian dosen program studi.</w:t>
      </w:r>
    </w:p>
    <w:p>
      <w:pPr>
        <w:pStyle w:val="ListNumber"/>
      </w:pPr>
      <w:r>
        <w:t>Gugus Kendali Mutu (GKM) Program Studi, dalam validasi dokumentasi luaran penelitian setiap tahun.</w:t>
      </w:r>
    </w:p>
    <w:p>
      <w:pPr/>
      <w:r>
        <w:rPr>
          <w:b/>
        </w:rPr>
        <w:t>3. PERNYATAAN STANDAR</w:t>
      </w:r>
    </w:p>
    <w:p>
      <w:pPr>
        <w:pStyle w:val="ListNumber"/>
      </w:pPr>
      <w:r>
        <w:t>Setiap penelitian yang didanai wajib menghasilkan luaran penelitian terdokumentasi, dengan persentase publikasi hasil penelitian terhadap jumlah penelitian yang didanai paling sedikit 100%.</w:t>
      </w:r>
    </w:p>
    <w:p>
      <w:pPr>
        <w:pStyle w:val="ListNumber"/>
      </w:pPr>
      <w:r>
        <w:t>Rata-rata jumlah publikasi ilmiah per dosen per tahun wajib meningkat secara bertahap menuju paling sedikit 1 publikasi per dosen per tahun.</w:t>
      </w:r>
    </w:p>
    <w:p>
      <w:pPr>
        <w:pStyle w:val="ListNumber"/>
      </w:pPr>
      <w:r>
        <w:t>Persentase publikasi ilmiah yang melibatkan mahasiswa sebagai co-author paling sedikit 70%, meningkat menuju paling sedikit 80%.</w:t>
      </w:r>
    </w:p>
    <w:p>
      <w:pPr>
        <w:pStyle w:val="ListNumber"/>
      </w:pPr>
      <w:r>
        <w:t>Persentase publikasi pada jurnal internasional (seluruh jenis) terhadap jumlah penelitian yang didanai paling sedikit 15%, dan pada jurnal internasional bereputasi paling sedikit 8%.</w:t>
      </w:r>
    </w:p>
    <w:p>
      <w:pPr>
        <w:pStyle w:val="ListNumber"/>
      </w:pPr>
      <w:r>
        <w:t>Persentase publikasi pada jurnal nasional terakreditasi terhadap jumlah penelitian yang didanai paling sedikit 25%.</w:t>
      </w:r>
    </w:p>
    <w:p>
      <w:pPr>
        <w:pStyle w:val="ListNumber"/>
      </w:pPr>
      <w:r>
        <w:t>Jumlah luaran penelitian memperoleh HKI Paten/Paten Sederhana paling sedikit 1 per tahun, dan HKI Non-Paten (Hak Cipta, Desain Industri) paling sedikit 4 per tahun, keduanya meningkat bertahap.</w:t>
      </w:r>
    </w:p>
    <w:p>
      <w:pPr>
        <w:pStyle w:val="ListNumber"/>
      </w:pPr>
      <w:r>
        <w:t>Program Studi Teknik Industri wajib memiliki indikator luaran berupa buku ber-ISBN atau book chapter, dengan target persentase terhadap jumlah penelitian yang didanai meningkat menuju paling sedikit 20%.</w:t>
      </w:r>
    </w:p>
    <w:p>
      <w:pPr>
        <w:pStyle w:val="ListNumber"/>
      </w:pPr>
      <w:r>
        <w:t>Luaran penelitian wajib mendukung pengembangan teknologi/inovasi manufaktur, rantai pasok, dan ergonomi, serta berkontribusi pada peningkatan kualitas pembelajaran dan pengabdian kepada masyarakat.</w:t>
      </w:r>
    </w:p>
    <w:p>
      <w:pPr>
        <w:pStyle w:val="ListNumber"/>
      </w:pPr>
      <w:r>
        <w:t>Program Studi Teknik Industri wajib memfasilitasi dosen dan mahasiswa memperoleh insentif dan penghargaan atas luaran penelitian yang dihasilkan.</w:t>
      </w:r>
    </w:p>
    <w:p>
      <w:pPr>
        <w:pStyle w:val="ListNumber"/>
      </w:pPr>
      <w:r>
        <w:t>*Program Studi Teknik Industri wajib menjamin persentase hasil penelitian yang dibiayai pemerintah/sumber pendanaan wajib akses terbuka dipublikasikan secara open access paling sedikit 75%, meningkat menuju paling sedikit 90%.</w:t>
      </w:r>
    </w:p>
    <w:p>
      <w:pPr/>
      <w:r>
        <w:rPr>
          <w:b/>
        </w:rPr>
        <w:t>4. INDIKATOR KINERJA (IKU/IKT)</w:t>
      </w:r>
    </w:p>
    <w:p>
      <w:r>
        <w:t>Indikator Kinerja Utama (IKU):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Indikator Kinerja Utama (IKU)</w:t>
            </w:r>
          </w:p>
        </w:tc>
        <w:tc>
          <w:tcPr>
            <w:tcW w:type="dxa" w:w="1728"/>
          </w:tcPr>
          <w:p>
            <w:r>
              <w:t>2024/2025</w:t>
            </w:r>
          </w:p>
        </w:tc>
        <w:tc>
          <w:tcPr>
            <w:tcW w:type="dxa" w:w="1728"/>
          </w:tcPr>
          <w:p>
            <w:r>
              <w:t>2025/2026</w:t>
            </w:r>
          </w:p>
        </w:tc>
        <w:tc>
          <w:tcPr>
            <w:tcW w:type="dxa" w:w="1728"/>
          </w:tcPr>
          <w:p>
            <w:r>
              <w:t>2026/2027</w:t>
            </w:r>
          </w:p>
        </w:tc>
      </w:tr>
      <w:tr>
        <w:tc>
          <w:tcPr>
            <w:tcW w:type="dxa" w:w="1728"/>
          </w:tcPr>
          <w:p>
            <w:r>
              <w:t>1</w:t>
            </w:r>
          </w:p>
        </w:tc>
        <w:tc>
          <w:tcPr>
            <w:tcW w:type="dxa" w:w="1728"/>
          </w:tcPr>
          <w:p>
            <w:r>
              <w:t>Persentase publikasi hasil penelitian terhadap penelitian yang didanai</w:t>
            </w:r>
          </w:p>
        </w:tc>
        <w:tc>
          <w:tcPr>
            <w:tcW w:type="dxa" w:w="1728"/>
          </w:tcPr>
          <w:p>
            <w:r>
              <w:t>100%</w:t>
            </w:r>
          </w:p>
        </w:tc>
        <w:tc>
          <w:tcPr>
            <w:tcW w:type="dxa" w:w="1728"/>
          </w:tcPr>
          <w:p>
            <w:r>
              <w:t>100%</w:t>
            </w:r>
          </w:p>
        </w:tc>
        <w:tc>
          <w:tcPr>
            <w:tcW w:type="dxa" w:w="1728"/>
          </w:tcPr>
          <w:p>
            <w:r>
              <w:t>100%</w:t>
            </w:r>
          </w:p>
        </w:tc>
      </w:tr>
      <w:tr>
        <w:tc>
          <w:tcPr>
            <w:tcW w:type="dxa" w:w="1728"/>
          </w:tcPr>
          <w:p>
            <w:r>
              <w:t>2</w:t>
            </w:r>
          </w:p>
        </w:tc>
        <w:tc>
          <w:tcPr>
            <w:tcW w:type="dxa" w:w="1728"/>
          </w:tcPr>
          <w:p>
            <w:r>
              <w:t>Rata-rata jumlah publikasi ilmiah per dosen per tahun</w:t>
            </w:r>
          </w:p>
        </w:tc>
        <w:tc>
          <w:tcPr>
            <w:tcW w:type="dxa" w:w="1728"/>
          </w:tcPr>
          <w:p>
            <w:r>
              <w:t>0,7</w:t>
            </w:r>
          </w:p>
        </w:tc>
        <w:tc>
          <w:tcPr>
            <w:tcW w:type="dxa" w:w="1728"/>
          </w:tcPr>
          <w:p>
            <w:r>
              <w:t>0,85</w:t>
            </w:r>
          </w:p>
        </w:tc>
        <w:tc>
          <w:tcPr>
            <w:tcW w:type="dxa" w:w="1728"/>
          </w:tcPr>
          <w:p>
            <w:r>
              <w:t>1</w:t>
            </w:r>
          </w:p>
        </w:tc>
      </w:tr>
      <w:tr>
        <w:tc>
          <w:tcPr>
            <w:tcW w:type="dxa" w:w="1728"/>
          </w:tcPr>
          <w:p>
            <w:r>
              <w:t>3</w:t>
            </w:r>
          </w:p>
        </w:tc>
        <w:tc>
          <w:tcPr>
            <w:tcW w:type="dxa" w:w="1728"/>
          </w:tcPr>
          <w:p>
            <w:r>
              <w:t>Persentase publikasi jurnal internasional (seluruh jenis)</w:t>
            </w:r>
          </w:p>
        </w:tc>
        <w:tc>
          <w:tcPr>
            <w:tcW w:type="dxa" w:w="1728"/>
          </w:tcPr>
          <w:p>
            <w:r>
              <w:t>15%</w:t>
            </w:r>
          </w:p>
        </w:tc>
        <w:tc>
          <w:tcPr>
            <w:tcW w:type="dxa" w:w="1728"/>
          </w:tcPr>
          <w:p>
            <w:r>
              <w:t>18%</w:t>
            </w:r>
          </w:p>
        </w:tc>
        <w:tc>
          <w:tcPr>
            <w:tcW w:type="dxa" w:w="1728"/>
          </w:tcPr>
          <w:p>
            <w:r>
              <w:t>20%</w:t>
            </w:r>
          </w:p>
        </w:tc>
      </w:tr>
      <w:tr>
        <w:tc>
          <w:tcPr>
            <w:tcW w:type="dxa" w:w="1728"/>
          </w:tcPr>
          <w:p>
            <w:r>
              <w:t>4</w:t>
            </w:r>
          </w:p>
        </w:tc>
        <w:tc>
          <w:tcPr>
            <w:tcW w:type="dxa" w:w="1728"/>
          </w:tcPr>
          <w:p>
            <w:r>
              <w:t>Persentase publikasi jurnal internasional bereputasi</w:t>
            </w:r>
          </w:p>
        </w:tc>
        <w:tc>
          <w:tcPr>
            <w:tcW w:type="dxa" w:w="1728"/>
          </w:tcPr>
          <w:p>
            <w:r>
              <w:t>8%</w:t>
            </w:r>
          </w:p>
        </w:tc>
        <w:tc>
          <w:tcPr>
            <w:tcW w:type="dxa" w:w="1728"/>
          </w:tcPr>
          <w:p>
            <w:r>
              <w:t>9%</w:t>
            </w:r>
          </w:p>
        </w:tc>
        <w:tc>
          <w:tcPr>
            <w:tcW w:type="dxa" w:w="1728"/>
          </w:tcPr>
          <w:p>
            <w:r>
              <w:t>10%</w:t>
            </w:r>
          </w:p>
        </w:tc>
      </w:tr>
      <w:tr>
        <w:tc>
          <w:tcPr>
            <w:tcW w:type="dxa" w:w="1728"/>
          </w:tcPr>
          <w:p>
            <w:r>
              <w:t>5</w:t>
            </w:r>
          </w:p>
        </w:tc>
        <w:tc>
          <w:tcPr>
            <w:tcW w:type="dxa" w:w="1728"/>
          </w:tcPr>
          <w:p>
            <w:r>
              <w:t>Persentase publikasi jurnal nasional terakreditasi</w:t>
            </w:r>
          </w:p>
        </w:tc>
        <w:tc>
          <w:tcPr>
            <w:tcW w:type="dxa" w:w="1728"/>
          </w:tcPr>
          <w:p>
            <w:r>
              <w:t>25%</w:t>
            </w:r>
          </w:p>
        </w:tc>
        <w:tc>
          <w:tcPr>
            <w:tcW w:type="dxa" w:w="1728"/>
          </w:tcPr>
          <w:p>
            <w:r>
              <w:t>28%</w:t>
            </w:r>
          </w:p>
        </w:tc>
        <w:tc>
          <w:tcPr>
            <w:tcW w:type="dxa" w:w="1728"/>
          </w:tcPr>
          <w:p>
            <w:r>
              <w:t>30%</w:t>
            </w:r>
          </w:p>
        </w:tc>
      </w:tr>
      <w:tr>
        <w:tc>
          <w:tcPr>
            <w:tcW w:type="dxa" w:w="1728"/>
          </w:tcPr>
          <w:p>
            <w:r>
              <w:t>6</w:t>
            </w:r>
          </w:p>
        </w:tc>
        <w:tc>
          <w:tcPr>
            <w:tcW w:type="dxa" w:w="1728"/>
          </w:tcPr>
          <w:p>
            <w:r>
              <w:t>Jumlah HKI Paten/Paten Sederhana per tahun</w:t>
            </w:r>
          </w:p>
        </w:tc>
        <w:tc>
          <w:tcPr>
            <w:tcW w:type="dxa" w:w="1728"/>
          </w:tcPr>
          <w:p>
            <w:r>
              <w:t>1</w:t>
            </w:r>
          </w:p>
        </w:tc>
        <w:tc>
          <w:tcPr>
            <w:tcW w:type="dxa" w:w="1728"/>
          </w:tcPr>
          <w:p>
            <w:r>
              <w:t>1</w:t>
            </w:r>
          </w:p>
        </w:tc>
        <w:tc>
          <w:tcPr>
            <w:tcW w:type="dxa" w:w="1728"/>
          </w:tcPr>
          <w:p>
            <w:r>
              <w:t>2</w:t>
            </w:r>
          </w:p>
        </w:tc>
      </w:tr>
      <w:tr>
        <w:tc>
          <w:tcPr>
            <w:tcW w:type="dxa" w:w="1728"/>
          </w:tcPr>
          <w:p>
            <w:r>
              <w:t>7</w:t>
            </w:r>
          </w:p>
        </w:tc>
        <w:tc>
          <w:tcPr>
            <w:tcW w:type="dxa" w:w="1728"/>
          </w:tcPr>
          <w:p>
            <w:r>
              <w:t>Jumlah HKI Non-Paten per tahun</w:t>
            </w:r>
          </w:p>
        </w:tc>
        <w:tc>
          <w:tcPr>
            <w:tcW w:type="dxa" w:w="1728"/>
          </w:tcPr>
          <w:p>
            <w:r>
              <w:t>4</w:t>
            </w:r>
          </w:p>
        </w:tc>
        <w:tc>
          <w:tcPr>
            <w:tcW w:type="dxa" w:w="1728"/>
          </w:tcPr>
          <w:p>
            <w:r>
              <w:t>5</w:t>
            </w:r>
          </w:p>
        </w:tc>
        <w:tc>
          <w:tcPr>
            <w:tcW w:type="dxa" w:w="1728"/>
          </w:tcPr>
          <w:p>
            <w:r>
              <w:t>6</w:t>
            </w:r>
          </w:p>
        </w:tc>
      </w:tr>
    </w:tbl>
    <w:p>
      <w:r>
        <w:t>Indikator Kinerja Tambahan (IKT):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Indikator Kinerja Tambahan (IKT)</w:t>
            </w:r>
          </w:p>
        </w:tc>
        <w:tc>
          <w:tcPr>
            <w:tcW w:type="dxa" w:w="1728"/>
          </w:tcPr>
          <w:p>
            <w:r>
              <w:t>2024/2025</w:t>
            </w:r>
          </w:p>
        </w:tc>
        <w:tc>
          <w:tcPr>
            <w:tcW w:type="dxa" w:w="1728"/>
          </w:tcPr>
          <w:p>
            <w:r>
              <w:t>2025/2026</w:t>
            </w:r>
          </w:p>
        </w:tc>
        <w:tc>
          <w:tcPr>
            <w:tcW w:type="dxa" w:w="1728"/>
          </w:tcPr>
          <w:p>
            <w:r>
              <w:t>2026/2027</w:t>
            </w:r>
          </w:p>
        </w:tc>
      </w:tr>
      <w:tr>
        <w:tc>
          <w:tcPr>
            <w:tcW w:type="dxa" w:w="1728"/>
          </w:tcPr>
          <w:p>
            <w:r>
              <w:t>1</w:t>
            </w:r>
          </w:p>
        </w:tc>
        <w:tc>
          <w:tcPr>
            <w:tcW w:type="dxa" w:w="1728"/>
          </w:tcPr>
          <w:p>
            <w:r>
              <w:t>Persentase publikasi melibatkan mahasiswa sebagai co-author</w:t>
            </w:r>
          </w:p>
        </w:tc>
        <w:tc>
          <w:tcPr>
            <w:tcW w:type="dxa" w:w="1728"/>
          </w:tcPr>
          <w:p>
            <w:r>
              <w:t>70%</w:t>
            </w:r>
          </w:p>
        </w:tc>
        <w:tc>
          <w:tcPr>
            <w:tcW w:type="dxa" w:w="1728"/>
          </w:tcPr>
          <w:p>
            <w:r>
              <w:t>75%</w:t>
            </w:r>
          </w:p>
        </w:tc>
        <w:tc>
          <w:tcPr>
            <w:tcW w:type="dxa" w:w="1728"/>
          </w:tcPr>
          <w:p>
            <w:r>
              <w:t>80%</w:t>
            </w:r>
          </w:p>
        </w:tc>
      </w:tr>
      <w:tr>
        <w:tc>
          <w:tcPr>
            <w:tcW w:type="dxa" w:w="1728"/>
          </w:tcPr>
          <w:p>
            <w:r>
              <w:t>2</w:t>
            </w:r>
          </w:p>
        </w:tc>
        <w:tc>
          <w:tcPr>
            <w:tcW w:type="dxa" w:w="1728"/>
          </w:tcPr>
          <w:p>
            <w:r>
              <w:t>Persentase luaran buku ber-ISBN/book chapter terhadap penelitian didanai</w:t>
            </w:r>
          </w:p>
        </w:tc>
        <w:tc>
          <w:tcPr>
            <w:tcW w:type="dxa" w:w="1728"/>
          </w:tcPr>
          <w:p>
            <w:r>
              <w:t>10%</w:t>
            </w:r>
          </w:p>
        </w:tc>
        <w:tc>
          <w:tcPr>
            <w:tcW w:type="dxa" w:w="1728"/>
          </w:tcPr>
          <w:p>
            <w:r>
              <w:t>15%</w:t>
            </w:r>
          </w:p>
        </w:tc>
        <w:tc>
          <w:tcPr>
            <w:tcW w:type="dxa" w:w="1728"/>
          </w:tcPr>
          <w:p>
            <w:r>
              <w:t>20%</w:t>
            </w:r>
          </w:p>
        </w:tc>
      </w:tr>
      <w:tr>
        <w:tc>
          <w:tcPr>
            <w:tcW w:type="dxa" w:w="1728"/>
          </w:tcPr>
          <w:p>
            <w:r>
              <w:t>3</w:t>
            </w:r>
          </w:p>
        </w:tc>
        <w:tc>
          <w:tcPr>
            <w:tcW w:type="dxa" w:w="1728"/>
          </w:tcPr>
          <w:p>
            <w:r>
              <w:t>Jumlah luaran penelitian mendapat insentif per tahun</w:t>
            </w:r>
          </w:p>
        </w:tc>
        <w:tc>
          <w:tcPr>
            <w:tcW w:type="dxa" w:w="1728"/>
          </w:tcPr>
          <w:p>
            <w:r>
              <w:t>≥5</w:t>
            </w:r>
          </w:p>
        </w:tc>
        <w:tc>
          <w:tcPr>
            <w:tcW w:type="dxa" w:w="1728"/>
          </w:tcPr>
          <w:p>
            <w:r>
              <w:t>≥7</w:t>
            </w:r>
          </w:p>
        </w:tc>
        <w:tc>
          <w:tcPr>
            <w:tcW w:type="dxa" w:w="1728"/>
          </w:tcPr>
          <w:p>
            <w:r>
              <w:t>≥9</w:t>
            </w:r>
          </w:p>
        </w:tc>
      </w:tr>
      <w:tr>
        <w:tc>
          <w:tcPr>
            <w:tcW w:type="dxa" w:w="1728"/>
          </w:tcPr>
          <w:p>
            <w:r>
              <w:t>4</w:t>
            </w:r>
          </w:p>
        </w:tc>
        <w:tc>
          <w:tcPr>
            <w:tcW w:type="dxa" w:w="1728"/>
          </w:tcPr>
          <w:p>
            <w:r>
              <w:t>Jumlah penghargaan nasional/internasional atas luaran penelitian per tahun</w:t>
            </w:r>
          </w:p>
        </w:tc>
        <w:tc>
          <w:tcPr>
            <w:tcW w:type="dxa" w:w="1728"/>
          </w:tcPr>
          <w:p>
            <w:r>
              <w:t>≥1</w:t>
            </w:r>
          </w:p>
        </w:tc>
        <w:tc>
          <w:tcPr>
            <w:tcW w:type="dxa" w:w="1728"/>
          </w:tcPr>
          <w:p>
            <w:r>
              <w:t>≥1</w:t>
            </w:r>
          </w:p>
        </w:tc>
        <w:tc>
          <w:tcPr>
            <w:tcW w:type="dxa" w:w="1728"/>
          </w:tcPr>
          <w:p>
            <w:r>
              <w:t>≥2</w:t>
            </w:r>
          </w:p>
        </w:tc>
      </w:tr>
      <w:tr>
        <w:tc>
          <w:tcPr>
            <w:tcW w:type="dxa" w:w="1728"/>
          </w:tcPr>
          <w:p>
            <w:r>
              <w:t>*5</w:t>
            </w:r>
          </w:p>
        </w:tc>
        <w:tc>
          <w:tcPr>
            <w:tcW w:type="dxa" w:w="1728"/>
          </w:tcPr>
          <w:p>
            <w:r>
              <w:t>Persentase publikasi open access dari penelitian berdana wajib akses terbuka</w:t>
            </w:r>
          </w:p>
        </w:tc>
        <w:tc>
          <w:tcPr>
            <w:tcW w:type="dxa" w:w="1728"/>
          </w:tcPr>
          <w:p>
            <w:r>
              <w:t>75%</w:t>
            </w:r>
          </w:p>
        </w:tc>
        <w:tc>
          <w:tcPr>
            <w:tcW w:type="dxa" w:w="1728"/>
          </w:tcPr>
          <w:p>
            <w:r>
              <w:t>82%</w:t>
            </w:r>
          </w:p>
        </w:tc>
        <w:tc>
          <w:tcPr>
            <w:tcW w:type="dxa" w:w="1728"/>
          </w:tcPr>
          <w:p>
            <w:r>
              <w:t>90%</w:t>
            </w:r>
          </w:p>
        </w:tc>
      </w:tr>
    </w:tbl>
    <w:p>
      <w:pPr/>
      <w:r>
        <w:rPr>
          <w:b/>
        </w:rPr>
        <w:t>5. STRATEGI PENCAPAIAN</w:t>
      </w:r>
    </w:p>
    <w:p>
      <w:pPr>
        <w:pStyle w:val="ListNumber"/>
      </w:pPr>
      <w:r>
        <w:t>Ketua Program Studi mendorong dan memantau publikasi hasil penelitian dosen menuju target 100% penelitian didanai.</w:t>
      </w:r>
    </w:p>
    <w:p>
      <w:pPr>
        <w:pStyle w:val="ListNumber"/>
      </w:pPr>
      <w:r>
        <w:t>DPPMP memfasilitasi pendampingan penulisan dan submission artikel pada jurnal internasional/nasional terakreditasi.</w:t>
      </w:r>
    </w:p>
    <w:p>
      <w:pPr>
        <w:pStyle w:val="ListNumber"/>
      </w:pPr>
      <w:r>
        <w:t>Ketua Program Studi mendorong pencantuman mahasiswa sebagai co-author pada publikasi dosen.</w:t>
      </w:r>
    </w:p>
    <w:p>
      <w:pPr>
        <w:pStyle w:val="ListNumber"/>
      </w:pPr>
      <w:r>
        <w:t>DPPMP memfasilitasi pengurusan HKI (paten dan non-paten) atas luaran penelitian dosen bidang rekayasa sistem industri.</w:t>
      </w:r>
    </w:p>
    <w:p>
      <w:pPr>
        <w:pStyle w:val="ListNumber"/>
      </w:pPr>
      <w:r>
        <w:t>Fakultas menyediakan insentif publikasi dan HKI bagi dosen dan mahasiswa.</w:t>
      </w:r>
    </w:p>
    <w:p>
      <w:pPr>
        <w:pStyle w:val="ListNumber"/>
      </w:pPr>
      <w:r>
        <w:t>DPPMP menjamin dokumentasi luaran penelitian melalui repositori institusi dan SIRISBANK.</w:t>
      </w:r>
    </w:p>
    <w:p>
      <w:pPr/>
      <w:r>
        <w:rPr>
          <w:b/>
        </w:rPr>
        <w:t>6. MEKANISME EVALUASI</w:t>
      </w:r>
    </w:p>
    <w:p>
      <w:r>
        <w:t>Evaluasi ketercapaian luaran penelitian dilakukan oleh Ketua Program Studi setiap semester berdasarkan data publikasi dan HKI.</w:t>
      </w:r>
    </w:p>
    <w:p>
      <w:r>
        <w:t>DPPMP bersama DJM melaksanakan monitoring-evaluasi dan Audit Mutu Internal (AMI) atas Standar Luaran Penelitian paling sedikit satu kali per tahun.</w:t>
      </w:r>
    </w:p>
    <w:p>
      <w:r>
        <w:t>Root-cause analysis dan SWOT tahunan atas ketercapaian Standar Luaran Penelitian dibahas dalam Rapat Tinjauan Manajemen (RTM) tingkat program studi.</w:t>
      </w:r>
    </w:p>
    <w:p>
      <w:pPr/>
      <w:r>
        <w:rPr>
          <w:b/>
        </w:rPr>
        <w:t>7. DOKUMEN / BUKTI PENDUKUNG</w:t>
      </w:r>
    </w:p>
    <w:p>
      <w:pPr>
        <w:pStyle w:val="ListNumber"/>
      </w:pPr>
      <w:r>
        <w:t>Keputusan Ketua Program Studi tentang penetapan Standar Luaran Penelitian Program Studi Teknik Industri.</w:t>
      </w:r>
    </w:p>
    <w:p>
      <w:pPr>
        <w:pStyle w:val="ListNumber"/>
      </w:pPr>
      <w:r>
        <w:t>Rekapitulasi publikasi ilmiah dosen (jurnal internasional/nasional) per tahun.</w:t>
      </w:r>
    </w:p>
    <w:p>
      <w:pPr>
        <w:pStyle w:val="ListNumber"/>
      </w:pPr>
      <w:r>
        <w:t>Dokumen HKI Paten dan Non-Paten atas luaran penelitian dosen.</w:t>
      </w:r>
    </w:p>
    <w:p>
      <w:pPr>
        <w:pStyle w:val="ListNumber"/>
      </w:pPr>
      <w:r>
        <w:t>Dokumen luaran buku ber-ISBN/book chapter.</w:t>
      </w:r>
    </w:p>
    <w:p>
      <w:pPr>
        <w:pStyle w:val="ListNumber"/>
      </w:pPr>
      <w:r>
        <w:t>Bukti insentif dan penghargaan luaran penelitian.</w:t>
      </w:r>
    </w:p>
    <w:p>
      <w:pPr>
        <w:pStyle w:val="ListNumber"/>
      </w:pPr>
      <w:r>
        <w:t>Laporan AMI dan berita acara RTM atas Standar Luaran Penelitian.</w:t>
      </w:r>
    </w:p>
    <w:p>
      <w:pPr/>
      <w:r>
        <w:rPr>
          <w:b/>
        </w:rPr>
        <w:t>REFERENSI</w:t>
      </w:r>
    </w:p>
    <w:p>
      <w:pPr>
        <w:pStyle w:val="ListNumber"/>
      </w:pPr>
      <w:r>
        <w:t>Undang-Undang Republik Indonesia Nomor 12 Tahun 2012 tentang Pendidikan Tinggi.</w:t>
      </w:r>
    </w:p>
    <w:p>
      <w:pPr>
        <w:pStyle w:val="ListNumber"/>
      </w:pPr>
      <w:r>
        <w:t>Peraturan Pemerintah Republik Indonesia Nomor 4 Tahun 2014 tentang Penyelenggaraan Pendidikan Tinggi dan Pengelolaan Perguruan Tinggi.</w:t>
      </w:r>
    </w:p>
    <w:p>
      <w:pPr>
        <w:pStyle w:val="ListNumber"/>
      </w:pPr>
      <w:r>
        <w:t>Peraturan Menteri Pendidikan, Kebudayaan, Riset, dan Teknologi Republik Indonesia Nomor 53 Tahun 2023 tentang Penjaminan Mutu Pendidikan Tinggi.</w:t>
      </w:r>
    </w:p>
    <w:p>
      <w:pPr>
        <w:pStyle w:val="ListNumber"/>
      </w:pPr>
      <w:r>
        <w:t>Matriks Penilaian LED-LKPS Sarjana APS Akademik dan Vokasi Teknik 2025, Lembaga Akreditasi Mandiri Teknik (LAM Teknik).</w:t>
      </w:r>
    </w:p>
    <w:p>
      <w:pPr>
        <w:pStyle w:val="ListNumber"/>
      </w:pPr>
      <w:r>
        <w:t>Pedoman Penyusunan Laporan Evaluasi Diri (LEDPS), Lampiran 2 Peraturan LAM Teknik Nomor 5 Tahun 2025.</w:t>
      </w:r>
    </w:p>
    <w:p>
      <w:pPr>
        <w:pStyle w:val="ListNumber"/>
      </w:pPr>
      <w:r>
        <w:t>Rencana Strategis (Renstra) Fakultas Teknologi Informasi dan Industri (FTII) UNISBANK Tahun 2024-2027.</w:t>
      </w:r>
    </w:p>
    <w:p>
      <w:pPr>
        <w:pStyle w:val="ListNumber"/>
      </w:pPr>
      <w:r>
        <w:t>Standar VMTS Program Studi Teknik Industri (Standar_VMTS_ProgramStudi_TeknikIndustri.docx).</w:t>
      </w:r>
    </w:p>
    <w:p>
      <w:pPr>
        <w:pStyle w:val="ListNumber"/>
      </w:pPr>
      <w:r>
        <w:t>Standar Penjaminan Mutu Internal FTII versi Unggul (Standar_Penjaminan_Mutu_Internal_Unggul_FTII.docx).</w:t>
      </w:r>
    </w:p>
    <w:p>
      <w:r>
        <w:t>Disusun di Semarang pada tanggal 2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