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32"/>
        </w:rPr>
        <w:t>STANDAR MASUKAN PENDIDIKAN</w:t>
      </w:r>
    </w:p>
    <w:p>
      <w:pPr>
        <w:jc w:val="center"/>
      </w:pPr>
      <w:r>
        <w:rPr>
          <w:b/>
          <w:sz w:val="26"/>
        </w:rPr>
        <w:t>PROGRAM STUDI MAGISTER TEKNOLOGI INFORMASI</w:t>
      </w:r>
    </w:p>
    <w:p>
      <w:pPr>
        <w:jc w:val="center"/>
      </w:pPr>
      <w:r>
        <w:rPr>
          <w:b/>
          <w:sz w:val="26"/>
        </w:rPr>
        <w:t>FAKULTAS TEKNOLOGI INFORMASI DAN INDUSTRI (FTII)</w:t>
      </w:r>
    </w:p>
    <w:p>
      <w:pPr>
        <w:jc w:val="center"/>
      </w:pPr>
      <w:r>
        <w:rPr>
          <w:sz w:val="22"/>
        </w:rPr>
        <w:t>Disusun untuk memenuhi ambang kriteria status Terakreditasi Unggul LAM INFOKOM dan LAM Teknik (APS-AV 2025 1.0), dengan indikator standar yang terukur, disesuaikan untuk skala Program Studi Magister Teknologi Informasi.</w:t>
      </w:r>
    </w:p>
    <w:p/>
    <w:p>
      <w:pPr/>
      <w:r>
        <w:rPr/>
        <w:t>Dokumen ini merupakan revisi ke-2 dari Standar Masukan Pendidikan Program Studi Magister Teknologi Informasi UNISBANK. Revisi pertama disusun berdasarkan hasil pemetaan gap terhadap Panduan SPMI Program Magister dan Sarjana Terapan, Matriks Penilaian LAM Teknik APS-AV 2025 1.0, dan Kriteria Terakreditasi Unggul 2.1 LAM INFOKOM (Instrumen 1.0), didokumentasikan pada standarmasukanpendidikan.docx. Revisi ke-2 ini melakukan dua penyempurnaan: (1) SUSUNAN BAGIAN direstrukturisasi mengikuti pola dokumen Standar Masukan Pendidikan Universitas Sahid (3.-STANDAR-MASUKAN-PENDIDIKAN.pdf, dipakai semata sebagai kerangka struktur — bukan sumber konten), yang memecah Standar Masukan Pendidikan menjadi 4 (empat) sub-standar mandiri (Isi Pembelajaran; Dosen dan Tenaga Kependidikan; Sarana dan Prasarana Pembelajaran; Pembiayaan Pembelajaran), masing-masing dengan 5 komponen baku: Daftar Istilah, Pihak Yang Bertanggung Jawab, Pernyataan Isi Standar, Strategi Pencapaian Standar, dan Indikator Capaian Standar; dan (2) ISI diselaraskan tambahan dengan Instrumen Akreditasi Program Studi 2.0 LAM INFOKOM (Peraturan LAM-INFOKOM Nomor 06/PERLAM/MA/LAM-INFOKOM/VI/2025, April 2025 — S1-Matriks Penilaian.pdf dan S1-LED.pdf) yang merupakan instrumen terbaru LAM INFOKOM, serta Kriteria C.3-C.5 Pedoman Penyusunan LEDPS LAM Teknik 2025. Instrumen Akreditasi Program Studi 2.0 LAM INFOKOM memperkenalkan istilah DTPR (Dosen Tetap Penghitung Rasio) — dosen tetap institusi dengan keahlian bidang informatika dan komputer yang mengajar pada program studi terkait — sepadan dengan istilah DTPS (Dosen Tetap Program Studi) yang dipakai LAM Teknik; kedua istilah dipakai berdampingan pada dokumen ini. Instrumen 2.0 tersebut secara umum menilai Dosen/Sarana-Prasarana/Pembiayaan melalui rubrik deskriptif-kualitatif tanpa ambang numerik eksplisit yang lebih tinggi dari yang telah dikalibrasi terhadap LAM Teknik dan Kriteria Unggul 2.1 LAM INFOKOM 1.0 pada revisi pertama; karena itu seluruh ambang kuantitatif dari revisi pertama DIPERTAHANKAN, dan Instrumen 2.0 ditambahkan sebagai rujukan kualitatif pelengkap. Revisi ini juga menambahkan ketentuan root-cause analysis dan SWOT tahunan lintas sub-standar sesuai kewajiban Standar Penjaminan Mutu Internal FTII versi Unggul, serta menutup gap tambahan hasil pemetaan Kriteria C.4/C.5 Pedoman LEDPS LAM Teknik 2025 (Kepatuhan_Standar_SDM_FTII_vs_Kriteria_C4_LEDPS_LAM_Teknik.docx dan Kepatuhan_Standar_SaranaPrasaranaK3L_FTII_vs_Kriteria_C5_LEDPS_LAM_Teknik.docx): sertifikasi kompetensi/profesi/industri dosen, mata kuliah kompetensi diampu dosen industri/praktisi, produk/jasa dosen diadopsi industri/masyarakat, sitasi karya ilmiah pada basis data pengindeks internasional, kelengkapan isi sarana akademik, fasilitas ibadah, dan K3L skala kampus. Pembaruan lanjutan (revisi ke-3) dilakukan setelah verifikasi terhadap Instrumen Akreditasi Program Studi 2.1 LAM INFOKOM (Peraturan LAM-INFOKOM Nomor 11/PERLAM/MA/LAM-INFOKOM/X/2025, November 2025) — instrumen LAM INFOKOM PALING MUTAKHIR, menggantikan rujukan ke Instrumen 1.0 (2022) sebagai acuan utama dan melengkapi Instrumen 2.0 (April 2025) yang sebelumnya dipakai untuk restrukturisasi dokumen ini.</w:t>
      </w:r>
    </w:p>
    <w:p>
      <w:pPr/>
    </w:p>
    <w:p>
      <w:pPr/>
      <w:r>
        <w:rPr>
          <w:b/>
          <w:sz w:val="28"/>
        </w:rPr>
        <w:t>1. VISI, MISI, DAN TUJUAN FTII</w:t>
      </w:r>
    </w:p>
    <w:p>
      <w:pPr/>
      <w:r>
        <w:rPr>
          <w:b w:val="0"/>
          <w:i w:val="0"/>
        </w:rPr>
        <w:t>Visi Fakultas Teknologi Informasi dan Industri (FTII) Universitas Stikubank (UNISBANK) Semarang: "Pada tahun 2035 menjadi Fakultas Teknologi Informasi dan Industri yang unggul, inovatif, adaptif dalam penerapan ilmu komputer, informatika dan industri yang berjiwa kewirausahaan dan berdaya saing internasional."</w:t>
      </w:r>
    </w:p>
    <w:p>
      <w:pPr/>
      <w:r>
        <w:rPr>
          <w:b w:val="0"/>
          <w:i w:val="0"/>
        </w:rPr>
        <w:t>Misi FTII mencakup: (1) menyelenggarakan pendidikan yang menghasilkan magister dan magister di bidang Teknologi Informasi dan Industri yang kompeten, unggul, dan mandiri; (2) melaksanakan penelitian dan pengkajian rekayasa yang inovatif; (3) melaksanakan pengabdian kepada masyarakat yang bermanfaat bagi kesejahteraan masyarakat; (4) mengembangkan kerja sama pendidikan, penelitian, pengabdian, dan kerja praktik dengan industri pada tingkat lokal, nasional, dan internasional; dan (5) membentuk lulusan berkarakter mandiri, beretika, dan berjiwa wirausaha.</w:t>
      </w:r>
    </w:p>
    <w:p>
      <w:pPr/>
      <w:r>
        <w:rPr>
          <w:b w:val="0"/>
          <w:i w:val="0"/>
        </w:rPr>
        <w:t>Tujuan FTII mencakup terwujudnya organisasi yang transparan dan akuntabel berbasis TIK, lulusan yang kompeten dan berjiwa wirausaha, SDM yang produktif dalam penelitian dan pengabdian, serta jaringan kerja sama yang berkelanjutan — sebagaimana ditetapkan pada Standar Visi Misi FTII versi Unggul (Standar_Visi_Misi_Unggul_FTII.docx). Standar Masukan Pendidikan ini menjadi salah satu prasyarat utama pencapaian visi, misi, dan tujuan tersebut melalui penyediaan sumber daya pendidikan (isi pembelajaran, dosen dan tenaga kependidikan, sarana dan prasarana, serta pembiayaan) yang bermutu dan terukur.</w:t>
      </w:r>
    </w:p>
    <w:p>
      <w:pPr/>
      <w:r>
        <w:rPr>
          <w:b/>
          <w:sz w:val="28"/>
        </w:rPr>
        <w:t>2. RASIONAL</w:t>
      </w:r>
    </w:p>
    <w:p>
      <w:pPr/>
      <w:r>
        <w:rPr>
          <w:b w:val="0"/>
          <w:i w:val="0"/>
        </w:rPr>
        <w:t>Standar ini disusun dengan mengacu pada Peraturan Menteri Pendidikan, Kebudayaan, Riset, dan Teknologi Nomor 53 Tahun 2023 tentang Penjaminan Mutu Pendidikan Tinggi, khususnya Pasal 40-45 tentang Standar Isi Pembelajaran, Pasal 46-47 tentang Standar Dosen dan Tenaga Kependidikan, Pasal 48-50 tentang Standar Sarana dan Prasarana Pembelajaran, dan Pasal 51 tentang Standar Pembiayaan Pembelajaran. Standar Isi merupakan kriteria minimal ruang lingkup materi pembelajaran untuk mencapai Standar Kompetensi Lulusan; Standar Dosen dan Tenaga Kependidikan merupakan kriteria minimal kompetensi dan kualifikasi dosen serta tenaga kependidikan; Standar Sarana dan Prasarana merupakan kriteria minimal sarana-prasarana sesuai kebutuhan pembelajaran; dan Standar Pembiayaan merupakan kriteria minimal komponen pembiayaan — keempatnya menjadi Masukan (Input) yang menentukan mutu proses dan luaran pendidikan FTII.</w:t>
      </w:r>
    </w:p>
    <w:p>
      <w:pPr/>
      <w:r>
        <w:rPr>
          <w:b w:val="0"/>
          <w:i w:val="0"/>
        </w:rPr>
        <w:t>Standar ini disusun tidak hanya untuk memenuhi ketentuan minimal SN Dikti, tetapi secara khusus dirancang agar setiap indikator kinerjanya memenuhi atau melampaui ambang skor tertinggi (skor 4) pada Matriks Penilaian LED-LKPS LAM Teknik APS-AV 2025 1.0 — mencakup kecukupan dan kualifikasi dosen tetap (NDTPS/DTPS, rasio mahasiswa:dosen, persentase doktor, jabatan fungsional, sertifikasi pendidik), biaya operasional pendidikan (DOP), serta dana penelitian dan PkM per dosen — dan memenuhi deskriptor tertinggi Kriteria 2 (Relevansi Pendidikan) Butir 2.1.A dan 2.1.B Kriteria Unggul 2.1 LAM INFOKOM (Instrumen 1.0), serta selaras dengan rubrik DTPR pada Instrumen Akreditasi Program Studi 2.0 LAM INFOKOM (April 2025).</w:t>
      </w:r>
    </w:p>
    <w:p>
      <w:pPr/>
      <w:r>
        <w:rPr/>
        <w:t>Penyusunan standar ini didasarkan pada hasil analisis kesenjangan (gap analysis) terhadap dokumen Standar Masukan Pendidikan FTII sebelumnya, yang mengidentifikasi empat area prioritas penyesuaian ambang target: (a) percepatan persentase dosen bergelar Doktor menuju di atas 40-50%; (b) peningkatan dana operasional pembelajaran per mahasiswa menuju minimal Rp20 juta/tahun; (c) diversifikasi sumber pendanaan non-mahasiswa/non-kementerian menuju minimal 5-10%; dan (d) percepatan rasio dosen tetap:mahasiswa menuju rentang ideal 1:20-1:25. Perlu ditegaskan bahwa ambang "dana penelitian/PkM per dosen" (Rp10 juta/Rp5 juta per dosen per tahun) dan ambang "dana operasional pembelajaran per mahasiswa" (Rp20 juta per mahasiswa per tahun) adalah DUA INDIKATOR BERBEDA dengan basis penghitungan berbeda (per dosen vs per mahasiswa) — bukan angka yang saling bertentangan — dan keduanya dipertahankan konsisten pada revisi ini. Verifikasi terhadap Instrumen Akreditasi Program Studi 2.1 LAM INFOKOM (Sarjana - Matriks Penilaian.pdf dan Panduan LED-nya, November 2025) mengonfirmasi bahwa instrumen ini, seperti Instrumen 2.0 sebelumnya, memakai rubrik skor berbobot per kriteria/butir (bukan ambang kuantitatif eksplisit seperti LAM Teknik), sehingga TIDAK mengubah kalibrasi angka yang sudah ditetapkan pada revisi sebelumnya. Instrumen 2.1 juga menegaskan istilah DTPR (Dosen Tetap Penghitung Rasio) sebagai padanan DTPS/NDTPS pada LAM Teknik. Catatan struktural penting: pada Instrumen 2.1, unsur sarana-prasarana pendidikan, DTPR, dan pembiayaan pendidikan TIDAK lagi menjadi kriteria terpisah (berbeda dari LAM Teknik yang memisahkan Kriteria C.4 SDM dan C.5 Sarana-Prasarana), melainkan seluruhnya dibundel ke dalam satu Kriteria C.2 Relevansi Pendidikan — namun struktur 4 sub-standar (Isi Pembelajaran, Dosen dan Tenaga Kependidikan, Sarana dan Prasarana, Pembiayaan) pada dokumen FTII ini tetap dipertahankan karena selaras dengan struktur LAM Teknik dan lebih rinci untuk keperluan SPMI internal.</w:t>
      </w:r>
    </w:p>
    <w:p>
      <w:pPr/>
      <w:r>
        <w:rPr>
          <w:b w:val="0"/>
          <w:i w:val="0"/>
        </w:rPr>
        <w:t>Sebaliknya, capaian yang sudah identik dengan ambang rujukan — rasio luas bangunan 2 m²/mahasiswa dan ruang dosen 4 m²/dosen, sertifikasi pendidik dosen, kualifikasi tenaga administrasi, serta persentase mata kuliah yang memanfaatkan hasil penelitian/PkM/proyek/kasus — dipertahankan dan diperkuat sebagai praktik baik.</w:t>
      </w:r>
    </w:p>
    <w:p>
      <w:pPr/>
      <w:r>
        <w:rPr>
          <w:b/>
          <w:sz w:val="25"/>
        </w:rPr>
        <w:t>Ketentuan Lintas Sub-Standar: Root-Cause Analysis dan SWOT Tahunan</w:t>
      </w:r>
    </w:p>
    <w:p>
      <w:pPr/>
      <w:r>
        <w:rPr>
          <w:b w:val="0"/>
          <w:i w:val="0"/>
        </w:rPr>
        <w:t>*Sesuai kewajiban lintas-standar yang ditetapkan Standar Penjaminan Mutu Internal FTII versi Unggul (Standar_Penjaminan_Mutu_Internal_Unggul_FTII.docx), Program Studi Magister Teknologi Informasi wajib melaksanakan Analisis Faktor Keberhasilan dan Penghambat (root-cause analysis) serta analisis SWOT atas ketercapaian SELURUH sub-standar Masukan Pendidikan (Isi Pembelajaran, Dosen dan Tenaga Kependidikan, Sarana dan Prasarana Pembelajaran, Pembiayaan Pembelajaran) paling sedikit 1 (satu) kali setiap tahun akademik, sebagai bagian wajib pembahasan Rapat Tinjauan Manajemen (RTM) dan dasar penyusunan Rencana Tindak Lanjut (RTL). Ketentuan ini berlaku satu kali untuk keempat sub-standar di bawah dan tidak diulang pada masing-masing sub-standar.</w:t>
      </w:r>
    </w:p>
    <w:p>
      <w:pPr/>
      <w:r>
        <w:rPr>
          <w:b w:val="0"/>
          <w:i w:val="0"/>
        </w:rPr>
        <w:t>Melalui penerapan Standar Masukan Pendidikan versi Unggul ini, Program Studi Magister Teknologi Informasi UNISBANK diharapkan memiliki basis sumber daya pendidikan yang setara dengan program studi berakreditasi Unggul, sekaligus berfungsi ganda sebagai instrumen penjaminan mutu internal (SPMI) dan instrumen kesiapan akreditasi eksternal LAM Teknik dan LAM INFOKOM (Instrumen 1.0 dan 2.0).</w:t>
      </w:r>
    </w:p>
    <w:p>
      <w:pPr>
        <w:jc w:val="center"/>
      </w:pPr>
      <w:r>
        <w:rPr>
          <w:b/>
          <w:sz w:val="28"/>
        </w:rPr>
        <w:t>STANDAR ISI PEMBELAJARAN</w:t>
      </w:r>
    </w:p>
    <w:p>
      <w:pPr/>
    </w:p>
    <w:p>
      <w:pPr/>
      <w:r>
        <w:rPr>
          <w:b/>
          <w:sz w:val="25"/>
        </w:rPr>
        <w:t>1. Daftar Istilah</w:t>
      </w:r>
    </w:p>
    <w:p>
      <w:pPr>
        <w:pStyle w:val="ListBullet"/>
      </w:pPr>
      <w:r>
        <w:rPr/>
        <w:t>Outcome-Based Education (OBE) adalah pendekatan pendidikan yang berorientasi pada pencapaian capaian pembelajaran lulusan (CPL) sebagai hasil akhir proses pembelajaran, mencakup soft competence dan hard competence.</w:t>
      </w:r>
    </w:p>
    <w:p>
      <w:pPr>
        <w:pStyle w:val="ListBullet"/>
      </w:pPr>
      <w:r>
        <w:rPr/>
        <w:t>Kerangka Kualifikasi Nasional Indonesia (KKNI) adalah kerangka penjenjangan kualifikasi yang menyandingkan, menyetarakan, dan mengintegrasikan sektor pendidikan, pelatihan, dan pengalaman kerja melalui rekognisi capaian pembelajaran; lulusan Program Studi Magister Teknologi Informasi paling rendah setara KKNI Jenjang 8.</w:t>
      </w:r>
    </w:p>
    <w:p>
      <w:pPr>
        <w:pStyle w:val="ListBullet"/>
      </w:pPr>
      <w:r>
        <w:rPr/>
        <w:t>Kedalaman materi pembelajaran adalah tingkat penguasaan materi oleh mahasiswa yang mengacu pada level KKNI program studi.</w:t>
      </w:r>
    </w:p>
    <w:p>
      <w:pPr>
        <w:pStyle w:val="ListBullet"/>
      </w:pPr>
      <w:r>
        <w:rPr/>
        <w:t>Keluasan materi pembelajaran adalah materi/kajian yang diperlukan untuk menguasai capaian pembelajaran yang telah ditetapkan, mengacu pada level KKNI program studi.</w:t>
      </w:r>
    </w:p>
    <w:p>
      <w:pPr>
        <w:pStyle w:val="ListBullet"/>
      </w:pPr>
      <w:r>
        <w:rPr/>
        <w:t>Rencana Pembelajaran Semester (RPS) adalah dokumen rencana proses pembelajaran per mata kuliah yang wajib memuat sekurang-kurangnya 9 (sembilan) komponen: (1) identitas mata kuliah dan dosen pengampu; (2) capaian pembelajaran lulusan (CPL) yang dibebankan; (3) kemampuan akhir yang direncanakan pada setiap tahap pembelajaran; (4) bahan kajian; (5) metode pembelajaran; (6) alokasi waktu; (7) pengalaman belajar mahasiswa/deskripsi tugas; (8) kriteria, indikator, dan bobot penilaian; dan (9) daftar referensi, dirancang untuk menghasilkan lulusan yang memiliki kemampuan sesuai CPL yang ditetapkan.</w:t>
      </w:r>
    </w:p>
    <w:p>
      <w:pPr>
        <w:pStyle w:val="ListNumber"/>
      </w:pPr>
      <w:r>
        <w:rPr/>
        <w:t>Body-of-Knowledge Kurikulum adalah kerangka acuan standar keilmuan internasional yang memetakan kompetensi inti, domain spesifik, serta metode kuantitatif/kualitatif suatu bidang ilmu (misalnya ACM IS 2020 untuk bidang Sistem Informasi), digunakan sebagai acuan penyusunan dan pemetaan kurikulum program studi.</w:t>
      </w:r>
    </w:p>
    <w:p>
      <w:pPr>
        <w:pStyle w:val="ListNumber"/>
      </w:pPr>
      <w:r>
        <w:rPr/>
        <w:t>Tesis adalah mata kuliah wajib berbasis proyek terintegrasi pada tahap akhir studi yang menuntut mahasiswa menerapkan pengetahuan dan keterampilan lintas mata kuliah melalui tahapan analisis, desain, implementasi, dan pengujian, dilaksanakan secara berkelompok.</w:t>
      </w:r>
    </w:p>
    <w:p>
      <w:pPr>
        <w:pStyle w:val="ListBullet"/>
      </w:pPr>
      <w:r>
        <w:rPr/>
        <w:t>Capaian Pembelajaran Lulusan (CPL) adalah kemampuan yang diperoleh melalui internalisasi pengetahuan, sikap, keterampilan, kompetensi, dan akumulasi pengalaman kerja, yang dirumuskan berdasarkan profil lulusan program studi.</w:t>
      </w:r>
    </w:p>
    <w:p>
      <w:pPr/>
      <w:r>
        <w:rPr>
          <w:b/>
          <w:sz w:val="25"/>
        </w:rPr>
        <w:t>2. Pihak Yang Bertanggung Jawab Untuk Memenuhi Standar</w:t>
      </w:r>
    </w:p>
    <w:p>
      <w:pPr>
        <w:pStyle w:val="ListBullet"/>
      </w:pPr>
      <w:r>
        <w:rPr/>
        <w:t>Rektor, dalam menetapkan kebijakan kurikulum berbasis OBE di lingkungan FTII.</w:t>
      </w:r>
    </w:p>
    <w:p>
      <w:pPr>
        <w:pStyle w:val="ListBullet"/>
      </w:pPr>
      <w:r>
        <w:rPr/>
        <w:t>Wakil Rektor Bidang Akademik dan Kemahasiswaan, dalam mengendalikan kebijakan proses dan isi pembelajaran.</w:t>
      </w:r>
    </w:p>
    <w:p>
      <w:pPr>
        <w:pStyle w:val="ListBullet"/>
      </w:pPr>
      <w:r>
        <w:rPr/>
        <w:t>Direktorat Pengembangan Kurikulum dan Pembelajaran Digital (DPKPD), sebagai pengendali dan pendamping teknis Standar Isi Pembelajaran.</w:t>
      </w:r>
    </w:p>
    <w:p>
      <w:pPr>
        <w:pStyle w:val="ListBullet"/>
      </w:pPr>
      <w:r>
        <w:rPr/>
        <w:t>Dekan FTII, dalam melakukan verifikasi kesesuaian isi pembelajaran dengan standar.</w:t>
      </w:r>
    </w:p>
    <w:p>
      <w:pPr>
        <w:pStyle w:val="ListBullet"/>
      </w:pPr>
      <w:r>
        <w:rPr/>
        <w:t>Ketua Program Studi, dalam penyusunan dan pemutakhiran kurikulum serta capaian pembelajaran.</w:t>
      </w:r>
    </w:p>
    <w:p>
      <w:pPr>
        <w:pStyle w:val="ListBullet"/>
      </w:pPr>
      <w:r>
        <w:rPr/>
        <w:t>Dosen dan mahasiswa, dalam pelaksanaan proses pembelajaran sesuai RPS.</w:t>
      </w:r>
    </w:p>
    <w:p>
      <w:pPr>
        <w:pStyle w:val="ListBullet"/>
      </w:pPr>
      <w:r>
        <w:rPr/>
        <w:t>Gugus Kendali Mutu (GKM) Program Studi, dalam verifikasi kelengkapan dan mutu dokumen kurikulum dan RPS.</w:t>
      </w:r>
    </w:p>
    <w:p>
      <w:pPr/>
      <w:r>
        <w:rPr>
          <w:b/>
          <w:sz w:val="25"/>
        </w:rPr>
        <w:t>3. Pernyataan Isi Standar Pembelajaran</w:t>
      </w:r>
    </w:p>
    <w:p>
      <w:pPr>
        <w:pStyle w:val="ListNumber"/>
      </w:pPr>
      <w:r>
        <w:rPr/>
        <w:t>Program Studi Magister Teknologi Informasi wajib memiliki dan menerapkan Standar Masukan Pendidikan yang ditetapkan melalui keputusan Rektor sebagai acuan penyediaan sumber daya pendidikan.</w:t>
      </w:r>
    </w:p>
    <w:p>
      <w:pPr>
        <w:pStyle w:val="ListNumber"/>
      </w:pPr>
      <w:r>
        <w:rPr/>
        <w:t>Program Studi Magister Teknologi Informasi wajib memiliki kebijakan, pedoman penyusunan, pelaksanaan, dan evaluasi kurikulum berbasis Outcome-Based Education (OBE) yang mencakup soft competence dan hard competence sesuai KKNI Level 8 dan kriteria LAM INFOKOM, diterapkan konsisten pada seluruh program studi.</w:t>
      </w:r>
    </w:p>
    <w:p>
      <w:pPr>
        <w:pStyle w:val="ListNumber"/>
      </w:pPr>
      <w:r>
        <w:rPr/>
        <w:t>Setiap program studi wajib meninjau dan memutakhirkan kurikulum secara berkala paling lambat setiap 4 (empat) tahun, melibatkan pemangku kepentingan internal (dosen, mahasiswa) dan eksternal (alumni, pengguna lulusan, asosiasi profesi, DUDIKA), serta direview oleh pakar bidang ilmu program studi sejenis.</w:t>
      </w:r>
    </w:p>
    <w:p>
      <w:pPr>
        <w:pStyle w:val="ListNumber"/>
      </w:pPr>
      <w:r>
        <w:rPr/>
        <w:t>Ketua Program Studi wajib memastikan ketepatan struktur kurikulum dalam pembentukan capaian pembelajaran, digambarkan dalam peta kurikulum yang menunjukkan keterkaitan setiap mata kuliah dengan CPL, ditinjau berkala paling lambat setiap tahun.</w:t>
      </w:r>
    </w:p>
    <w:p>
      <w:pPr>
        <w:pStyle w:val="ListNumber"/>
      </w:pPr>
      <w:r>
        <w:rPr/>
        <w:t>Program Studi Magister Teknologi Informasi wajib memastikan ketersediaan dan kelengkapan dokumen RPS yang mencakup sekurang-kurangnya 9 (sembilan) komponen (identitas mata kuliah dan dosen, CPL yang dibebankan, kemampuan akhir tiap tahap, bahan kajian, metode pembelajaran, alokasi waktu, pengalaman belajar/deskripsi tugas mahasiswa, kriteria-indikator-bobot penilaian, dan daftar referensi) untuk 100% mata kuliah, dapat diakses mahasiswa, dan ditinjau berkala setiap tahun.</w:t>
      </w:r>
    </w:p>
    <w:p>
      <w:pPr>
        <w:pStyle w:val="ListNumber"/>
      </w:pPr>
      <w:r>
        <w:rPr/>
        <w:t>Program Studi Magister Teknologi Informasi wajib memastikan paling sedikit 25% mata kuliah memanfaatkan hasil penelitian, pengabdian kepada masyarakat, proyek, dan/atau studi kasus dalam proses pembelajaran, meningkat secara bertahap menuju paling sedikit 30%.</w:t>
      </w:r>
    </w:p>
    <w:p>
      <w:pPr>
        <w:pStyle w:val="ListNumber"/>
      </w:pPr>
      <w:r>
        <w:rPr/>
        <w:t>Program Studi Magister Teknologi Informasi wajib menetapkan kebijakan, kriteria, dan mekanisme penetapan kelulusan mahasiswa serta kedalaman dan keluasan materi pembelajaran sesuai capaian pembelajaran lulusan.</w:t>
      </w:r>
    </w:p>
    <w:p>
      <w:pPr>
        <w:pStyle w:val="ListNumber"/>
      </w:pPr>
      <w:r>
        <w:rPr/>
        <w:t>*Program Studi Magister Teknologi Informasi wajib melaksanakan tinjauan rutin RPS melalui 4 (empat) langkah: analisis ketercapaian CPL, evaluasi kesesuaian materi dan metode pembelajaran, peninjauan metode penilaian, dan penyesuaian kurikulum dan pembaruan materi, didokumentasikan setiap akhir semester.</w:t>
      </w:r>
    </w:p>
    <w:p>
      <w:pPr>
        <w:pStyle w:val="ListNumber"/>
      </w:pPr>
      <w:r>
        <w:rPr/>
        <w:t>*Program Studi Magister Teknologi Informasi wajib memetakan kurikulum program studi terhadap body-of-knowledge internasional yang relevan dengan bidang keilmuan (misalnya ACM IS 2020 untuk program studi Sistem Informasi), mencakup pemetaan mata kuliah inti, domain spesifik, serta metode kuantitatif dan kualitatif, dibuktikan melalui dokumen pemetaan dan RPS yang selaras.</w:t>
      </w:r>
    </w:p>
    <w:p>
      <w:pPr>
        <w:pStyle w:val="ListNumber"/>
      </w:pPr>
      <w:r>
        <w:rPr/>
        <w:t>*Program Studi Magister Teknologi Informasi wajib menyelenggarakan Tesis sebagai mata kuliah wajib program magister dengan bobot 3-6 SKS pada semester 5 sampai dengan 8, mencakup tahapan analisis, desain, implementasi, dan pengujian yang dilaksanakan secara berkelompok, dibuktikan melalui dokumen RPS, laporan proyek, dan hasil evaluasi.</w:t>
      </w:r>
    </w:p>
    <w:p>
      <w:pPr/>
      <w:r>
        <w:rPr>
          <w:b/>
          <w:sz w:val="25"/>
        </w:rPr>
        <w:t>4. Strategi Pencapaian Standar</w:t>
      </w:r>
    </w:p>
    <w:p>
      <w:pPr>
        <w:pStyle w:val="ListNumber"/>
      </w:pPr>
      <w:r>
        <w:rPr/>
        <w:t>Rektor menetapkan kebijakan Standar Isi Pembelajaran sebagai bagian dari SPMI Universitas.</w:t>
      </w:r>
    </w:p>
    <w:p>
      <w:pPr>
        <w:pStyle w:val="ListNumber"/>
      </w:pPr>
      <w:r>
        <w:rPr/>
        <w:t>Ketua Program Studi menyusun dan memutakhirkan peta kurikulum yang menunjukkan keterkaitan setiap mata kuliah dengan CPL, diverifikasi oleh GKM Program Studi setiap tahun sebagai dasar penilaian ketepatan struktur kurikulum.</w:t>
      </w:r>
    </w:p>
    <w:p>
      <w:pPr>
        <w:pStyle w:val="ListNumber"/>
      </w:pPr>
      <w:r>
        <w:rPr/>
        <w:t>DPKPD bersama Ketua Program Studi menyusun dan menegaskan siklus peninjauan kurikulum eksplisit setiap 4 tahun pada dokumen kurikulum, melibatkan pakar bidang ilmu, alumni, pengguna lulusan, asosiasi profesi, dan DUDIKA.</w:t>
      </w:r>
    </w:p>
    <w:p>
      <w:pPr>
        <w:pStyle w:val="ListNumber"/>
      </w:pPr>
      <w:r>
        <w:rPr/>
        <w:t>Program studi meningkatkan integrasi hasil penelitian, PkM, proyek, dan studi kasus ke dalam mata kuliah secara bertahap menuju 30%, melalui penyempurnaan RPS dan metode pembelajaran berbasis pengalaman.</w:t>
      </w:r>
    </w:p>
    <w:p>
      <w:pPr>
        <w:pStyle w:val="ListNumber"/>
      </w:pPr>
      <w:r>
        <w:rPr/>
        <w:t>DPKPD menyusun dan menerbitkan pedoman penyusunan kurikulum dan RPS berbasis OBE sebagai acuan seluruh program studi.</w:t>
      </w:r>
    </w:p>
    <w:p>
      <w:pPr>
        <w:pStyle w:val="ListNumber"/>
      </w:pPr>
      <w:r>
        <w:rPr/>
        <w:t>GKM Program Studi memverifikasi kelengkapan dan aksesibilitas RPS bagi mahasiswa setiap awal semester.</w:t>
      </w:r>
    </w:p>
    <w:p>
      <w:pPr>
        <w:pStyle w:val="ListNumber"/>
      </w:pPr>
      <w:r>
        <w:rPr/>
        <w:t>DPKPD bersama Ketua Program Studi menyusun kebijakan dan kriteria kelulusan mahasiswa serta pedoman kedalaman dan keluasan materi pembelajaran mengacu pada level KKNI program studi, ditinjau setiap siklus kurikulum.</w:t>
      </w:r>
    </w:p>
    <w:p>
      <w:pPr>
        <w:pStyle w:val="ListNumber"/>
      </w:pPr>
      <w:r>
        <w:rPr/>
        <w:t>Ketua Program Studi bersama dosen pengampu melaksanakan tinjauan rutin RPS setiap akhir semester melalui 4 langkah (analisis ketercapaian CPL, evaluasi materi-metode, peninjauan metode penilaian, penyesuaian kurikulum dan pembaruan materi), didokumentasikan dan dilaporkan kepada GKM Program Studi.</w:t>
      </w:r>
    </w:p>
    <w:p>
      <w:pPr>
        <w:pStyle w:val="ListNumber"/>
      </w:pPr>
      <w:r>
        <w:rPr/>
        <w:t>Ketua Program Studi bersama DPKPD memetakan kurikulum program studi terhadap body-of-knowledge internasional yang relevan (misalnya ACM IS 2020 untuk Sistem Informasi), disosialisasikan kepada dosen pengampu, dan diintegrasikan ke dalam penyusunan/pemutakhiran RPS.</w:t>
      </w:r>
    </w:p>
    <w:p>
      <w:pPr>
        <w:pStyle w:val="ListNumber"/>
      </w:pPr>
      <w:r>
        <w:rPr/>
        <w:t>DPKPD bersama Ketua Program Studi mengembangkan dan menetapkan mata kuliah Tesis (3-6 SKS, semester 5-8) beserta pedoman pelaksanaan tahapan analisis-desain-implementasi-pengujian, disosialisasikan kepada dosen pembimbing dan mahasiswa.</w:t>
      </w:r>
    </w:p>
    <w:p>
      <w:pPr/>
      <w:r>
        <w:rPr>
          <w:b/>
          <w:sz w:val="25"/>
        </w:rPr>
        <w:t>5. Indikator Capaian Standar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No</w:t>
            </w:r>
          </w:p>
        </w:tc>
        <w:tc>
          <w:tcPr>
            <w:tcW w:type="dxa" w:w="1728"/>
          </w:tcPr>
          <w:p>
            <w:r>
              <w:rPr>
                <w:b/>
              </w:rPr>
              <w:t>Indikator Kinerja Utama (IKU) / Tambahan (IKT)</w:t>
            </w:r>
          </w:p>
        </w:tc>
        <w:tc>
          <w:tcPr>
            <w:tcW w:type="dxa" w:w="1728"/>
          </w:tcPr>
          <w:p>
            <w:r>
              <w:rPr>
                <w:b/>
              </w:rPr>
              <w:t>2024/2025</w:t>
            </w:r>
          </w:p>
        </w:tc>
        <w:tc>
          <w:tcPr>
            <w:tcW w:type="dxa" w:w="1728"/>
          </w:tcPr>
          <w:p>
            <w:r>
              <w:rPr>
                <w:b/>
              </w:rPr>
              <w:t>2025/2026</w:t>
            </w:r>
          </w:p>
        </w:tc>
        <w:tc>
          <w:tcPr>
            <w:tcW w:type="dxa" w:w="1728"/>
          </w:tcPr>
          <w:p>
            <w:r>
              <w:rPr>
                <w:b/>
              </w:rPr>
              <w:t>2026/2027</w:t>
            </w:r>
          </w:p>
        </w:tc>
      </w:tr>
      <w:tr>
        <w:tc>
          <w:tcPr>
            <w:tcW w:type="dxa" w:w="1728"/>
          </w:tcPr>
          <w:p>
            <w:r>
              <w:t>1</w:t>
            </w:r>
          </w:p>
        </w:tc>
        <w:tc>
          <w:tcPr>
            <w:tcW w:type="dxa" w:w="1728"/>
          </w:tcPr>
          <w:p>
            <w:r>
              <w:t>Ketersediaan kebijakan kurikulum berbasis OBE</w:t>
            </w:r>
          </w:p>
        </w:tc>
        <w:tc>
          <w:tcPr>
            <w:tcW w:type="dxa" w:w="1728"/>
          </w:tcPr>
          <w:p>
            <w:r>
              <w:t>Tersedia</w:t>
            </w:r>
          </w:p>
        </w:tc>
        <w:tc>
          <w:tcPr>
            <w:tcW w:type="dxa" w:w="1728"/>
          </w:tcPr>
          <w:p>
            <w:r>
              <w:t>Tersedia</w:t>
            </w:r>
          </w:p>
        </w:tc>
        <w:tc>
          <w:tcPr>
            <w:tcW w:type="dxa" w:w="1728"/>
          </w:tcPr>
          <w:p>
            <w:r>
              <w:t>Tersedia</w:t>
            </w:r>
          </w:p>
        </w:tc>
      </w:tr>
      <w:tr>
        <w:tc>
          <w:tcPr>
            <w:tcW w:type="dxa" w:w="1728"/>
          </w:tcPr>
          <w:p>
            <w:r>
              <w:t>2</w:t>
            </w:r>
          </w:p>
        </w:tc>
        <w:tc>
          <w:tcPr>
            <w:tcW w:type="dxa" w:w="1728"/>
          </w:tcPr>
          <w:p>
            <w:r>
              <w:t>Siklus peninjauan kurikulum eksplisit (paling lambat, tahun)</w:t>
            </w:r>
          </w:p>
        </w:tc>
        <w:tc>
          <w:tcPr>
            <w:tcW w:type="dxa" w:w="1728"/>
          </w:tcPr>
          <w:p>
            <w:r>
              <w:t>4</w:t>
            </w:r>
          </w:p>
        </w:tc>
        <w:tc>
          <w:tcPr>
            <w:tcW w:type="dxa" w:w="1728"/>
          </w:tcPr>
          <w:p>
            <w:r>
              <w:t>4</w:t>
            </w:r>
          </w:p>
        </w:tc>
        <w:tc>
          <w:tcPr>
            <w:tcW w:type="dxa" w:w="1728"/>
          </w:tcPr>
          <w:p>
            <w:r>
              <w:t>4</w:t>
            </w:r>
          </w:p>
        </w:tc>
      </w:tr>
      <w:tr>
        <w:tc>
          <w:tcPr>
            <w:tcW w:type="dxa" w:w="1728"/>
          </w:tcPr>
          <w:p>
            <w:r>
              <w:t>3</w:t>
            </w:r>
          </w:p>
        </w:tc>
        <w:tc>
          <w:tcPr>
            <w:tcW w:type="dxa" w:w="1728"/>
          </w:tcPr>
          <w:p>
            <w:r>
              <w:t>Ketepatan struktur kurikulum-CPL ditinjau berkala (frekuensi/tahun)</w:t>
            </w:r>
          </w:p>
        </w:tc>
        <w:tc>
          <w:tcPr>
            <w:tcW w:type="dxa" w:w="1728"/>
          </w:tcPr>
          <w:p>
            <w:r>
              <w:t>1</w:t>
            </w:r>
          </w:p>
        </w:tc>
        <w:tc>
          <w:tcPr>
            <w:tcW w:type="dxa" w:w="1728"/>
          </w:tcPr>
          <w:p>
            <w:r>
              <w:t>1</w:t>
            </w:r>
          </w:p>
        </w:tc>
        <w:tc>
          <w:tcPr>
            <w:tcW w:type="dxa" w:w="1728"/>
          </w:tcPr>
          <w:p>
            <w:r>
              <w:t>1</w:t>
            </w:r>
          </w:p>
        </w:tc>
      </w:tr>
      <w:tr>
        <w:tc>
          <w:tcPr>
            <w:tcW w:type="dxa" w:w="1728"/>
          </w:tcPr>
          <w:p>
            <w:r>
              <w:t>4</w:t>
            </w:r>
          </w:p>
        </w:tc>
        <w:tc>
          <w:tcPr>
            <w:tcW w:type="dxa" w:w="1728"/>
          </w:tcPr>
          <w:p>
            <w:r>
              <w:t>Kelengkapan dokumen RPS memenuhi 9 komponen wajib, aksesibel mahasiswa (awal semester; selaras Standar Proses Pembelajaran)</w:t>
            </w:r>
          </w:p>
        </w:tc>
        <w:tc>
          <w:tcPr>
            <w:tcW w:type="dxa" w:w="1728"/>
          </w:tcPr>
          <w:p>
            <w:r>
              <w:t>90%</w:t>
            </w:r>
          </w:p>
        </w:tc>
        <w:tc>
          <w:tcPr>
            <w:tcW w:type="dxa" w:w="1728"/>
          </w:tcPr>
          <w:p>
            <w:r>
              <w:t>95%</w:t>
            </w:r>
          </w:p>
        </w:tc>
        <w:tc>
          <w:tcPr>
            <w:tcW w:type="dxa" w:w="1728"/>
          </w:tcPr>
          <w:p>
            <w:r>
              <w:t>100%</w:t>
            </w:r>
          </w:p>
        </w:tc>
      </w:tr>
      <w:tr>
        <w:tc>
          <w:tcPr>
            <w:tcW w:type="dxa" w:w="1728"/>
          </w:tcPr>
          <w:p>
            <w:r>
              <w:t>5</w:t>
            </w:r>
          </w:p>
        </w:tc>
        <w:tc>
          <w:tcPr>
            <w:tcW w:type="dxa" w:w="1728"/>
          </w:tcPr>
          <w:p>
            <w:r>
              <w:t>Mata kuliah memanfaatkan hasil penelitian/PkM/proyek/kasus</w:t>
            </w:r>
          </w:p>
        </w:tc>
        <w:tc>
          <w:tcPr>
            <w:tcW w:type="dxa" w:w="1728"/>
          </w:tcPr>
          <w:p>
            <w:r>
              <w:t>25%</w:t>
            </w:r>
          </w:p>
        </w:tc>
        <w:tc>
          <w:tcPr>
            <w:tcW w:type="dxa" w:w="1728"/>
          </w:tcPr>
          <w:p>
            <w:r>
              <w:t>28%</w:t>
            </w:r>
          </w:p>
        </w:tc>
        <w:tc>
          <w:tcPr>
            <w:tcW w:type="dxa" w:w="1728"/>
          </w:tcPr>
          <w:p>
            <w:r>
              <w:t>30%</w:t>
            </w:r>
          </w:p>
        </w:tc>
      </w:tr>
      <w:tr>
        <w:tc>
          <w:tcPr>
            <w:tcW w:type="dxa" w:w="1728"/>
          </w:tcPr>
          <w:p>
            <w:r>
              <w:t>*8</w:t>
            </w:r>
          </w:p>
        </w:tc>
        <w:tc>
          <w:tcPr>
            <w:tcW w:type="dxa" w:w="1728"/>
          </w:tcPr>
          <w:p>
            <w:r>
              <w:t>Persentase program studi menerapkan kebijakan kurikulum OBE secara konsisten</w:t>
            </w:r>
          </w:p>
        </w:tc>
        <w:tc>
          <w:tcPr>
            <w:tcW w:type="dxa" w:w="1728"/>
          </w:tcPr>
          <w:p>
            <w:r>
              <w:t>90%</w:t>
            </w:r>
          </w:p>
        </w:tc>
        <w:tc>
          <w:tcPr>
            <w:tcW w:type="dxa" w:w="1728"/>
          </w:tcPr>
          <w:p>
            <w:r>
              <w:t>95%</w:t>
            </w:r>
          </w:p>
        </w:tc>
        <w:tc>
          <w:tcPr>
            <w:tcW w:type="dxa" w:w="1728"/>
          </w:tcPr>
          <w:p>
            <w:r>
              <w:t>100%</w:t>
            </w:r>
          </w:p>
        </w:tc>
      </w:tr>
      <w:tr>
        <w:tc>
          <w:tcPr>
            <w:tcW w:type="dxa" w:w="1728"/>
          </w:tcPr>
          <w:p>
            <w:r>
              <w:t>*7</w:t>
            </w:r>
          </w:p>
        </w:tc>
        <w:tc>
          <w:tcPr>
            <w:tcW w:type="dxa" w:w="1728"/>
          </w:tcPr>
          <w:p>
            <w:r>
              <w:t>Ketersediaan kebijakan kriteria kelulusan mahasiswa dan pedoman kedalaman-keluasan materi pembelajaran</w:t>
            </w:r>
          </w:p>
        </w:tc>
        <w:tc>
          <w:tcPr>
            <w:tcW w:type="dxa" w:w="1728"/>
          </w:tcPr>
          <w:p>
            <w:r>
              <w:t>Tersedia</w:t>
            </w:r>
          </w:p>
        </w:tc>
        <w:tc>
          <w:tcPr>
            <w:tcW w:type="dxa" w:w="1728"/>
          </w:tcPr>
          <w:p>
            <w:r>
              <w:t>Tersedia</w:t>
            </w:r>
          </w:p>
        </w:tc>
        <w:tc>
          <w:tcPr>
            <w:tcW w:type="dxa" w:w="1728"/>
          </w:tcPr>
          <w:p>
            <w:r>
              <w:t>Tersedia</w:t>
            </w:r>
          </w:p>
        </w:tc>
      </w:tr>
      <w:tr>
        <w:tc>
          <w:tcPr>
            <w:tcW w:type="dxa" w:w="1728"/>
          </w:tcPr>
          <w:p>
            <w:r>
              <w:t>*9</w:t>
            </w:r>
          </w:p>
        </w:tc>
        <w:tc>
          <w:tcPr>
            <w:tcW w:type="dxa" w:w="1728"/>
          </w:tcPr>
          <w:p>
            <w:r>
              <w:t>Pelaksanaan tinjauan rutin RPS 4 langkah (frekuensi/tahun)</w:t>
            </w:r>
          </w:p>
        </w:tc>
        <w:tc>
          <w:tcPr>
            <w:tcW w:type="dxa" w:w="1728"/>
          </w:tcPr>
          <w:p>
            <w:r>
              <w:t>2 kali</w:t>
            </w:r>
          </w:p>
        </w:tc>
        <w:tc>
          <w:tcPr>
            <w:tcW w:type="dxa" w:w="1728"/>
          </w:tcPr>
          <w:p>
            <w:r>
              <w:t>2 kali</w:t>
            </w:r>
          </w:p>
        </w:tc>
        <w:tc>
          <w:tcPr>
            <w:tcW w:type="dxa" w:w="1728"/>
          </w:tcPr>
          <w:p>
            <w:r>
              <w:t>2 kali</w:t>
            </w:r>
          </w:p>
        </w:tc>
      </w:tr>
      <w:tr>
        <w:tc>
          <w:tcPr>
            <w:tcW w:type="dxa" w:w="1728"/>
          </w:tcPr>
          <w:p>
            <w:r>
              <w:t>*10</w:t>
            </w:r>
          </w:p>
        </w:tc>
        <w:tc>
          <w:tcPr>
            <w:tcW w:type="dxa" w:w="1728"/>
          </w:tcPr>
          <w:p>
            <w:r>
              <w:t>Persentase program studi memiliki dokumen pemetaan kurikulum terhadap body-of-knowledge internasional (mis. ACM IS 2020)</w:t>
            </w:r>
          </w:p>
        </w:tc>
        <w:tc>
          <w:tcPr>
            <w:tcW w:type="dxa" w:w="1728"/>
          </w:tcPr>
          <w:p>
            <w:r>
              <w:t>50%</w:t>
            </w:r>
          </w:p>
        </w:tc>
        <w:tc>
          <w:tcPr>
            <w:tcW w:type="dxa" w:w="1728"/>
          </w:tcPr>
          <w:p>
            <w:r>
              <w:t>75%</w:t>
            </w:r>
          </w:p>
        </w:tc>
        <w:tc>
          <w:tcPr>
            <w:tcW w:type="dxa" w:w="1728"/>
          </w:tcPr>
          <w:p>
            <w:r>
              <w:t>100%</w:t>
            </w:r>
          </w:p>
        </w:tc>
      </w:tr>
      <w:tr>
        <w:tc>
          <w:tcPr>
            <w:tcW w:type="dxa" w:w="1728"/>
          </w:tcPr>
          <w:p>
            <w:r>
              <w:t>*11</w:t>
            </w:r>
          </w:p>
        </w:tc>
        <w:tc>
          <w:tcPr>
            <w:tcW w:type="dxa" w:w="1728"/>
          </w:tcPr>
          <w:p>
            <w:r>
              <w:t>Ketersediaan mata kuliah Tesis (3-6 SKS, semester 5-8) pada seluruh program studi</w:t>
            </w:r>
          </w:p>
        </w:tc>
        <w:tc>
          <w:tcPr>
            <w:tcW w:type="dxa" w:w="1728"/>
          </w:tcPr>
          <w:p>
            <w:r>
              <w:t>80%</w:t>
            </w:r>
          </w:p>
        </w:tc>
        <w:tc>
          <w:tcPr>
            <w:tcW w:type="dxa" w:w="1728"/>
          </w:tcPr>
          <w:p>
            <w:r>
              <w:t>90%</w:t>
            </w:r>
          </w:p>
        </w:tc>
        <w:tc>
          <w:tcPr>
            <w:tcW w:type="dxa" w:w="1728"/>
          </w:tcPr>
          <w:p>
            <w:r>
              <w:t>100%</w:t>
            </w:r>
          </w:p>
        </w:tc>
      </w:tr>
      <w:tr>
        <w:tc>
          <w:tcPr>
            <w:tcW w:type="dxa" w:w="1728"/>
          </w:tcPr>
          <w:p>
            <w:r>
              <w:t>*6</w:t>
            </w:r>
          </w:p>
        </w:tc>
        <w:tc>
          <w:tcPr>
            <w:tcW w:type="dxa" w:w="1728"/>
          </w:tcPr>
          <w:p>
            <w:r>
              <w:t>Pelaksanaan root-cause analysis &amp; SWOT tahunan Standar Isi Pembelajaran (sesuai Standar SPMI)</w:t>
            </w:r>
          </w:p>
        </w:tc>
        <w:tc>
          <w:tcPr>
            <w:tcW w:type="dxa" w:w="1728"/>
          </w:tcPr>
          <w:p>
            <w:r>
              <w:t>Terlaksana</w:t>
            </w:r>
          </w:p>
        </w:tc>
        <w:tc>
          <w:tcPr>
            <w:tcW w:type="dxa" w:w="1728"/>
          </w:tcPr>
          <w:p>
            <w:r>
              <w:t>Terlaksana</w:t>
            </w:r>
          </w:p>
        </w:tc>
        <w:tc>
          <w:tcPr>
            <w:tcW w:type="dxa" w:w="1728"/>
          </w:tcPr>
          <w:p>
            <w:r>
              <w:t>Terlaksana</w:t>
            </w:r>
          </w:p>
        </w:tc>
      </w:tr>
    </w:tbl>
    <w:p>
      <w:pPr/>
    </w:p>
    <w:p>
      <w:pPr>
        <w:jc w:val="center"/>
      </w:pPr>
      <w:r>
        <w:rPr>
          <w:b/>
          <w:sz w:val="28"/>
        </w:rPr>
        <w:t>STANDAR DOSEN DAN TENAGA KEPENDIDIKAN</w:t>
      </w:r>
    </w:p>
    <w:p>
      <w:pPr/>
    </w:p>
    <w:p>
      <w:pPr/>
      <w:r>
        <w:rPr>
          <w:b/>
          <w:sz w:val="25"/>
        </w:rPr>
        <w:t>1. Daftar Istilah</w:t>
      </w:r>
    </w:p>
    <w:p>
      <w:pPr>
        <w:pStyle w:val="ListBullet"/>
      </w:pPr>
      <w:r>
        <w:rPr/>
        <w:t>Dosen adalah pendidik profesional dan ilmuwan dengan tugas utama mentransformasikan, mengembangkan, dan menyebarluaskan ilmu pengetahuan dan teknologi melalui pendidikan, penelitian, dan pengabdian kepada masyarakat.</w:t>
      </w:r>
    </w:p>
    <w:p>
      <w:pPr>
        <w:pStyle w:val="ListBullet"/>
      </w:pPr>
      <w:r>
        <w:rPr/>
        <w:t>Dosen Tetap Program Studi (DTPS) adalah dosen tetap Perguruan Tinggi yang mengajar pada program studi yang diakreditasi sesuai kompetensinya, serta melakukan penelitian dan PkM sesuai visi keilmuan program studi (istilah LAM Teknik).</w:t>
      </w:r>
    </w:p>
    <w:p>
      <w:pPr>
        <w:pStyle w:val="ListBullet"/>
      </w:pPr>
      <w:r>
        <w:rPr/>
        <w:t>Dosen Tetap Penghitung Rasio (DTPR) adalah dosen tetap institusi dengan keahlian bidang informatika dan komputer (ditunjukkan melalui latar belakang pendidikan, sertifikasi keahlian, rekam jejak penelitian, atau publikasi) yang ditugaskan mengajar mata kuliah bidang informatika dan komputer pada program studi yang diakreditasi (istilah Instrumen Akreditasi Program Studi 2.0 LAM INFOKOM, sepadan dengan DTPS).</w:t>
      </w:r>
    </w:p>
    <w:p>
      <w:pPr>
        <w:pStyle w:val="ListBullet"/>
      </w:pPr>
      <w:r>
        <w:rPr/>
        <w:t>Kualifikasi Akademik adalah ijazah jenjang pendidikan akademik yang harus dimiliki dosen sesuai jenis, jenjang, dan bidang penugasan.</w:t>
      </w:r>
    </w:p>
    <w:p>
      <w:pPr>
        <w:pStyle w:val="ListBullet"/>
      </w:pPr>
      <w:r>
        <w:rPr/>
        <w:t>Beban Kerja Dosen (BKD) adalah tugas tridharma yang wajib dilaksanakan dosen dengan beban paling sedikit sepadan 12 sks dan paling banyak 16 sks setiap semester, mencakup pendidikan-penelitian (≥9 sks), pengabdian dan penunjang (≥3 sks).</w:t>
      </w:r>
    </w:p>
    <w:p>
      <w:pPr>
        <w:pStyle w:val="ListBullet"/>
      </w:pPr>
      <w:r>
        <w:rPr/>
        <w:t>Jabatan Akademik Dosen adalah kedudukan yang menunjukkan tugas, tanggung jawab, wewenang, dan hak dosen (Asisten Ahli, Lektor, Lektor Kepala, Guru Besar) dalam suatu perguruan tinggi.</w:t>
      </w:r>
    </w:p>
    <w:p>
      <w:pPr>
        <w:pStyle w:val="ListBullet"/>
      </w:pPr>
      <w:r>
        <w:rPr/>
        <w:t>Sertifikat Pendidik adalah bukti formal pengakuan yang diberikan kepada dosen sebagai tenaga profesional pendidik.</w:t>
      </w:r>
    </w:p>
    <w:p>
      <w:pPr>
        <w:pStyle w:val="ListBullet"/>
      </w:pPr>
      <w:r>
        <w:rPr/>
        <w:t>Tenaga Kependidikan adalah anggota masyarakat yang diangkat untuk menunjang penyelenggaraan pendidikan, antara lain pustakawan, tenaga administrasi, laboran, teknisi, dan pranata teknik informasi.</w:t>
      </w:r>
    </w:p>
    <w:p>
      <w:pPr/>
      <w:r>
        <w:rPr>
          <w:b/>
          <w:sz w:val="25"/>
        </w:rPr>
        <w:t>2. Pihak Yang Bertanggung Jawab Untuk Memenuhi Standar</w:t>
      </w:r>
    </w:p>
    <w:p>
      <w:pPr>
        <w:pStyle w:val="ListBullet"/>
      </w:pPr>
      <w:r>
        <w:rPr/>
        <w:t>Rektor, dalam menetapkan kebijakan pengelolaan SDM dosen dan tenaga kependidikan.</w:t>
      </w:r>
    </w:p>
    <w:p>
      <w:pPr>
        <w:pStyle w:val="ListBullet"/>
      </w:pPr>
      <w:r>
        <w:rPr/>
        <w:t>Wakil Rektor Bidang Akademik dan Kemahasiswaan, dalam menjamin kecukupan dan kualifikasi DTPS/DTPR.</w:t>
      </w:r>
    </w:p>
    <w:p>
      <w:pPr>
        <w:pStyle w:val="ListBullet"/>
      </w:pPr>
      <w:r>
        <w:rPr/>
        <w:t>Direktorat Sumber Daya Manusia, dalam pengembangan karier, sertifikasi, dan studi lanjut dosen.</w:t>
      </w:r>
    </w:p>
    <w:p>
      <w:pPr>
        <w:pStyle w:val="ListBullet"/>
      </w:pPr>
      <w:r>
        <w:rPr/>
        <w:t>Dekan FTII, dalam pemantauan beban kerja dan kinerja tridharma dosen tingkat fakultas.</w:t>
      </w:r>
    </w:p>
    <w:p>
      <w:pPr>
        <w:pStyle w:val="ListBullet"/>
      </w:pPr>
      <w:r>
        <w:rPr/>
        <w:t>Ketua Program Studi, dalam verifikasi rasio dosen:mahasiswa dan kinerja DTPS/DTPR per program studi.</w:t>
      </w:r>
    </w:p>
    <w:p>
      <w:pPr>
        <w:pStyle w:val="ListBullet"/>
      </w:pPr>
      <w:r>
        <w:rPr/>
        <w:t>Gugus Kendali Mutu (GKM) Program Studi, dalam validasi data kualifikasi dan kinerja dosen setiap semester.</w:t>
      </w:r>
    </w:p>
    <w:p>
      <w:pPr/>
      <w:r>
        <w:rPr>
          <w:b/>
          <w:sz w:val="25"/>
        </w:rPr>
        <w:t>3. Pernyataan Isi Standar Dosen dan Tenaga Kependidikan</w:t>
      </w:r>
    </w:p>
    <w:p>
      <w:pPr>
        <w:pStyle w:val="ListNumber"/>
      </w:pPr>
      <w:r>
        <w:rPr/>
        <w:t>Program Studi Magister Teknologi Informasi wajib menjaga rasio dosen tetap program studi terhadap mahasiswa pada rentang ideal 1:20 sampai dengan 1:25, sesuai ambang skor sempurna LAM Teknik (rasio mahasiswa:dosen 15-25) dan ambang rumpun sains-teknologi LAM INFOKOM (maksimal 1:23-1:25).</w:t>
      </w:r>
    </w:p>
    <w:p>
      <w:pPr>
        <w:pStyle w:val="ListNumber"/>
      </w:pPr>
      <w:r>
        <w:rPr/>
        <w:t>Program Studi Magister Teknologi Informasi wajib memastikan jumlah dosen tetap program studi (NDTPS/DTPR) paling sedikit 12 orang per program studi dengan kualifikasi dan kompetensi sesuai bidang keilmuan informatika dan komputer.</w:t>
      </w:r>
    </w:p>
    <w:p>
      <w:pPr>
        <w:pStyle w:val="ListNumber"/>
      </w:pPr>
      <w:r>
        <w:rPr/>
        <w:t>Program Studi Magister Teknologi Informasi wajib meningkatkan persentase dosen tetap bergelar Doktor menuju paling sedikit 40% dalam jangka menengah dan paling sedikit 50% dalam jangka panjang, sesuai ambang skor sempurna LAM Teknik (≥50%) dan ambang minimal praktik baik SPMI perguruan tinggi sejenis (&gt;40%).</w:t>
      </w:r>
    </w:p>
    <w:p>
      <w:pPr>
        <w:pStyle w:val="ListNumber"/>
      </w:pPr>
      <w:r>
        <w:rPr/>
        <w:t>Program Studi Magister Teknologi Informasi wajib meningkatkan persentase dosen tetap dengan jabatan fungsional Guru Besar dan Lektor Kepala (GB+LK) menuju paling sedikit 40%, sesuai ambang praktik baik SPMI perguruan tinggi sejenis; ambang ini diakui masih di bawah skor sempurna LAM Teknik (PGBLKL ≥70%) mengingat profil kepangkatan dosen FTII saat ini, dikompensasi oleh capaian yang setara/melampaui pada indikator kualifikasi Doktor, sertifikasi, dan kinerja publikasi, serta akan ditinjau untuk elevasi lebih lanjut pada siklus Renstra berikutnya.</w:t>
      </w:r>
    </w:p>
    <w:p>
      <w:pPr>
        <w:pStyle w:val="ListNumber"/>
      </w:pPr>
      <w:r>
        <w:rPr/>
        <w:t>Program Studi Magister Teknologi Informasi wajib menjaga persentase dosen tetap bersertifikat pendidik paling sedikit 90%, melampaui ambang skor sempurna LAM Teknik dan praktik baik SPMI perguruan tinggi sejenis (masing-masing ≥80%).</w:t>
      </w:r>
    </w:p>
    <w:p>
      <w:pPr>
        <w:pStyle w:val="ListNumber"/>
      </w:pPr>
      <w:r>
        <w:rPr/>
        <w:t>*Program Studi Magister Teknologi Informasi wajib meningkatkan persentase dosen tetap yang memiliki sertifikat kompetensi/profesi/industri (di luar sertifikat pendidik) paling sedikit 20% pada tahun pertama, meningkat menuju paling sedikit 40% pada akhir siklus Renstra, sesuai ambang deskriptor LAM Teknik yang membedakan sertifikasi pendidik dengan sertifikasi kompetensi/profesi/industri.</w:t>
      </w:r>
    </w:p>
    <w:p>
      <w:pPr>
        <w:pStyle w:val="ListNumber"/>
      </w:pPr>
      <w:r>
        <w:rPr/>
        <w:t>*Program Studi Magister Teknologi Informasi wajib melibatkan dosen industri/praktisi untuk mengampu paling sedikit 10% mata kuliah kompetensi setiap program studi, meningkat menuju paling sedikit 20% pada akhir siklus Renstra.</w:t>
      </w:r>
    </w:p>
    <w:p>
      <w:pPr>
        <w:pStyle w:val="ListNumber"/>
      </w:pPr>
      <w:r>
        <w:rPr/>
        <w:t>Program Studi Magister Teknologi Informasi wajib menjamin dana penelitian per dosen paling sedikit Rp10.000.000/tahun dan dana pengabdian kepada masyarakat per dosen paling sedikit Rp5.000.000/tahun, sesuai ambang skor sempurna Panduan SPMI Program Magister dan LAM Teknik.</w:t>
      </w:r>
    </w:p>
    <w:p>
      <w:pPr>
        <w:pStyle w:val="ListNumber"/>
      </w:pPr>
      <w:r>
        <w:rPr/>
        <w:t>Program Studi Magister Teknologi Informasi wajib menjamin paling sedikit 90% dosen tetap aktif melaksanakan penelitian, pengabdian kepada masyarakat, dan publikasi ilmiah setiap tahun, serta paling sedikit 35% dosen memperoleh rekognisi/pengakuan nasional maupun internasional pada tahun pertama, meningkat menuju paling sedikit 50% pada akhir siklus Renstra, sesuai ambang skor sempurna LAM Teknik (PRDTPS ≥50%).</w:t>
      </w:r>
    </w:p>
    <w:p>
      <w:pPr>
        <w:pStyle w:val="ListNumber"/>
      </w:pPr>
      <w:r>
        <w:rPr/>
        <w:t>*Program Studi Magister Teknologi Informasi wajib mendorong dan mendokumentasikan produk atau jasa hasil karya dosen yang diadopsi oleh industri dan/atau masyarakat, dengan target paling sedikit 2 (dua) produk/jasa per tahun pada tingkat fakultas, meningkat menuju paling sedikit 4 (empat) per tahun pada akhir siklus Renstra, dibuktikan surat keterangan adopsi/pemanfaatan.</w:t>
      </w:r>
    </w:p>
    <w:p>
      <w:pPr>
        <w:pStyle w:val="ListNumber"/>
      </w:pPr>
      <w:r>
        <w:rPr/>
        <w:t>*Program Studi Magister Teknologi Informasi wajib meningkatkan jumlah karya ilmiah dosen yang disitasi pada basis data pengindeks internasional (Scopus/Web of Science/Google Scholar) paling sedikit 3 sitasi per dosen aktif publikasi per tahun pada tahun pertama, meningkat menuju paling sedikit 5 sitasi per dosen per tahun pada akhir siklus Renstra.</w:t>
      </w:r>
    </w:p>
    <w:p>
      <w:pPr>
        <w:pStyle w:val="ListNumber"/>
      </w:pPr>
      <w:r>
        <w:rPr/>
        <w:t>Program Studi Magister Teknologi Informasi wajib menjamin kualifikasi pendidikan tenaga kependidikan minimal D3/sederajat untuk tenaga administrasi dan minimal D3 dengan sertifikat kompetensi untuk tenaga fungsional (laboran, pustakawan, teknisi).</w:t>
      </w:r>
    </w:p>
    <w:p>
      <w:pPr>
        <w:pStyle w:val="ListNumber"/>
      </w:pPr>
      <w:r>
        <w:rPr/>
        <w:t>*Program Studi Magister Teknologi Informasi wajib memantau dan mendokumentasikan pemenuhan Beban Kerja Dosen (BKD) setiap semester sesuai ketentuan 12-16 sks per dosen, mencakup unsur pendidikan-penelitian (paling sedikit 9 sks) dan pengabdian-penunjang (paling sedikit 3 sks), dilaporkan melalui Laporan Kinerja Dosen (LKD).</w:t>
      </w:r>
    </w:p>
    <w:p>
      <w:pPr>
        <w:pStyle w:val="ListNumber"/>
      </w:pPr>
      <w:r>
        <w:rPr/>
        <w:t>*Program Studi Magister Teknologi Informasi wajib meningkatkan persentase DTPS yang menjadi penulis utama dan/atau penulis korespondensi pada publikasi jurnal internasional bereputasi, paling sedikit 30% pada tahun pertama, meningkat menuju paling sedikit 50% pada akhir siklus Renstra, sesuai ambang skor sempurna LAM Teknik (PKDTPS ≥50%).</w:t>
      </w:r>
    </w:p>
    <w:p>
      <w:pPr/>
      <w:r>
        <w:rPr>
          <w:b/>
          <w:sz w:val="25"/>
        </w:rPr>
        <w:t>4. Strategi Pencapaian Standar</w:t>
      </w:r>
    </w:p>
    <w:p>
      <w:pPr>
        <w:pStyle w:val="ListNumber"/>
      </w:pPr>
      <w:r>
        <w:rPr/>
        <w:t>Wakil Rektor Bidang Akademik dan Kemahasiswaan bersama fakultas menyusun rencana kebutuhan dosen berbasis rasio ideal 1:20-1:25, memprioritaskan rekrutmen pada program studi dengan rasio di luar rentang tersebut.</w:t>
      </w:r>
    </w:p>
    <w:p>
      <w:pPr>
        <w:pStyle w:val="ListNumber"/>
      </w:pPr>
      <w:r>
        <w:rPr/>
        <w:t>Fakultas menyusun dan melaksanakan roadmap percepatan studi lanjut S3 dosen untuk mencapai target 40% (2024/25) hingga 50% (2026/27) dosen bergelar Doktor.</w:t>
      </w:r>
    </w:p>
    <w:p>
      <w:pPr>
        <w:pStyle w:val="ListNumber"/>
      </w:pPr>
      <w:r>
        <w:rPr/>
        <w:t>Fakultas memberikan insentif dan pendampingan percepatan kenaikan jabatan fungsional menuju Lektor Kepala dan Guru Besar, ditargetkan mencapai 40% dosen berjabatan GB+LK pada 2026/27.</w:t>
      </w:r>
    </w:p>
    <w:p>
      <w:pPr>
        <w:pStyle w:val="ListNumber"/>
      </w:pPr>
      <w:r>
        <w:rPr/>
        <w:t>Fakultas mendorong seluruh dosen menyelesaikan sertifikasi pendidik (serdos) dan memfasilitasi sertifikasi kompetensi/profesi/industri melalui kerja sama dengan lembaga sertifikasi dan asosiasi profesi.</w:t>
      </w:r>
    </w:p>
    <w:p>
      <w:pPr>
        <w:pStyle w:val="ListNumber"/>
      </w:pPr>
      <w:r>
        <w:rPr/>
        <w:t>Ketua Program Studi menjalin kerja sama dengan DUDIKA untuk penugasan dosen industri/praktisi mengampu mata kuliah kompetensi, mengikuti pedoman dosen praktisi Kemendikbudristek.</w:t>
      </w:r>
    </w:p>
    <w:p>
      <w:pPr>
        <w:pStyle w:val="ListNumber"/>
      </w:pPr>
      <w:r>
        <w:rPr/>
        <w:t>DPPMP menyediakan skema hibah penelitian dan PkM internal yang menjamin dana penelitian minimal Rp10 juta/dosen/tahun dan dana PkM minimal Rp5 juta/dosen/tahun, dilengkapi pendampingan hibah eksternal.</w:t>
      </w:r>
    </w:p>
    <w:p>
      <w:pPr>
        <w:pStyle w:val="ListNumber"/>
      </w:pPr>
      <w:r>
        <w:rPr/>
        <w:t>Direktorat Sumber Daya Manusia bersama Fakultas memfasilitasi dosen memperoleh rekognisi/pengakuan nasional maupun internasional (keynote/invited speaker, editor/mitra bestari jurnal, visiting scholar/lecturer, penghargaan kompetisi ilmiah) melalui pendampingan pengajuan dan pendanaan partisipasi forum ilmiah.</w:t>
      </w:r>
    </w:p>
    <w:p>
      <w:pPr>
        <w:pStyle w:val="ListNumber"/>
      </w:pPr>
      <w:r>
        <w:rPr/>
        <w:t>Fakultas memantau dan menindaklanjuti dosen yang belum aktif penelitian, PkM, atau publikasi ilmiah melalui pembinaan individual dan target kinerja tahunan dalam Laporan Kinerja Dosen (LKD).</w:t>
      </w:r>
    </w:p>
    <w:p>
      <w:pPr>
        <w:pStyle w:val="ListNumber"/>
      </w:pPr>
      <w:r>
        <w:rPr/>
        <w:t>Ketua Program Studi memfasilitasi hilirisasi hasil penelitian/PkM dosen berpotensi diadopsi industri, berkoordinasi dengan unit kerja sama fakultas untuk memperoleh bukti adopsi.</w:t>
      </w:r>
    </w:p>
    <w:p>
      <w:pPr>
        <w:pStyle w:val="ListNumber"/>
      </w:pPr>
      <w:r>
        <w:rPr/>
        <w:t>Fakultas mendorong dosen mempublikasikan pada jurnal/prosiding terindeks bereputasi dan aktif melakukan sitasi-silang untuk meningkatkan jumlah sitasi karya ilmiah pada basis data pengindeks internasional.</w:t>
      </w:r>
    </w:p>
    <w:p>
      <w:pPr>
        <w:pStyle w:val="ListNumber"/>
      </w:pPr>
      <w:r>
        <w:rPr/>
        <w:t>Direktorat Sumber Daya Manusia bersama Fakultas memfasilitasi sertifikasi kompetensi bagi tenaga fungsional (laboran, pustakawan, teknisi) melalui kerja sama dengan lembaga sertifikasi profesi, guna memenuhi persyaratan minimal D3 dengan sertifikat kompetensi.</w:t>
      </w:r>
    </w:p>
    <w:p>
      <w:pPr>
        <w:pStyle w:val="ListNumber"/>
      </w:pPr>
      <w:r>
        <w:rPr/>
        <w:t>Universitas dan fakultas menjamin kualifikasi minimal D3/sederajat bagi seluruh tenaga administrasi baru serta mendorong sertifikasi kompetensi bagi tenaga fungsional.</w:t>
      </w:r>
    </w:p>
    <w:p>
      <w:pPr>
        <w:pStyle w:val="ListNumber"/>
      </w:pPr>
      <w:r>
        <w:rPr/>
        <w:t>Ketua Program Studi bersama dosen memantau dan melaporkan pemenuhan Beban Kerja Dosen (BKD) setiap semester melalui sistem informasi akademik, diverifikasi oleh GKM Program Studi.</w:t>
      </w:r>
    </w:p>
    <w:p>
      <w:pPr>
        <w:pStyle w:val="ListNumber"/>
      </w:pPr>
      <w:r>
        <w:rPr/>
        <w:t>Fakultas mendorong dan mendampingi dosen menjadi penulis utama/korespondensi pada publikasi jurnal internasional bereputasi melalui pelatihan penulisan ilmiah dan insentif publikasi, dipantau oleh Direktorat Sumber Daya Manusia setiap tahun.</w:t>
      </w:r>
    </w:p>
    <w:p>
      <w:pPr/>
      <w:r>
        <w:rPr>
          <w:b/>
          <w:sz w:val="25"/>
        </w:rPr>
        <w:t>5. Indikator Capaian Standar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No</w:t>
            </w:r>
          </w:p>
        </w:tc>
        <w:tc>
          <w:tcPr>
            <w:tcW w:type="dxa" w:w="1728"/>
          </w:tcPr>
          <w:p>
            <w:r>
              <w:rPr>
                <w:b/>
              </w:rPr>
              <w:t>Indikator Kinerja Utama (IKU) / Tambahan (IKT)</w:t>
            </w:r>
          </w:p>
        </w:tc>
        <w:tc>
          <w:tcPr>
            <w:tcW w:type="dxa" w:w="1728"/>
          </w:tcPr>
          <w:p>
            <w:r>
              <w:rPr>
                <w:b/>
              </w:rPr>
              <w:t>2024/2025</w:t>
            </w:r>
          </w:p>
        </w:tc>
        <w:tc>
          <w:tcPr>
            <w:tcW w:type="dxa" w:w="1728"/>
          </w:tcPr>
          <w:p>
            <w:r>
              <w:rPr>
                <w:b/>
              </w:rPr>
              <w:t>2025/2026</w:t>
            </w:r>
          </w:p>
        </w:tc>
        <w:tc>
          <w:tcPr>
            <w:tcW w:type="dxa" w:w="1728"/>
          </w:tcPr>
          <w:p>
            <w:r>
              <w:rPr>
                <w:b/>
              </w:rPr>
              <w:t>2026/2027</w:t>
            </w:r>
          </w:p>
        </w:tc>
      </w:tr>
      <w:tr>
        <w:tc>
          <w:tcPr>
            <w:tcW w:type="dxa" w:w="1728"/>
          </w:tcPr>
          <w:p>
            <w:r>
              <w:t>1</w:t>
            </w:r>
          </w:p>
        </w:tc>
        <w:tc>
          <w:tcPr>
            <w:tcW w:type="dxa" w:w="1728"/>
          </w:tcPr>
          <w:p>
            <w:r>
              <w:t>Rasio dosen tetap : mahasiswa</w:t>
            </w:r>
          </w:p>
        </w:tc>
        <w:tc>
          <w:tcPr>
            <w:tcW w:type="dxa" w:w="1728"/>
          </w:tcPr>
          <w:p>
            <w:r>
              <w:t>1:20</w:t>
            </w:r>
          </w:p>
        </w:tc>
        <w:tc>
          <w:tcPr>
            <w:tcW w:type="dxa" w:w="1728"/>
          </w:tcPr>
          <w:p>
            <w:r>
              <w:t>1:22</w:t>
            </w:r>
          </w:p>
        </w:tc>
        <w:tc>
          <w:tcPr>
            <w:tcW w:type="dxa" w:w="1728"/>
          </w:tcPr>
          <w:p>
            <w:r>
              <w:t>1:23</w:t>
            </w:r>
          </w:p>
        </w:tc>
      </w:tr>
      <w:tr>
        <w:tc>
          <w:tcPr>
            <w:tcW w:type="dxa" w:w="1728"/>
          </w:tcPr>
          <w:p>
            <w:r>
              <w:t>2</w:t>
            </w:r>
          </w:p>
        </w:tc>
        <w:tc>
          <w:tcPr>
            <w:tcW w:type="dxa" w:w="1728"/>
          </w:tcPr>
          <w:p>
            <w:r>
              <w:t>Jumlah dosen tetap program studi (NDTPS/DTPR)</w:t>
            </w:r>
          </w:p>
        </w:tc>
        <w:tc>
          <w:tcPr>
            <w:tcW w:type="dxa" w:w="1728"/>
          </w:tcPr>
          <w:p>
            <w:r>
              <w:t>≥12</w:t>
            </w:r>
          </w:p>
        </w:tc>
        <w:tc>
          <w:tcPr>
            <w:tcW w:type="dxa" w:w="1728"/>
          </w:tcPr>
          <w:p>
            <w:r>
              <w:t>≥12</w:t>
            </w:r>
          </w:p>
        </w:tc>
        <w:tc>
          <w:tcPr>
            <w:tcW w:type="dxa" w:w="1728"/>
          </w:tcPr>
          <w:p>
            <w:r>
              <w:t>≥12</w:t>
            </w:r>
          </w:p>
        </w:tc>
      </w:tr>
      <w:tr>
        <w:tc>
          <w:tcPr>
            <w:tcW w:type="dxa" w:w="1728"/>
          </w:tcPr>
          <w:p>
            <w:r>
              <w:t>3</w:t>
            </w:r>
          </w:p>
        </w:tc>
        <w:tc>
          <w:tcPr>
            <w:tcW w:type="dxa" w:w="1728"/>
          </w:tcPr>
          <w:p>
            <w:r>
              <w:t>Persentase dosen tetap bergelar Doktor</w:t>
            </w:r>
          </w:p>
        </w:tc>
        <w:tc>
          <w:tcPr>
            <w:tcW w:type="dxa" w:w="1728"/>
          </w:tcPr>
          <w:p>
            <w:r>
              <w:t>40%</w:t>
            </w:r>
          </w:p>
        </w:tc>
        <w:tc>
          <w:tcPr>
            <w:tcW w:type="dxa" w:w="1728"/>
          </w:tcPr>
          <w:p>
            <w:r>
              <w:t>45%</w:t>
            </w:r>
          </w:p>
        </w:tc>
        <w:tc>
          <w:tcPr>
            <w:tcW w:type="dxa" w:w="1728"/>
          </w:tcPr>
          <w:p>
            <w:r>
              <w:t>50%</w:t>
            </w:r>
          </w:p>
        </w:tc>
      </w:tr>
      <w:tr>
        <w:tc>
          <w:tcPr>
            <w:tcW w:type="dxa" w:w="1728"/>
          </w:tcPr>
          <w:p>
            <w:r>
              <w:t>4</w:t>
            </w:r>
          </w:p>
        </w:tc>
        <w:tc>
          <w:tcPr>
            <w:tcW w:type="dxa" w:w="1728"/>
          </w:tcPr>
          <w:p>
            <w:r>
              <w:t>Persentase dosen jabatan fungsional GB+LK</w:t>
            </w:r>
          </w:p>
        </w:tc>
        <w:tc>
          <w:tcPr>
            <w:tcW w:type="dxa" w:w="1728"/>
          </w:tcPr>
          <w:p>
            <w:r>
              <w:t>32%</w:t>
            </w:r>
          </w:p>
        </w:tc>
        <w:tc>
          <w:tcPr>
            <w:tcW w:type="dxa" w:w="1728"/>
          </w:tcPr>
          <w:p>
            <w:r>
              <w:t>36%</w:t>
            </w:r>
          </w:p>
        </w:tc>
        <w:tc>
          <w:tcPr>
            <w:tcW w:type="dxa" w:w="1728"/>
          </w:tcPr>
          <w:p>
            <w:r>
              <w:t>40%</w:t>
            </w:r>
          </w:p>
        </w:tc>
      </w:tr>
      <w:tr>
        <w:tc>
          <w:tcPr>
            <w:tcW w:type="dxa" w:w="1728"/>
          </w:tcPr>
          <w:p>
            <w:r>
              <w:t>5</w:t>
            </w:r>
          </w:p>
        </w:tc>
        <w:tc>
          <w:tcPr>
            <w:tcW w:type="dxa" w:w="1728"/>
          </w:tcPr>
          <w:p>
            <w:r>
              <w:t>Persentase dosen bersertifikat pendidik</w:t>
            </w:r>
          </w:p>
        </w:tc>
        <w:tc>
          <w:tcPr>
            <w:tcW w:type="dxa" w:w="1728"/>
          </w:tcPr>
          <w:p>
            <w:r>
              <w:t>90%</w:t>
            </w:r>
          </w:p>
        </w:tc>
        <w:tc>
          <w:tcPr>
            <w:tcW w:type="dxa" w:w="1728"/>
          </w:tcPr>
          <w:p>
            <w:r>
              <w:t>92%</w:t>
            </w:r>
          </w:p>
        </w:tc>
        <w:tc>
          <w:tcPr>
            <w:tcW w:type="dxa" w:w="1728"/>
          </w:tcPr>
          <w:p>
            <w:r>
              <w:t>95%</w:t>
            </w:r>
          </w:p>
        </w:tc>
      </w:tr>
      <w:tr>
        <w:tc>
          <w:tcPr>
            <w:tcW w:type="dxa" w:w="1728"/>
          </w:tcPr>
          <w:p>
            <w:r>
              <w:t>*6</w:t>
            </w:r>
          </w:p>
        </w:tc>
        <w:tc>
          <w:tcPr>
            <w:tcW w:type="dxa" w:w="1728"/>
          </w:tcPr>
          <w:p>
            <w:r>
              <w:t>Persentase dosen bersertifikat kompetensi/profesi/industri</w:t>
            </w:r>
          </w:p>
        </w:tc>
        <w:tc>
          <w:tcPr>
            <w:tcW w:type="dxa" w:w="1728"/>
          </w:tcPr>
          <w:p>
            <w:r>
              <w:t>20%</w:t>
            </w:r>
          </w:p>
        </w:tc>
        <w:tc>
          <w:tcPr>
            <w:tcW w:type="dxa" w:w="1728"/>
          </w:tcPr>
          <w:p>
            <w:r>
              <w:t>30%</w:t>
            </w:r>
          </w:p>
        </w:tc>
        <w:tc>
          <w:tcPr>
            <w:tcW w:type="dxa" w:w="1728"/>
          </w:tcPr>
          <w:p>
            <w:r>
              <w:t>40%</w:t>
            </w:r>
          </w:p>
        </w:tc>
      </w:tr>
      <w:tr>
        <w:tc>
          <w:tcPr>
            <w:tcW w:type="dxa" w:w="1728"/>
          </w:tcPr>
          <w:p>
            <w:r>
              <w:t>*7</w:t>
            </w:r>
          </w:p>
        </w:tc>
        <w:tc>
          <w:tcPr>
            <w:tcW w:type="dxa" w:w="1728"/>
          </w:tcPr>
          <w:p>
            <w:r>
              <w:t>Persentase mata kuliah kompetensi diampu dosen industri/praktisi</w:t>
            </w:r>
          </w:p>
        </w:tc>
        <w:tc>
          <w:tcPr>
            <w:tcW w:type="dxa" w:w="1728"/>
          </w:tcPr>
          <w:p>
            <w:r>
              <w:t>10%</w:t>
            </w:r>
          </w:p>
        </w:tc>
        <w:tc>
          <w:tcPr>
            <w:tcW w:type="dxa" w:w="1728"/>
          </w:tcPr>
          <w:p>
            <w:r>
              <w:t>15%</w:t>
            </w:r>
          </w:p>
        </w:tc>
        <w:tc>
          <w:tcPr>
            <w:tcW w:type="dxa" w:w="1728"/>
          </w:tcPr>
          <w:p>
            <w:r>
              <w:t>20%</w:t>
            </w:r>
          </w:p>
        </w:tc>
      </w:tr>
      <w:tr>
        <w:tc>
          <w:tcPr>
            <w:tcW w:type="dxa" w:w="1728"/>
          </w:tcPr>
          <w:p>
            <w:r>
              <w:t>8</w:t>
            </w:r>
          </w:p>
        </w:tc>
        <w:tc>
          <w:tcPr>
            <w:tcW w:type="dxa" w:w="1728"/>
          </w:tcPr>
          <w:p>
            <w:r>
              <w:t>Dana penelitian per dosen per tahun</w:t>
            </w:r>
          </w:p>
        </w:tc>
        <w:tc>
          <w:tcPr>
            <w:tcW w:type="dxa" w:w="1728"/>
          </w:tcPr>
          <w:p>
            <w:r>
              <w:t>Rp10 juta</w:t>
            </w:r>
          </w:p>
        </w:tc>
        <w:tc>
          <w:tcPr>
            <w:tcW w:type="dxa" w:w="1728"/>
          </w:tcPr>
          <w:p>
            <w:r>
              <w:t>Rp12 juta</w:t>
            </w:r>
          </w:p>
        </w:tc>
        <w:tc>
          <w:tcPr>
            <w:tcW w:type="dxa" w:w="1728"/>
          </w:tcPr>
          <w:p>
            <w:r>
              <w:t>Rp15 juta</w:t>
            </w:r>
          </w:p>
        </w:tc>
      </w:tr>
      <w:tr>
        <w:tc>
          <w:tcPr>
            <w:tcW w:type="dxa" w:w="1728"/>
          </w:tcPr>
          <w:p>
            <w:r>
              <w:t>9</w:t>
            </w:r>
          </w:p>
        </w:tc>
        <w:tc>
          <w:tcPr>
            <w:tcW w:type="dxa" w:w="1728"/>
          </w:tcPr>
          <w:p>
            <w:r>
              <w:t>Dana PkM per dosen per tahun</w:t>
            </w:r>
          </w:p>
        </w:tc>
        <w:tc>
          <w:tcPr>
            <w:tcW w:type="dxa" w:w="1728"/>
          </w:tcPr>
          <w:p>
            <w:r>
              <w:t>Rp5 juta</w:t>
            </w:r>
          </w:p>
        </w:tc>
        <w:tc>
          <w:tcPr>
            <w:tcW w:type="dxa" w:w="1728"/>
          </w:tcPr>
          <w:p>
            <w:r>
              <w:t>Rp6 juta</w:t>
            </w:r>
          </w:p>
        </w:tc>
        <w:tc>
          <w:tcPr>
            <w:tcW w:type="dxa" w:w="1728"/>
          </w:tcPr>
          <w:p>
            <w:r>
              <w:t>Rp8 juta</w:t>
            </w:r>
          </w:p>
        </w:tc>
      </w:tr>
      <w:tr>
        <w:tc>
          <w:tcPr>
            <w:tcW w:type="dxa" w:w="1728"/>
          </w:tcPr>
          <w:p>
            <w:r>
              <w:t>10</w:t>
            </w:r>
          </w:p>
        </w:tc>
        <w:tc>
          <w:tcPr>
            <w:tcW w:type="dxa" w:w="1728"/>
          </w:tcPr>
          <w:p>
            <w:r>
              <w:t>Persentase dosen aktif penelitian, PkM, dan publikasi ilmiah</w:t>
            </w:r>
          </w:p>
        </w:tc>
        <w:tc>
          <w:tcPr>
            <w:tcW w:type="dxa" w:w="1728"/>
          </w:tcPr>
          <w:p>
            <w:r>
              <w:t>90-100%</w:t>
            </w:r>
          </w:p>
        </w:tc>
        <w:tc>
          <w:tcPr>
            <w:tcW w:type="dxa" w:w="1728"/>
          </w:tcPr>
          <w:p>
            <w:r>
              <w:t>90-100%</w:t>
            </w:r>
          </w:p>
        </w:tc>
        <w:tc>
          <w:tcPr>
            <w:tcW w:type="dxa" w:w="1728"/>
          </w:tcPr>
          <w:p>
            <w:r>
              <w:t>95-100%</w:t>
            </w:r>
          </w:p>
        </w:tc>
      </w:tr>
      <w:tr>
        <w:tc>
          <w:tcPr>
            <w:tcW w:type="dxa" w:w="1728"/>
          </w:tcPr>
          <w:p>
            <w:r>
              <w:t>11</w:t>
            </w:r>
          </w:p>
        </w:tc>
        <w:tc>
          <w:tcPr>
            <w:tcW w:type="dxa" w:w="1728"/>
          </w:tcPr>
          <w:p>
            <w:r>
              <w:t>Persentase dosen memperoleh rekognisi nasional/internasional</w:t>
            </w:r>
          </w:p>
        </w:tc>
        <w:tc>
          <w:tcPr>
            <w:tcW w:type="dxa" w:w="1728"/>
          </w:tcPr>
          <w:p>
            <w:r>
              <w:t>35%</w:t>
            </w:r>
          </w:p>
        </w:tc>
        <w:tc>
          <w:tcPr>
            <w:tcW w:type="dxa" w:w="1728"/>
          </w:tcPr>
          <w:p>
            <w:r>
              <w:t>42%</w:t>
            </w:r>
          </w:p>
        </w:tc>
        <w:tc>
          <w:tcPr>
            <w:tcW w:type="dxa" w:w="1728"/>
          </w:tcPr>
          <w:p>
            <w:r>
              <w:t>50%</w:t>
            </w:r>
          </w:p>
        </w:tc>
      </w:tr>
      <w:tr>
        <w:tc>
          <w:tcPr>
            <w:tcW w:type="dxa" w:w="1728"/>
          </w:tcPr>
          <w:p>
            <w:r>
              <w:t>*12</w:t>
            </w:r>
          </w:p>
        </w:tc>
        <w:tc>
          <w:tcPr>
            <w:tcW w:type="dxa" w:w="1728"/>
          </w:tcPr>
          <w:p>
            <w:r>
              <w:t>Jumlah produk/jasa karya dosen yang diadopsi industri/masyarakat per tahun</w:t>
            </w:r>
          </w:p>
        </w:tc>
        <w:tc>
          <w:tcPr>
            <w:tcW w:type="dxa" w:w="1728"/>
          </w:tcPr>
          <w:p>
            <w:r>
              <w:t>≥2</w:t>
            </w:r>
          </w:p>
        </w:tc>
        <w:tc>
          <w:tcPr>
            <w:tcW w:type="dxa" w:w="1728"/>
          </w:tcPr>
          <w:p>
            <w:r>
              <w:t>≥3</w:t>
            </w:r>
          </w:p>
        </w:tc>
        <w:tc>
          <w:tcPr>
            <w:tcW w:type="dxa" w:w="1728"/>
          </w:tcPr>
          <w:p>
            <w:r>
              <w:t>≥4</w:t>
            </w:r>
          </w:p>
        </w:tc>
      </w:tr>
      <w:tr>
        <w:tc>
          <w:tcPr>
            <w:tcW w:type="dxa" w:w="1728"/>
          </w:tcPr>
          <w:p>
            <w:r>
              <w:t>*13</w:t>
            </w:r>
          </w:p>
        </w:tc>
        <w:tc>
          <w:tcPr>
            <w:tcW w:type="dxa" w:w="1728"/>
          </w:tcPr>
          <w:p>
            <w:r>
              <w:t>Jumlah sitasi karya ilmiah dosen per dosen aktif publikasi per tahun</w:t>
            </w:r>
          </w:p>
        </w:tc>
        <w:tc>
          <w:tcPr>
            <w:tcW w:type="dxa" w:w="1728"/>
          </w:tcPr>
          <w:p>
            <w:r>
              <w:t>≥3</w:t>
            </w:r>
          </w:p>
        </w:tc>
        <w:tc>
          <w:tcPr>
            <w:tcW w:type="dxa" w:w="1728"/>
          </w:tcPr>
          <w:p>
            <w:r>
              <w:t>≥4</w:t>
            </w:r>
          </w:p>
        </w:tc>
        <w:tc>
          <w:tcPr>
            <w:tcW w:type="dxa" w:w="1728"/>
          </w:tcPr>
          <w:p>
            <w:r>
              <w:t>≥5</w:t>
            </w:r>
          </w:p>
        </w:tc>
      </w:tr>
      <w:tr>
        <w:tc>
          <w:tcPr>
            <w:tcW w:type="dxa" w:w="1728"/>
          </w:tcPr>
          <w:p>
            <w:r>
              <w:t>14</w:t>
            </w:r>
          </w:p>
        </w:tc>
        <w:tc>
          <w:tcPr>
            <w:tcW w:type="dxa" w:w="1728"/>
          </w:tcPr>
          <w:p>
            <w:r>
              <w:t>Kualifikasi tenaga administrasi minimal D3/sederajat</w:t>
            </w:r>
          </w:p>
        </w:tc>
        <w:tc>
          <w:tcPr>
            <w:tcW w:type="dxa" w:w="1728"/>
          </w:tcPr>
          <w:p>
            <w:r>
              <w:t>100%</w:t>
            </w:r>
          </w:p>
        </w:tc>
        <w:tc>
          <w:tcPr>
            <w:tcW w:type="dxa" w:w="1728"/>
          </w:tcPr>
          <w:p>
            <w:r>
              <w:t>100%</w:t>
            </w:r>
          </w:p>
        </w:tc>
        <w:tc>
          <w:tcPr>
            <w:tcW w:type="dxa" w:w="1728"/>
          </w:tcPr>
          <w:p>
            <w:r>
              <w:t>100%</w:t>
            </w:r>
          </w:p>
        </w:tc>
      </w:tr>
      <w:tr>
        <w:tc>
          <w:tcPr>
            <w:tcW w:type="dxa" w:w="1728"/>
          </w:tcPr>
          <w:p>
            <w:r>
              <w:t>*16</w:t>
            </w:r>
          </w:p>
        </w:tc>
        <w:tc>
          <w:tcPr>
            <w:tcW w:type="dxa" w:w="1728"/>
          </w:tcPr>
          <w:p>
            <w:r>
              <w:t>Persentase tenaga fungsional (laboran/pustakawan/teknisi) berkualifikasi minimal D3 dengan sertifikat kompetensi</w:t>
            </w:r>
          </w:p>
        </w:tc>
        <w:tc>
          <w:tcPr>
            <w:tcW w:type="dxa" w:w="1728"/>
          </w:tcPr>
          <w:p>
            <w:r>
              <w:t>60%</w:t>
            </w:r>
          </w:p>
        </w:tc>
        <w:tc>
          <w:tcPr>
            <w:tcW w:type="dxa" w:w="1728"/>
          </w:tcPr>
          <w:p>
            <w:r>
              <w:t>80%</w:t>
            </w:r>
          </w:p>
        </w:tc>
        <w:tc>
          <w:tcPr>
            <w:tcW w:type="dxa" w:w="1728"/>
          </w:tcPr>
          <w:p>
            <w:r>
              <w:t>100%</w:t>
            </w:r>
          </w:p>
        </w:tc>
      </w:tr>
      <w:tr>
        <w:tc>
          <w:tcPr>
            <w:tcW w:type="dxa" w:w="1728"/>
          </w:tcPr>
          <w:p>
            <w:r>
              <w:t>*17</w:t>
            </w:r>
          </w:p>
        </w:tc>
        <w:tc>
          <w:tcPr>
            <w:tcW w:type="dxa" w:w="1728"/>
          </w:tcPr>
          <w:p>
            <w:r>
              <w:t>Persentase DTPS penulis utama/korespondensi publikasi jurnal internasional bereputasi</w:t>
            </w:r>
          </w:p>
        </w:tc>
        <w:tc>
          <w:tcPr>
            <w:tcW w:type="dxa" w:w="1728"/>
          </w:tcPr>
          <w:p>
            <w:r>
              <w:t>30%</w:t>
            </w:r>
          </w:p>
        </w:tc>
        <w:tc>
          <w:tcPr>
            <w:tcW w:type="dxa" w:w="1728"/>
          </w:tcPr>
          <w:p>
            <w:r>
              <w:t>40%</w:t>
            </w:r>
          </w:p>
        </w:tc>
        <w:tc>
          <w:tcPr>
            <w:tcW w:type="dxa" w:w="1728"/>
          </w:tcPr>
          <w:p>
            <w:r>
              <w:t>50%</w:t>
            </w:r>
          </w:p>
        </w:tc>
      </w:tr>
      <w:tr>
        <w:tc>
          <w:tcPr>
            <w:tcW w:type="dxa" w:w="1728"/>
          </w:tcPr>
          <w:p>
            <w:r>
              <w:t>*18</w:t>
            </w:r>
          </w:p>
        </w:tc>
        <w:tc>
          <w:tcPr>
            <w:tcW w:type="dxa" w:w="1728"/>
          </w:tcPr>
          <w:p>
            <w:r>
              <w:t>Persentase dosen memenuhi Beban Kerja Dosen (BKD) 12-16 sks per semester</w:t>
            </w:r>
          </w:p>
        </w:tc>
        <w:tc>
          <w:tcPr>
            <w:tcW w:type="dxa" w:w="1728"/>
          </w:tcPr>
          <w:p>
            <w:r>
              <w:t>90%</w:t>
            </w:r>
          </w:p>
        </w:tc>
        <w:tc>
          <w:tcPr>
            <w:tcW w:type="dxa" w:w="1728"/>
          </w:tcPr>
          <w:p>
            <w:r>
              <w:t>95%</w:t>
            </w:r>
          </w:p>
        </w:tc>
        <w:tc>
          <w:tcPr>
            <w:tcW w:type="dxa" w:w="1728"/>
          </w:tcPr>
          <w:p>
            <w:r>
              <w:t>100%</w:t>
            </w:r>
          </w:p>
        </w:tc>
      </w:tr>
      <w:tr>
        <w:tc>
          <w:tcPr>
            <w:tcW w:type="dxa" w:w="1728"/>
          </w:tcPr>
          <w:p>
            <w:r>
              <w:t>*19</w:t>
            </w:r>
          </w:p>
        </w:tc>
        <w:tc>
          <w:tcPr>
            <w:tcW w:type="dxa" w:w="1728"/>
          </w:tcPr>
          <w:p>
            <w:r>
              <w:t>Persentase DTPS yang karya ilmiahnya tersitasi pada jurnal/basis data bereputasi (selaras formula PKIB LAM Teknik)</w:t>
            </w:r>
          </w:p>
        </w:tc>
        <w:tc>
          <w:tcPr>
            <w:tcW w:type="dxa" w:w="1728"/>
          </w:tcPr>
          <w:p>
            <w:r>
              <w:t>15%</w:t>
            </w:r>
          </w:p>
        </w:tc>
        <w:tc>
          <w:tcPr>
            <w:tcW w:type="dxa" w:w="1728"/>
          </w:tcPr>
          <w:p>
            <w:r>
              <w:t>20%</w:t>
            </w:r>
          </w:p>
        </w:tc>
        <w:tc>
          <w:tcPr>
            <w:tcW w:type="dxa" w:w="1728"/>
          </w:tcPr>
          <w:p>
            <w:r>
              <w:t>25%</w:t>
            </w:r>
          </w:p>
        </w:tc>
      </w:tr>
      <w:tr>
        <w:tc>
          <w:tcPr>
            <w:tcW w:type="dxa" w:w="1728"/>
          </w:tcPr>
          <w:p>
            <w:r>
              <w:t>*15</w:t>
            </w:r>
          </w:p>
        </w:tc>
        <w:tc>
          <w:tcPr>
            <w:tcW w:type="dxa" w:w="1728"/>
          </w:tcPr>
          <w:p>
            <w:r>
              <w:t>Pelaksanaan root-cause analysis &amp; SWOT tahunan Standar Dosen dan Tenaga Kependidikan (sesuai Standar SPMI)</w:t>
            </w:r>
          </w:p>
        </w:tc>
        <w:tc>
          <w:tcPr>
            <w:tcW w:type="dxa" w:w="1728"/>
          </w:tcPr>
          <w:p>
            <w:r>
              <w:t>Terlaksana</w:t>
            </w:r>
          </w:p>
        </w:tc>
        <w:tc>
          <w:tcPr>
            <w:tcW w:type="dxa" w:w="1728"/>
          </w:tcPr>
          <w:p>
            <w:r>
              <w:t>Terlaksana</w:t>
            </w:r>
          </w:p>
        </w:tc>
        <w:tc>
          <w:tcPr>
            <w:tcW w:type="dxa" w:w="1728"/>
          </w:tcPr>
          <w:p>
            <w:r>
              <w:t>Terlaksana</w:t>
            </w:r>
          </w:p>
        </w:tc>
      </w:tr>
    </w:tbl>
    <w:p>
      <w:pPr/>
    </w:p>
    <w:p>
      <w:pPr>
        <w:jc w:val="center"/>
      </w:pPr>
      <w:r>
        <w:rPr>
          <w:b/>
          <w:sz w:val="28"/>
        </w:rPr>
        <w:t>STANDAR SARANA DAN PRASARANA PEMBELAJARAN</w:t>
      </w:r>
    </w:p>
    <w:p>
      <w:pPr/>
    </w:p>
    <w:p>
      <w:pPr/>
      <w:r>
        <w:rPr>
          <w:b/>
          <w:sz w:val="25"/>
        </w:rPr>
        <w:t>1. Daftar Istilah</w:t>
      </w:r>
    </w:p>
    <w:p>
      <w:pPr>
        <w:pStyle w:val="ListBullet"/>
      </w:pPr>
      <w:r>
        <w:rPr/>
        <w:t>Sarana Pembelajaran mencakup paling sedikit: perabot, peralatan pendidikan, media pendidikan, buku dan repositori elektronik, sarana teknologi informasi dan komunikasi, instrumentasi eksperimen, serta sarana pemeliharaan, keselamatan, dan keamanan.</w:t>
      </w:r>
    </w:p>
    <w:p>
      <w:pPr>
        <w:pStyle w:val="ListBullet"/>
      </w:pPr>
      <w:r>
        <w:rPr/>
        <w:t>Prasarana Pembelajaran mencakup paling sedikit: lahan, ruang kelas, perpustakaan, laboratorium/studio, tempat ibadah, ruang unit kegiatan mahasiswa, ruang dosen, ruang tata usaha, dan fasilitas umum (jalan, air, listrik, jaringan data).</w:t>
      </w:r>
    </w:p>
    <w:p>
      <w:pPr>
        <w:pStyle w:val="ListBullet"/>
      </w:pPr>
      <w:r>
        <w:rPr/>
        <w:t>Keselamatan, Kesehatan Kerja, dan Lindungan Lingkungan (K3L) adalah sistem yang menjamin keselamatan dan kesehatan seluruh sivitas akademika dalam penggunaan sarana dan prasarana, mencakup SOP penggunaan, pemeliharaan, evaluasi kelayakan berkala, dan sosialisasi.</w:t>
      </w:r>
    </w:p>
    <w:p>
      <w:pPr>
        <w:pStyle w:val="ListBullet"/>
      </w:pPr>
      <w:r>
        <w:rPr/>
        <w:t>Aksesibilitas adalah kemudahan yang disediakan bagi mahasiswa, dosen, dan tenaga kependidikan berkebutuhan khusus untuk mewujudkan kesamaan kesempatan.</w:t>
      </w:r>
    </w:p>
    <w:p>
      <w:pPr/>
      <w:r>
        <w:rPr>
          <w:b/>
          <w:sz w:val="25"/>
        </w:rPr>
        <w:t>2. Pihak Yang Bertanggung Jawab Untuk Memenuhi Standar</w:t>
      </w:r>
    </w:p>
    <w:p>
      <w:pPr>
        <w:pStyle w:val="ListBullet"/>
      </w:pPr>
      <w:r>
        <w:rPr/>
        <w:t>Rektor, dalam menetapkan kebijakan pengelolaan sarana dan prasarana.</w:t>
      </w:r>
    </w:p>
    <w:p>
      <w:pPr>
        <w:pStyle w:val="ListBullet"/>
      </w:pPr>
      <w:r>
        <w:rPr/>
        <w:t>Wakil Rektor Bidang Pengembangan Institusi dan Sumber Daya, dalam perencanaan investasi sarana prasarana.</w:t>
      </w:r>
    </w:p>
    <w:p>
      <w:pPr>
        <w:pStyle w:val="ListBullet"/>
      </w:pPr>
      <w:r>
        <w:rPr/>
        <w:t>Divisi Pengelolaan Prasarana dan Aset (DPPA), dalam pengadaan, pemeliharaan, dan evaluasi kelayakan sarana prasarana.</w:t>
      </w:r>
    </w:p>
    <w:p>
      <w:pPr>
        <w:pStyle w:val="ListBullet"/>
      </w:pPr>
      <w:r>
        <w:rPr/>
        <w:t>Divisi Teknologi Sistem Informasi (DTSI), dalam pengelolaan sistem informasi terintegrasi.</w:t>
      </w:r>
    </w:p>
    <w:p>
      <w:pPr>
        <w:pStyle w:val="ListBullet"/>
      </w:pPr>
      <w:r>
        <w:rPr/>
        <w:t>Dekan FTII dan Ketua Program Studi, dalam verifikasi kecukupan sarana prasarana pembelajaran di tingkat program studi.</w:t>
      </w:r>
    </w:p>
    <w:p>
      <w:pPr/>
      <w:r>
        <w:rPr>
          <w:b/>
          <w:sz w:val="25"/>
        </w:rPr>
        <w:t>3. Pernyataan Isi Standar dan Sasaran Standar</w:t>
      </w:r>
    </w:p>
    <w:p>
      <w:pPr>
        <w:pStyle w:val="ListNumber"/>
      </w:pPr>
      <w:r>
        <w:rPr/>
        <w:t>Program Studi Magister Teknologi Informasi wajib menjamin rasio luas bangunan paling sedikit 2 m² per mahasiswa dan rasio luas ruang dosen paling sedikit 4 m² per dosen dilengkapi jaringan data.</w:t>
      </w:r>
    </w:p>
    <w:p>
      <w:pPr>
        <w:pStyle w:val="ListNumber"/>
      </w:pPr>
      <w:r>
        <w:rPr/>
        <w:t>*Program Studi Magister Teknologi Informasi wajib menjamin kelengkapan isi sarana akademik, mencakup ketersediaan dan kemutakhiran media pembelajaran, perangkat elektronik pendukung perkuliahan, dan koleksi perpustakaan (buku cetak/elektronik paling sedikit 1.000 judul relevan bidang ilmu dan langganan basis data jurnal/e-resources), tidak hanya dinilai dari kecukupan luas ruang.</w:t>
      </w:r>
    </w:p>
    <w:p>
      <w:pPr>
        <w:pStyle w:val="ListNumber"/>
      </w:pPr>
      <w:r>
        <w:rPr/>
        <w:t>Program Studi Magister Teknologi Informasi wajib menjamin kepemilikan lahan dengan status hak yang sah (Hak Milik/HGB/Hak Pakai) untuk jangka waktu paling sedikit 20 tahun, disertai rasio luas lahan paling sedikit 2 m² per mahasiswa.</w:t>
      </w:r>
    </w:p>
    <w:p>
      <w:pPr>
        <w:pStyle w:val="ListNumber"/>
      </w:pPr>
      <w:r>
        <w:rPr/>
        <w:t>Program Studi Magister Teknologi Informasi wajib menyediakan ruang laboratorium pembelajaran yang sesuai dengan panduan asosiasi penyelenggara program studi sejenis (mis. APTIKOM untuk program studi Sistem Informasi dan Informatika), dilengkapi SOP penggunaan, pemeliharaan, evaluasi kelayakan berkala, dan sosialisasi K3L.</w:t>
      </w:r>
    </w:p>
    <w:p>
      <w:pPr>
        <w:pStyle w:val="ListNumber"/>
      </w:pPr>
      <w:r>
        <w:rPr/>
        <w:t>*Program Studi Magister Teknologi Informasi wajib memperluas cakupan kebijakan dan pelaksanaan K3L dari skala laboratorium menjadi skala kampus/institusi, mencakup gedung perkuliahan, area umum, dan fasilitas penunjang, dibuktikan dengan kebijakan K3L tingkat institusi dan laporan pelaksanaan tahunan.</w:t>
      </w:r>
    </w:p>
    <w:p>
      <w:pPr>
        <w:pStyle w:val="ListNumber"/>
      </w:pPr>
      <w:r>
        <w:rPr/>
        <w:t>*Program Studi Magister Teknologi Informasi wajib menyediakan fasilitas ibadah yang memadai bagi sivitas akademika sesuai kebutuhan agama yang dianut, dengan kapasitas dan kelayakan yang dievaluasi berkala setiap tahun.</w:t>
      </w:r>
    </w:p>
    <w:p>
      <w:pPr>
        <w:pStyle w:val="ListNumber"/>
      </w:pPr>
      <w:r>
        <w:rPr/>
        <w:t>Program Studi Magister Teknologi Informasi wajib menyediakan sarana dan prasarana aksesibel bagi mahasiswa berkebutuhan khusus yang mencakup 5 (lima) aspek: pelabelan braille, lerengan/ramp, jalur pemandu (guiding block), peta timbul, dan toilet difabel.</w:t>
      </w:r>
    </w:p>
    <w:p>
      <w:pPr>
        <w:pStyle w:val="ListNumber"/>
      </w:pPr>
      <w:r>
        <w:rPr/>
        <w:t>Program Studi Magister Teknologi Informasi wajib menyediakan sistem informasi terintegrasi (akademik, keuangan, sumber daya manusia, dan aset) yang dapat diakses seluruh sivitas akademika dengan tingkat pemenuhan 100%.</w:t>
      </w:r>
    </w:p>
    <w:p>
      <w:pPr/>
      <w:r>
        <w:rPr>
          <w:b/>
          <w:sz w:val="25"/>
        </w:rPr>
        <w:t>4. Strategi Pencapaian Standar</w:t>
      </w:r>
    </w:p>
    <w:p>
      <w:pPr>
        <w:pStyle w:val="ListNumber"/>
      </w:pPr>
      <w:r>
        <w:rPr/>
        <w:t>Wakil Rektor Bidang Pengembangan Institusi dan Sumber Daya bersama DPPA menjamin pemenuhan rasio 2 m²/mahasiswa (bangunan) dan 4 m²/dosen (ruang dosen) pada setiap pengembangan gedung baru.</w:t>
      </w:r>
    </w:p>
    <w:p>
      <w:pPr>
        <w:pStyle w:val="ListNumber"/>
      </w:pPr>
      <w:r>
        <w:rPr/>
        <w:t>DPPA bersama Perpustakaan menyusun rencana pengadaan dan pemutakhiran koleksi buku/e-resources serta media pembelajaran secara bertahap menuju target kecukupan isi sarana akademik.</w:t>
      </w:r>
    </w:p>
    <w:p>
      <w:pPr>
        <w:pStyle w:val="ListNumber"/>
      </w:pPr>
      <w:r>
        <w:rPr/>
        <w:t>DPPA menyusun dan menerapkan kebijakan K3L tingkat institusi yang memperluas cakupan dari laboratorium menjadi seluruh area kampus, disosialisasikan kepada seluruh sivitas akademika.</w:t>
      </w:r>
    </w:p>
    <w:p>
      <w:pPr>
        <w:pStyle w:val="ListNumber"/>
      </w:pPr>
      <w:r>
        <w:rPr/>
        <w:t>Universitas menyediakan dan memelihara fasilitas ibadah representatif di lingkungan kampus FTII, dievaluasi kelayakannya setiap tahun.</w:t>
      </w:r>
    </w:p>
    <w:p>
      <w:pPr>
        <w:pStyle w:val="ListNumber"/>
      </w:pPr>
      <w:r>
        <w:rPr/>
        <w:t>DPPA melengkapi sarana aksesibilitas difabel sesuai 5 aspek Peraturan Dirjen Belmawa secara bertahap pada seluruh gedung FTII.</w:t>
      </w:r>
    </w:p>
    <w:p>
      <w:pPr>
        <w:pStyle w:val="ListNumber"/>
      </w:pPr>
      <w:r>
        <w:rPr/>
        <w:t>DTSI mengembangkan dan memelihara sistem informasi terintegrasi (akademik, keuangan, SDM, aset) yang mudah diakses dan andal.</w:t>
      </w:r>
    </w:p>
    <w:p>
      <w:pPr/>
      <w:r>
        <w:rPr>
          <w:b/>
          <w:sz w:val="25"/>
        </w:rPr>
        <w:t>5. Indikator Capaian Standar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No</w:t>
            </w:r>
          </w:p>
        </w:tc>
        <w:tc>
          <w:tcPr>
            <w:tcW w:type="dxa" w:w="1728"/>
          </w:tcPr>
          <w:p>
            <w:r>
              <w:rPr>
                <w:b/>
              </w:rPr>
              <w:t>Indikator Kinerja Utama (IKU) / Tambahan (IKT)</w:t>
            </w:r>
          </w:p>
        </w:tc>
        <w:tc>
          <w:tcPr>
            <w:tcW w:type="dxa" w:w="1728"/>
          </w:tcPr>
          <w:p>
            <w:r>
              <w:rPr>
                <w:b/>
              </w:rPr>
              <w:t>2024/2025</w:t>
            </w:r>
          </w:p>
        </w:tc>
        <w:tc>
          <w:tcPr>
            <w:tcW w:type="dxa" w:w="1728"/>
          </w:tcPr>
          <w:p>
            <w:r>
              <w:rPr>
                <w:b/>
              </w:rPr>
              <w:t>2025/2026</w:t>
            </w:r>
          </w:p>
        </w:tc>
        <w:tc>
          <w:tcPr>
            <w:tcW w:type="dxa" w:w="1728"/>
          </w:tcPr>
          <w:p>
            <w:r>
              <w:rPr>
                <w:b/>
              </w:rPr>
              <w:t>2026/2027</w:t>
            </w:r>
          </w:p>
        </w:tc>
      </w:tr>
      <w:tr>
        <w:tc>
          <w:tcPr>
            <w:tcW w:type="dxa" w:w="1728"/>
          </w:tcPr>
          <w:p>
            <w:r>
              <w:t>1</w:t>
            </w:r>
          </w:p>
        </w:tc>
        <w:tc>
          <w:tcPr>
            <w:tcW w:type="dxa" w:w="1728"/>
          </w:tcPr>
          <w:p>
            <w:r>
              <w:t>Rasio luas bangunan per mahasiswa</w:t>
            </w:r>
          </w:p>
        </w:tc>
        <w:tc>
          <w:tcPr>
            <w:tcW w:type="dxa" w:w="1728"/>
          </w:tcPr>
          <w:p>
            <w:r>
              <w:t>2 m²</w:t>
            </w:r>
          </w:p>
        </w:tc>
        <w:tc>
          <w:tcPr>
            <w:tcW w:type="dxa" w:w="1728"/>
          </w:tcPr>
          <w:p>
            <w:r>
              <w:t>2 m²</w:t>
            </w:r>
          </w:p>
        </w:tc>
        <w:tc>
          <w:tcPr>
            <w:tcW w:type="dxa" w:w="1728"/>
          </w:tcPr>
          <w:p>
            <w:r>
              <w:t>2 m²</w:t>
            </w:r>
          </w:p>
        </w:tc>
      </w:tr>
      <w:tr>
        <w:tc>
          <w:tcPr>
            <w:tcW w:type="dxa" w:w="1728"/>
          </w:tcPr>
          <w:p>
            <w:r>
              <w:t>2</w:t>
            </w:r>
          </w:p>
        </w:tc>
        <w:tc>
          <w:tcPr>
            <w:tcW w:type="dxa" w:w="1728"/>
          </w:tcPr>
          <w:p>
            <w:r>
              <w:t>Rasio luas ruang dosen per dosen</w:t>
            </w:r>
          </w:p>
        </w:tc>
        <w:tc>
          <w:tcPr>
            <w:tcW w:type="dxa" w:w="1728"/>
          </w:tcPr>
          <w:p>
            <w:r>
              <w:t>4 m²</w:t>
            </w:r>
          </w:p>
        </w:tc>
        <w:tc>
          <w:tcPr>
            <w:tcW w:type="dxa" w:w="1728"/>
          </w:tcPr>
          <w:p>
            <w:r>
              <w:t>4 m²</w:t>
            </w:r>
          </w:p>
        </w:tc>
        <w:tc>
          <w:tcPr>
            <w:tcW w:type="dxa" w:w="1728"/>
          </w:tcPr>
          <w:p>
            <w:r>
              <w:t>4 m²</w:t>
            </w:r>
          </w:p>
        </w:tc>
      </w:tr>
      <w:tr>
        <w:tc>
          <w:tcPr>
            <w:tcW w:type="dxa" w:w="1728"/>
          </w:tcPr>
          <w:p>
            <w:r>
              <w:t>*3</w:t>
            </w:r>
          </w:p>
        </w:tc>
        <w:tc>
          <w:tcPr>
            <w:tcW w:type="dxa" w:w="1728"/>
          </w:tcPr>
          <w:p>
            <w:r>
              <w:t>Kelengkapan isi sarana akademik (media pembelajaran, perangkat elektronik, koleksi perpustakaan)</w:t>
            </w:r>
          </w:p>
        </w:tc>
        <w:tc>
          <w:tcPr>
            <w:tcW w:type="dxa" w:w="1728"/>
          </w:tcPr>
          <w:p>
            <w:r>
              <w:t>80%</w:t>
            </w:r>
          </w:p>
        </w:tc>
        <w:tc>
          <w:tcPr>
            <w:tcW w:type="dxa" w:w="1728"/>
          </w:tcPr>
          <w:p>
            <w:r>
              <w:t>90%</w:t>
            </w:r>
          </w:p>
        </w:tc>
        <w:tc>
          <w:tcPr>
            <w:tcW w:type="dxa" w:w="1728"/>
          </w:tcPr>
          <w:p>
            <w:r>
              <w:t>100%</w:t>
            </w:r>
          </w:p>
        </w:tc>
      </w:tr>
      <w:tr>
        <w:tc>
          <w:tcPr>
            <w:tcW w:type="dxa" w:w="1728"/>
          </w:tcPr>
          <w:p>
            <w:r>
              <w:t>4</w:t>
            </w:r>
          </w:p>
        </w:tc>
        <w:tc>
          <w:tcPr>
            <w:tcW w:type="dxa" w:w="1728"/>
          </w:tcPr>
          <w:p>
            <w:r>
              <w:t>Pemenuhan aspek aksesibilitas difabel (5 aspek Belmawa)</w:t>
            </w:r>
          </w:p>
        </w:tc>
        <w:tc>
          <w:tcPr>
            <w:tcW w:type="dxa" w:w="1728"/>
          </w:tcPr>
          <w:p>
            <w:r>
              <w:t>5 aspek</w:t>
            </w:r>
          </w:p>
        </w:tc>
        <w:tc>
          <w:tcPr>
            <w:tcW w:type="dxa" w:w="1728"/>
          </w:tcPr>
          <w:p>
            <w:r>
              <w:t>5 aspek</w:t>
            </w:r>
          </w:p>
        </w:tc>
        <w:tc>
          <w:tcPr>
            <w:tcW w:type="dxa" w:w="1728"/>
          </w:tcPr>
          <w:p>
            <w:r>
              <w:t>5 aspek</w:t>
            </w:r>
          </w:p>
        </w:tc>
      </w:tr>
      <w:tr>
        <w:tc>
          <w:tcPr>
            <w:tcW w:type="dxa" w:w="1728"/>
          </w:tcPr>
          <w:p>
            <w:r>
              <w:t>5</w:t>
            </w:r>
          </w:p>
        </w:tc>
        <w:tc>
          <w:tcPr>
            <w:tcW w:type="dxa" w:w="1728"/>
          </w:tcPr>
          <w:p>
            <w:r>
              <w:t>Ketersediaan SOP K3L laboratorium</w:t>
            </w:r>
          </w:p>
        </w:tc>
        <w:tc>
          <w:tcPr>
            <w:tcW w:type="dxa" w:w="1728"/>
          </w:tcPr>
          <w:p>
            <w:r>
              <w:t>Tersedia</w:t>
            </w:r>
          </w:p>
        </w:tc>
        <w:tc>
          <w:tcPr>
            <w:tcW w:type="dxa" w:w="1728"/>
          </w:tcPr>
          <w:p>
            <w:r>
              <w:t>Tersedia</w:t>
            </w:r>
          </w:p>
        </w:tc>
        <w:tc>
          <w:tcPr>
            <w:tcW w:type="dxa" w:w="1728"/>
          </w:tcPr>
          <w:p>
            <w:r>
              <w:t>Tersedia</w:t>
            </w:r>
          </w:p>
        </w:tc>
      </w:tr>
      <w:tr>
        <w:tc>
          <w:tcPr>
            <w:tcW w:type="dxa" w:w="1728"/>
          </w:tcPr>
          <w:p>
            <w:r>
              <w:t>*6</w:t>
            </w:r>
          </w:p>
        </w:tc>
        <w:tc>
          <w:tcPr>
            <w:tcW w:type="dxa" w:w="1728"/>
          </w:tcPr>
          <w:p>
            <w:r>
              <w:t>Ketersediaan kebijakan dan pelaksanaan K3L skala kampus/institusi</w:t>
            </w:r>
          </w:p>
        </w:tc>
        <w:tc>
          <w:tcPr>
            <w:tcW w:type="dxa" w:w="1728"/>
          </w:tcPr>
          <w:p>
            <w:r>
              <w:t>Persiapan</w:t>
            </w:r>
          </w:p>
        </w:tc>
        <w:tc>
          <w:tcPr>
            <w:tcW w:type="dxa" w:w="1728"/>
          </w:tcPr>
          <w:p>
            <w:r>
              <w:t>Tersedia</w:t>
            </w:r>
          </w:p>
        </w:tc>
        <w:tc>
          <w:tcPr>
            <w:tcW w:type="dxa" w:w="1728"/>
          </w:tcPr>
          <w:p>
            <w:r>
              <w:t>Terlaksana</w:t>
            </w:r>
          </w:p>
        </w:tc>
      </w:tr>
      <w:tr>
        <w:tc>
          <w:tcPr>
            <w:tcW w:type="dxa" w:w="1728"/>
          </w:tcPr>
          <w:p>
            <w:r>
              <w:t>*7</w:t>
            </w:r>
          </w:p>
        </w:tc>
        <w:tc>
          <w:tcPr>
            <w:tcW w:type="dxa" w:w="1728"/>
          </w:tcPr>
          <w:p>
            <w:r>
              <w:t>Ketersediaan dan kelayakan fasilitas ibadah</w:t>
            </w:r>
          </w:p>
        </w:tc>
        <w:tc>
          <w:tcPr>
            <w:tcW w:type="dxa" w:w="1728"/>
          </w:tcPr>
          <w:p>
            <w:r>
              <w:t>Tersedia</w:t>
            </w:r>
          </w:p>
        </w:tc>
        <w:tc>
          <w:tcPr>
            <w:tcW w:type="dxa" w:w="1728"/>
          </w:tcPr>
          <w:p>
            <w:r>
              <w:t>Tersedia &amp; layak</w:t>
            </w:r>
          </w:p>
        </w:tc>
        <w:tc>
          <w:tcPr>
            <w:tcW w:type="dxa" w:w="1728"/>
          </w:tcPr>
          <w:p>
            <w:r>
              <w:t>Tersedia &amp; layak</w:t>
            </w:r>
          </w:p>
        </w:tc>
      </w:tr>
      <w:tr>
        <w:tc>
          <w:tcPr>
            <w:tcW w:type="dxa" w:w="1728"/>
          </w:tcPr>
          <w:p>
            <w:r>
              <w:t>8</w:t>
            </w:r>
          </w:p>
        </w:tc>
        <w:tc>
          <w:tcPr>
            <w:tcW w:type="dxa" w:w="1728"/>
          </w:tcPr>
          <w:p>
            <w:r>
              <w:t>Pemenuhan sistem informasi terintegrasi</w:t>
            </w:r>
          </w:p>
        </w:tc>
        <w:tc>
          <w:tcPr>
            <w:tcW w:type="dxa" w:w="1728"/>
          </w:tcPr>
          <w:p>
            <w:r>
              <w:t>100%</w:t>
            </w:r>
          </w:p>
        </w:tc>
        <w:tc>
          <w:tcPr>
            <w:tcW w:type="dxa" w:w="1728"/>
          </w:tcPr>
          <w:p>
            <w:r>
              <w:t>100%</w:t>
            </w:r>
          </w:p>
        </w:tc>
        <w:tc>
          <w:tcPr>
            <w:tcW w:type="dxa" w:w="1728"/>
          </w:tcPr>
          <w:p>
            <w:r>
              <w:t>100%</w:t>
            </w:r>
          </w:p>
        </w:tc>
      </w:tr>
      <w:tr>
        <w:tc>
          <w:tcPr>
            <w:tcW w:type="dxa" w:w="1728"/>
          </w:tcPr>
          <w:p>
            <w:r>
              <w:t>*9</w:t>
            </w:r>
          </w:p>
        </w:tc>
        <w:tc>
          <w:tcPr>
            <w:tcW w:type="dxa" w:w="1728"/>
          </w:tcPr>
          <w:p>
            <w:r>
              <w:t>Pelaksanaan root-cause analysis &amp; SWOT tahunan Standar Sarana dan Prasarana (sesuai Standar SPMI)</w:t>
            </w:r>
          </w:p>
        </w:tc>
        <w:tc>
          <w:tcPr>
            <w:tcW w:type="dxa" w:w="1728"/>
          </w:tcPr>
          <w:p>
            <w:r>
              <w:t>Terlaksana</w:t>
            </w:r>
          </w:p>
        </w:tc>
        <w:tc>
          <w:tcPr>
            <w:tcW w:type="dxa" w:w="1728"/>
          </w:tcPr>
          <w:p>
            <w:r>
              <w:t>Terlaksana</w:t>
            </w:r>
          </w:p>
        </w:tc>
        <w:tc>
          <w:tcPr>
            <w:tcW w:type="dxa" w:w="1728"/>
          </w:tcPr>
          <w:p>
            <w:r>
              <w:t>Terlaksana</w:t>
            </w:r>
          </w:p>
        </w:tc>
      </w:tr>
    </w:tbl>
    <w:p>
      <w:pPr/>
    </w:p>
    <w:p>
      <w:pPr>
        <w:jc w:val="center"/>
      </w:pPr>
      <w:r>
        <w:rPr>
          <w:b/>
          <w:sz w:val="28"/>
        </w:rPr>
        <w:t>STANDAR PEMBIAYAAN PEMBELAJARAN</w:t>
      </w:r>
    </w:p>
    <w:p>
      <w:pPr/>
    </w:p>
    <w:p>
      <w:pPr/>
      <w:r>
        <w:rPr>
          <w:b/>
          <w:sz w:val="25"/>
        </w:rPr>
        <w:t>1. Daftar Istilah</w:t>
      </w:r>
    </w:p>
    <w:p>
      <w:pPr>
        <w:pStyle w:val="ListBullet"/>
      </w:pPr>
      <w:r>
        <w:rPr/>
        <w:t>Biaya Investasi Pendidikan Tinggi adalah bagian biaya pendidikan tinggi untuk pengadaan sarana dan prasarana, pengembangan dosen, dan tenaga kependidikan.</w:t>
      </w:r>
    </w:p>
    <w:p>
      <w:pPr>
        <w:pStyle w:val="ListBullet"/>
      </w:pPr>
      <w:r>
        <w:rPr/>
        <w:t>Biaya Operasional Pendidikan Tinggi adalah bagian biaya pendidikan tinggi yang diperlukan untuk melaksanakan kegiatan pendidikan mencakup biaya dosen dan tenaga kependidikan.</w:t>
      </w:r>
    </w:p>
    <w:p>
      <w:pPr>
        <w:pStyle w:val="ListBullet"/>
      </w:pPr>
      <w:r>
        <w:rPr/>
        <w:t>Dana Operasional Pendidikan (DOP) adalah biaya operasional pendidikan tinggi yang ditetapkan per mahasiswa per tahun.</w:t>
      </w:r>
    </w:p>
    <w:p>
      <w:pPr>
        <w:pStyle w:val="ListBullet"/>
      </w:pPr>
      <w:r>
        <w:rPr/>
        <w:t>Komponen Biaya Lain adalah pembiayaan di luar biaya pendidikan mahasiswa, antara lain hibah, jasa layanan profesi/keahlian, dan kerja sama kelembagaan pemerintah/swasta.</w:t>
      </w:r>
    </w:p>
    <w:p>
      <w:pPr>
        <w:pStyle w:val="ListBullet"/>
      </w:pPr>
      <w:r>
        <w:rPr/>
        <w:t>E-Budgeting adalah sistem perencanaan dan pelaporan anggaran berbasis elektronik yang menjamin transparansi dan akuntabilitas pengelolaan keuangan.</w:t>
      </w:r>
    </w:p>
    <w:p>
      <w:pPr/>
      <w:r>
        <w:rPr>
          <w:b/>
          <w:sz w:val="25"/>
        </w:rPr>
        <w:t>2. Pihak Yang Bertanggung Jawab Untuk Memenuhi Standar</w:t>
      </w:r>
    </w:p>
    <w:p>
      <w:pPr>
        <w:pStyle w:val="ListBullet"/>
      </w:pPr>
      <w:r>
        <w:rPr/>
        <w:t>Rektor, dalam menetapkan kebijakan pembiayaan pembelajaran.</w:t>
      </w:r>
    </w:p>
    <w:p>
      <w:pPr>
        <w:pStyle w:val="ListBullet"/>
      </w:pPr>
      <w:r>
        <w:rPr/>
        <w:t>Wakil Rektor Bidang Keuangan, dalam perencanaan dan pengendalian anggaran.</w:t>
      </w:r>
    </w:p>
    <w:p>
      <w:pPr>
        <w:pStyle w:val="ListBullet"/>
      </w:pPr>
      <w:r>
        <w:rPr/>
        <w:t>Direktorat Keuangan, dalam pencatatan, pelaporan, dan audit biaya operasional pendidikan.</w:t>
      </w:r>
    </w:p>
    <w:p>
      <w:pPr>
        <w:pStyle w:val="ListBullet"/>
      </w:pPr>
      <w:r>
        <w:rPr/>
        <w:t>Dekan FTII dan Ketua Program Studi, dalam pengusulan kebutuhan anggaran program studi.</w:t>
      </w:r>
    </w:p>
    <w:p>
      <w:pPr/>
      <w:r>
        <w:rPr>
          <w:b/>
          <w:sz w:val="25"/>
        </w:rPr>
        <w:t>3. Pernyataan Isi Standar Pembiayaan Pembelajaran</w:t>
      </w:r>
    </w:p>
    <w:p>
      <w:pPr>
        <w:pStyle w:val="ListNumber"/>
      </w:pPr>
      <w:r>
        <w:rPr/>
        <w:t>Program Studi Magister Teknologi Informasi wajib meningkatkan rata-rata dana operasional proses pembelajaran per mahasiswa per tahun secara bertahap dari paling sedikit Rp18.000.000 pada tahun pertama, mencapai paling sedikit Rp20.000.000 pada tahun kedua, dan Rp22.000.000 pada tahun ketiga, sehingga sejak tahun kedua mencapai dan pada tahun-tahun berikutnya melampaui ambang skor sempurna yang konsisten pada Panduan SPMI Program Magister, LAM Teknik, dan praktik baik SPMI perguruan tinggi sejenis.</w:t>
      </w:r>
    </w:p>
    <w:p>
      <w:pPr>
        <w:pStyle w:val="ListNumber"/>
      </w:pPr>
      <w:r>
        <w:rPr/>
        <w:t>Program Studi Magister Teknologi Informasi wajib menjaga persentase dana yang bersumber dari mahasiswa terhadap total perolehan dana perguruan tinggi paling banyak 40%.</w:t>
      </w:r>
    </w:p>
    <w:p>
      <w:pPr>
        <w:pStyle w:val="ListNumber"/>
      </w:pPr>
      <w:r>
        <w:rPr/>
        <w:t>Program Studi Magister Teknologi Informasi wajib meningkatkan diversifikasi sumber pendanaan non-mahasiswa dan non-kementerian/lembaga menuju paling sedikit 5% dalam jangka menengah dan paling sedikit 10% dalam jangka panjang.</w:t>
      </w:r>
    </w:p>
    <w:p>
      <w:pPr>
        <w:pStyle w:val="ListNumber"/>
      </w:pPr>
      <w:r>
        <w:rPr/>
        <w:t>Universitas wajib menetapkan sistem pencatatan biaya yang transparan, akurat, dan cepat, dapat diakses sampai level program studi setiap tahunnya.</w:t>
      </w:r>
    </w:p>
    <w:p>
      <w:pPr>
        <w:pStyle w:val="ListNumber"/>
      </w:pPr>
      <w:r>
        <w:rPr/>
        <w:t>Program Studi Magister Teknologi Informasi wajib menyediakan laporan keuangan perguruan tinggi secara komprehensif, transparan, dan akuntabel setiap tahun melalui sistem e-budgeting.</w:t>
      </w:r>
    </w:p>
    <w:p>
      <w:pPr>
        <w:pStyle w:val="ListNumber"/>
      </w:pPr>
      <w:r>
        <w:rPr/>
        <w:t>Universitas wajib melakukan evaluasi tingkat ketercapaian standar satuan biaya pendidikan tinggi pada setiap akhir tahun anggaran.</w:t>
      </w:r>
    </w:p>
    <w:p>
      <w:pPr/>
      <w:r>
        <w:rPr>
          <w:b/>
          <w:sz w:val="25"/>
        </w:rPr>
        <w:t>4. Strategi Pencapaian Standar</w:t>
      </w:r>
    </w:p>
    <w:p>
      <w:pPr>
        <w:pStyle w:val="ListNumber"/>
      </w:pPr>
      <w:r>
        <w:rPr/>
        <w:t>Rektor melalui Wakil Rektor Bidang Keuangan menetapkan Surat Keputusan tentang pedoman pembiayaan pembelajaran.</w:t>
      </w:r>
    </w:p>
    <w:p>
      <w:pPr>
        <w:pStyle w:val="ListNumber"/>
      </w:pPr>
      <w:r>
        <w:rPr/>
        <w:t>Direktorat Keuangan menyusun rencana anggaran bertahap untuk mencapai dana operasional pembelajaran minimal Rp20 juta/mahasiswa/tahun pada 2025/26, melalui optimalisasi alokasi anggaran fakultas dan universitas.</w:t>
      </w:r>
    </w:p>
    <w:p>
      <w:pPr>
        <w:pStyle w:val="ListNumber"/>
      </w:pPr>
      <w:r>
        <w:rPr/>
        <w:t>Universitas dan fakultas meningkatkan diversifikasi sumber pendanaan non-mahasiswa melalui kerja sama, hibah, layanan profesional, penelitian terapan, pelatihan bersertifikat, dan unit bisnis, menuju kontribusi minimal 10% pada 2026/27.</w:t>
      </w:r>
    </w:p>
    <w:p>
      <w:pPr>
        <w:pStyle w:val="ListNumber"/>
      </w:pPr>
      <w:r>
        <w:rPr/>
        <w:t>Direktorat Keuangan mengimplementasikan dan memutakhirkan sistem e-budgeting agar pencatatan biaya dapat diakses sampai level program studi.</w:t>
      </w:r>
    </w:p>
    <w:p>
      <w:pPr>
        <w:pStyle w:val="ListNumber"/>
      </w:pPr>
      <w:r>
        <w:rPr/>
        <w:t>Direktorat Keuangan melaksanakan evaluasi ketercapaian standar satuan biaya pendidikan tinggi setiap akhir tahun anggaran, dilaporkan kepada Rektor.</w:t>
      </w:r>
    </w:p>
    <w:p>
      <w:pPr/>
      <w:r>
        <w:rPr>
          <w:b/>
          <w:sz w:val="25"/>
        </w:rPr>
        <w:t>5. Indikator Capaian Standar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No</w:t>
            </w:r>
          </w:p>
        </w:tc>
        <w:tc>
          <w:tcPr>
            <w:tcW w:type="dxa" w:w="1728"/>
          </w:tcPr>
          <w:p>
            <w:r>
              <w:rPr>
                <w:b/>
              </w:rPr>
              <w:t>Indikator Kinerja Utama (IKU) / Tambahan (IKT)</w:t>
            </w:r>
          </w:p>
        </w:tc>
        <w:tc>
          <w:tcPr>
            <w:tcW w:type="dxa" w:w="1728"/>
          </w:tcPr>
          <w:p>
            <w:r>
              <w:rPr>
                <w:b/>
              </w:rPr>
              <w:t>2024/2025</w:t>
            </w:r>
          </w:p>
        </w:tc>
        <w:tc>
          <w:tcPr>
            <w:tcW w:type="dxa" w:w="1728"/>
          </w:tcPr>
          <w:p>
            <w:r>
              <w:rPr>
                <w:b/>
              </w:rPr>
              <w:t>2025/2026</w:t>
            </w:r>
          </w:p>
        </w:tc>
        <w:tc>
          <w:tcPr>
            <w:tcW w:type="dxa" w:w="1728"/>
          </w:tcPr>
          <w:p>
            <w:r>
              <w:rPr>
                <w:b/>
              </w:rPr>
              <w:t>2026/2027</w:t>
            </w:r>
          </w:p>
        </w:tc>
      </w:tr>
      <w:tr>
        <w:tc>
          <w:tcPr>
            <w:tcW w:type="dxa" w:w="1728"/>
          </w:tcPr>
          <w:p>
            <w:r>
              <w:t>1</w:t>
            </w:r>
          </w:p>
        </w:tc>
        <w:tc>
          <w:tcPr>
            <w:tcW w:type="dxa" w:w="1728"/>
          </w:tcPr>
          <w:p>
            <w:r>
              <w:t>Dana operasional pembelajaran per mahasiswa per tahun</w:t>
            </w:r>
          </w:p>
        </w:tc>
        <w:tc>
          <w:tcPr>
            <w:tcW w:type="dxa" w:w="1728"/>
          </w:tcPr>
          <w:p>
            <w:r>
              <w:t>Rp18 juta</w:t>
            </w:r>
          </w:p>
        </w:tc>
        <w:tc>
          <w:tcPr>
            <w:tcW w:type="dxa" w:w="1728"/>
          </w:tcPr>
          <w:p>
            <w:r>
              <w:t>Rp20 juta</w:t>
            </w:r>
          </w:p>
        </w:tc>
        <w:tc>
          <w:tcPr>
            <w:tcW w:type="dxa" w:w="1728"/>
          </w:tcPr>
          <w:p>
            <w:r>
              <w:t>Rp22 juta</w:t>
            </w:r>
          </w:p>
        </w:tc>
      </w:tr>
      <w:tr>
        <w:tc>
          <w:tcPr>
            <w:tcW w:type="dxa" w:w="1728"/>
          </w:tcPr>
          <w:p>
            <w:r>
              <w:t>2</w:t>
            </w:r>
          </w:p>
        </w:tc>
        <w:tc>
          <w:tcPr>
            <w:tcW w:type="dxa" w:w="1728"/>
          </w:tcPr>
          <w:p>
            <w:r>
              <w:t>Persentase dana dari mahasiswa terhadap total dana</w:t>
            </w:r>
          </w:p>
        </w:tc>
        <w:tc>
          <w:tcPr>
            <w:tcW w:type="dxa" w:w="1728"/>
          </w:tcPr>
          <w:p>
            <w:r>
              <w:t>40%</w:t>
            </w:r>
          </w:p>
        </w:tc>
        <w:tc>
          <w:tcPr>
            <w:tcW w:type="dxa" w:w="1728"/>
          </w:tcPr>
          <w:p>
            <w:r>
              <w:t>38%</w:t>
            </w:r>
          </w:p>
        </w:tc>
        <w:tc>
          <w:tcPr>
            <w:tcW w:type="dxa" w:w="1728"/>
          </w:tcPr>
          <w:p>
            <w:r>
              <w:t>35%</w:t>
            </w:r>
          </w:p>
        </w:tc>
      </w:tr>
      <w:tr>
        <w:tc>
          <w:tcPr>
            <w:tcW w:type="dxa" w:w="1728"/>
          </w:tcPr>
          <w:p>
            <w:r>
              <w:t>3</w:t>
            </w:r>
          </w:p>
        </w:tc>
        <w:tc>
          <w:tcPr>
            <w:tcW w:type="dxa" w:w="1728"/>
          </w:tcPr>
          <w:p>
            <w:r>
              <w:t>Persentase dana non-mahasiswa/non-kementerian</w:t>
            </w:r>
          </w:p>
        </w:tc>
        <w:tc>
          <w:tcPr>
            <w:tcW w:type="dxa" w:w="1728"/>
          </w:tcPr>
          <w:p>
            <w:r>
              <w:t>5%</w:t>
            </w:r>
          </w:p>
        </w:tc>
        <w:tc>
          <w:tcPr>
            <w:tcW w:type="dxa" w:w="1728"/>
          </w:tcPr>
          <w:p>
            <w:r>
              <w:t>7%</w:t>
            </w:r>
          </w:p>
        </w:tc>
        <w:tc>
          <w:tcPr>
            <w:tcW w:type="dxa" w:w="1728"/>
          </w:tcPr>
          <w:p>
            <w:r>
              <w:t>10%</w:t>
            </w:r>
          </w:p>
        </w:tc>
      </w:tr>
      <w:tr>
        <w:tc>
          <w:tcPr>
            <w:tcW w:type="dxa" w:w="1728"/>
          </w:tcPr>
          <w:p>
            <w:r>
              <w:t>4</w:t>
            </w:r>
          </w:p>
        </w:tc>
        <w:tc>
          <w:tcPr>
            <w:tcW w:type="dxa" w:w="1728"/>
          </w:tcPr>
          <w:p>
            <w:r>
              <w:t>Ketersediaan laporan keuangan komprehensif (e-budgeting)</w:t>
            </w:r>
          </w:p>
        </w:tc>
        <w:tc>
          <w:tcPr>
            <w:tcW w:type="dxa" w:w="1728"/>
          </w:tcPr>
          <w:p>
            <w:r>
              <w:t>Tersedia</w:t>
            </w:r>
          </w:p>
        </w:tc>
        <w:tc>
          <w:tcPr>
            <w:tcW w:type="dxa" w:w="1728"/>
          </w:tcPr>
          <w:p>
            <w:r>
              <w:t>Tersedia</w:t>
            </w:r>
          </w:p>
        </w:tc>
        <w:tc>
          <w:tcPr>
            <w:tcW w:type="dxa" w:w="1728"/>
          </w:tcPr>
          <w:p>
            <w:r>
              <w:t>Tersedia</w:t>
            </w:r>
          </w:p>
        </w:tc>
      </w:tr>
      <w:tr>
        <w:tc>
          <w:tcPr>
            <w:tcW w:type="dxa" w:w="1728"/>
          </w:tcPr>
          <w:p>
            <w:r>
              <w:t>5</w:t>
            </w:r>
          </w:p>
        </w:tc>
        <w:tc>
          <w:tcPr>
            <w:tcW w:type="dxa" w:w="1728"/>
          </w:tcPr>
          <w:p>
            <w:r>
              <w:t>Evaluasi ketercapaian standar satuan biaya pendidikan tinggi</w:t>
            </w:r>
          </w:p>
        </w:tc>
        <w:tc>
          <w:tcPr>
            <w:tcW w:type="dxa" w:w="1728"/>
          </w:tcPr>
          <w:p>
            <w:r>
              <w:t>1 kali/tahun</w:t>
            </w:r>
          </w:p>
        </w:tc>
        <w:tc>
          <w:tcPr>
            <w:tcW w:type="dxa" w:w="1728"/>
          </w:tcPr>
          <w:p>
            <w:r>
              <w:t>1 kali/tahun</w:t>
            </w:r>
          </w:p>
        </w:tc>
        <w:tc>
          <w:tcPr>
            <w:tcW w:type="dxa" w:w="1728"/>
          </w:tcPr>
          <w:p>
            <w:r>
              <w:t>1 kali/tahun</w:t>
            </w:r>
          </w:p>
        </w:tc>
      </w:tr>
      <w:tr>
        <w:tc>
          <w:tcPr>
            <w:tcW w:type="dxa" w:w="1728"/>
          </w:tcPr>
          <w:p>
            <w:r>
              <w:t>*6</w:t>
            </w:r>
          </w:p>
        </w:tc>
        <w:tc>
          <w:tcPr>
            <w:tcW w:type="dxa" w:w="1728"/>
          </w:tcPr>
          <w:p>
            <w:r>
              <w:t>Pelaksanaan root-cause analysis &amp; SWOT tahunan Standar Pembiayaan (sesuai Standar SPMI)</w:t>
            </w:r>
          </w:p>
        </w:tc>
        <w:tc>
          <w:tcPr>
            <w:tcW w:type="dxa" w:w="1728"/>
          </w:tcPr>
          <w:p>
            <w:r>
              <w:t>Terlaksana</w:t>
            </w:r>
          </w:p>
        </w:tc>
        <w:tc>
          <w:tcPr>
            <w:tcW w:type="dxa" w:w="1728"/>
          </w:tcPr>
          <w:p>
            <w:r>
              <w:t>Terlaksana</w:t>
            </w:r>
          </w:p>
        </w:tc>
        <w:tc>
          <w:tcPr>
            <w:tcW w:type="dxa" w:w="1728"/>
          </w:tcPr>
          <w:p>
            <w:r>
              <w:t>Terlaksana</w:t>
            </w:r>
          </w:p>
        </w:tc>
      </w:tr>
    </w:tbl>
    <w:p>
      <w:pPr/>
    </w:p>
    <w:p>
      <w:pPr/>
      <w:r>
        <w:rPr>
          <w:b/>
          <w:sz w:val="28"/>
        </w:rPr>
        <w:t>DOKUMEN TERKAIT PELAKSANAAN STANDAR</w:t>
      </w:r>
    </w:p>
    <w:p>
      <w:pPr>
        <w:pStyle w:val="ListNumber"/>
      </w:pPr>
      <w:r>
        <w:rPr/>
        <w:t>Keputusan Rektor tentang penetapan Standar Masukan Pendidikan FTII.</w:t>
      </w:r>
    </w:p>
    <w:p>
      <w:pPr>
        <w:pStyle w:val="ListNumber"/>
      </w:pPr>
      <w:r>
        <w:rPr/>
        <w:t>Dokumen kurikulum tiap program studi berbasis OBE beserta berita acara tinjauan kurikulum dan pelibatan pemangku kepentingan.</w:t>
      </w:r>
    </w:p>
    <w:p>
      <w:pPr>
        <w:pStyle w:val="ListNumber"/>
      </w:pPr>
      <w:r>
        <w:rPr/>
        <w:t>Daftar mata kuliah dan RPS yang memanfaatkan hasil penelitian, PkM, proyek, dan studi kasus.</w:t>
      </w:r>
    </w:p>
    <w:p>
      <w:pPr>
        <w:pStyle w:val="ListNumber"/>
      </w:pPr>
      <w:r>
        <w:rPr/>
        <w:t>Data PDDikti: rasio dosen tetap:mahasiswa (DTPS/DTPR), kualifikasi akademik, jabatan fungsional, dan sertifikasi pendidik dosen per program studi.</w:t>
      </w:r>
    </w:p>
    <w:p>
      <w:pPr>
        <w:pStyle w:val="ListNumber"/>
      </w:pPr>
      <w:r>
        <w:rPr/>
        <w:t>Dokumen sertifikat kompetensi/profesi/industri dosen dan bukti penugasan dosen industri/praktisi pada mata kuliah kompetensi.</w:t>
      </w:r>
    </w:p>
    <w:p>
      <w:pPr>
        <w:pStyle w:val="ListNumber"/>
      </w:pPr>
      <w:r>
        <w:rPr/>
        <w:t>Laporan Kinerja Dosen (LKD) dan Beban Kerja Dosen (BKD) yang memuat aktivitas penelitian, PkM, publikasi, rekognisi, dan sitasi.</w:t>
      </w:r>
    </w:p>
    <w:p>
      <w:pPr>
        <w:pStyle w:val="ListNumber"/>
      </w:pPr>
      <w:r>
        <w:rPr/>
        <w:t>Dokumen hibah penelitian dan PkM internal/eksternal beserta rekapitulasi dana per dosen per tahun.</w:t>
      </w:r>
    </w:p>
    <w:p>
      <w:pPr>
        <w:pStyle w:val="ListNumber"/>
      </w:pPr>
      <w:r>
        <w:rPr/>
        <w:t>Dokumentasi dan surat keterangan adopsi/pemanfaatan produk/jasa karya dosen oleh industri/masyarakat.</w:t>
      </w:r>
    </w:p>
    <w:p>
      <w:pPr>
        <w:pStyle w:val="ListNumber"/>
      </w:pPr>
      <w:r>
        <w:rPr/>
        <w:t>Dokumen kepemilikan lahan dan bangunan, data rasio luas bangunan dan ruang dosen, serta dokumentasi kelengkapan sarana akademik (media pembelajaran, perangkat elektronik, koleksi perpustakaan).</w:t>
      </w:r>
    </w:p>
    <w:p>
      <w:pPr>
        <w:pStyle w:val="ListNumber"/>
      </w:pPr>
      <w:r>
        <w:rPr/>
        <w:t>Dokumen kebijakan dan laporan pelaksanaan K3L skala kampus, serta dokumentasi fasilitas ibadah.</w:t>
      </w:r>
    </w:p>
    <w:p>
      <w:pPr>
        <w:pStyle w:val="ListNumber"/>
      </w:pPr>
      <w:r>
        <w:rPr/>
        <w:t>Dokumentasi sarana aksesibilitas difabel (5 aspek) dan bukti operasional sistem informasi terintegrasi.</w:t>
      </w:r>
    </w:p>
    <w:p>
      <w:pPr>
        <w:pStyle w:val="ListNumber"/>
      </w:pPr>
      <w:r>
        <w:rPr/>
        <w:t>Laporan keuangan tahunan (e-budgeting) yang memuat realisasi dana operasional per mahasiswa, proporsi dana dari mahasiswa, dan diversifikasi sumber pendanaan.</w:t>
      </w:r>
    </w:p>
    <w:p>
      <w:pPr>
        <w:pStyle w:val="ListNumber"/>
      </w:pPr>
      <w:r>
        <w:rPr/>
        <w:t>Dokumen root-cause analysis dan SWOT tahunan atas keempat sub-standar Masukan Pendidikan, sesuai template Standar Penjaminan Mutu Internal FTII, beserta berita acara pembahasannya dalam RTM.</w:t>
      </w:r>
    </w:p>
    <w:p>
      <w:pPr>
        <w:pStyle w:val="ListNumber"/>
      </w:pPr>
      <w:r>
        <w:rPr/>
        <w:t>Laporan Audit Mutu Internal (AMI) dan Berita Acara Rapat Tinjauan Manajemen (RTM) atas Standar Masukan Pendidikan.</w:t>
      </w:r>
    </w:p>
    <w:p>
      <w:pPr>
        <w:pStyle w:val="ListNumber"/>
      </w:pPr>
      <w:r>
        <w:rPr/>
        <w:t>Rencana Tindak Lanjut (RTL) hasil evaluasi dan AMI periode berjalan.</w:t>
      </w:r>
    </w:p>
    <w:p>
      <w:pPr>
        <w:pStyle w:val="ListNumber"/>
      </w:pPr>
      <w:r>
        <w:rPr/>
        <w:t>Dokumen pemetaan gap Standar Masukan Pendidikan terhadap dokumen rujukan (standarmasukanpendidikan.docx) dan terhadap Kriteria C.4/C.5 LEDPS LAM Teknik 2025.</w:t>
      </w:r>
    </w:p>
    <w:p>
      <w:pPr/>
      <w:r>
        <w:rPr>
          <w:b/>
          <w:sz w:val="28"/>
        </w:rPr>
        <w:t>REFERENSI</w:t>
      </w:r>
    </w:p>
    <w:p>
      <w:pPr>
        <w:pStyle w:val="ListNumber"/>
      </w:pPr>
      <w:r>
        <w:rPr/>
        <w:t>Undang-Undang Republik Indonesia Nomor 12 Tahun 2012 tentang Pendidikan Tinggi.</w:t>
      </w:r>
    </w:p>
    <w:p>
      <w:pPr>
        <w:pStyle w:val="ListNumber"/>
      </w:pPr>
      <w:r>
        <w:rPr/>
        <w:t>Peraturan Pemerintah Republik Indonesia Nomor 4 Tahun 2014 tentang Penyelenggaraan Pendidikan Tinggi dan Pengelolaan Perguruan Tinggi.</w:t>
      </w:r>
    </w:p>
    <w:p>
      <w:pPr>
        <w:pStyle w:val="ListNumber"/>
      </w:pPr>
      <w:r>
        <w:rPr/>
        <w:t>Peraturan Presiden Republik Indonesia Nomor 8 Tahun 2012 tentang Kerangka Kualifikasi Nasional Indonesia (KKNI).</w:t>
      </w:r>
    </w:p>
    <w:p>
      <w:pPr>
        <w:pStyle w:val="ListNumber"/>
      </w:pPr>
      <w:r>
        <w:rPr/>
        <w:t>Peraturan Menteri Pendidikan, Kebudayaan, Riset, dan Teknologi Republik Indonesia Nomor 53 Tahun 2023 tentang Penjaminan Mutu Pendidikan Tinggi, khususnya Pasal 40-51.</w:t>
      </w:r>
    </w:p>
    <w:p>
      <w:pPr>
        <w:pStyle w:val="ListNumber"/>
      </w:pPr>
      <w:r>
        <w:rPr/>
        <w:t>Peraturan Badan Akreditasi Nasional Perguruan Tinggi (BAN-PT) Nomor 13 Tahun 2023 tentang Sistem Akreditasi Nasional (SAN).</w:t>
      </w:r>
    </w:p>
    <w:p>
      <w:pPr>
        <w:pStyle w:val="ListNumber"/>
      </w:pPr>
      <w:r>
        <w:rPr/>
        <w:t>Peraturan Badan Akreditasi Nasional Perguruan Tinggi (BAN-PT) Nomor 5 Tahun 2024 tentang Pemantauan dan Evaluasi Mutu Perguruan Tinggi (PMPT).</w:t>
      </w:r>
    </w:p>
    <w:p>
      <w:pPr>
        <w:pStyle w:val="ListNumber"/>
      </w:pPr>
      <w:r>
        <w:rPr/>
        <w:t>Matriks Penilaian LED-LKPS Sarjana APS Akademik dan Vokasi Teknik 2025 untuk Pasca-Akreditasi Pertama dan Unggul, Lembaga Akreditasi Mandiri Teknik (LAM Teknik).</w:t>
      </w:r>
    </w:p>
    <w:p>
      <w:pPr>
        <w:pStyle w:val="ListNumber"/>
      </w:pPr>
      <w:r>
        <w:rPr/>
        <w:t>Pedoman Penyusunan Laporan Evaluasi Diri (LEDPS) — Lampiran 2 Peraturan LAM Teknik Nomor 5 Tahun 2025.</w:t>
      </w:r>
    </w:p>
    <w:p>
      <w:pPr>
        <w:pStyle w:val="ListNumber"/>
      </w:pPr>
      <w:r>
        <w:rPr/>
        <w:t>Kriteria Terakreditasi Unggul 2.1, Lembaga Akreditasi Mandiri Informatika dan Komputer (LAM INFOKOM), Instrumen 1.0.</w:t>
      </w:r>
    </w:p>
    <w:p>
      <w:pPr>
        <w:pStyle w:val="ListNumber"/>
      </w:pPr>
      <w:r>
        <w:rPr/>
        <w:t>*Peraturan Lembaga Akreditasi Mandiri Informatika dan Komputer Nomor 06/PERLAM/MA/LAM-INFOKOM/VI/2025 tentang Instrumen Akreditasi Program Studi 2.0 pada Program Magister Lingkup Informatika dan Komputer, April 2025 (S1-Matriks Penilaian.pdf dan S1-LED.pdf).</w:t>
      </w:r>
    </w:p>
    <w:p>
      <w:pPr>
        <w:pStyle w:val="ListNumber"/>
      </w:pPr>
      <w:r>
        <w:rPr/>
        <w:t>Statuta Universitas Stikubank (UNISBANK) Semarang Tahun 2020.</w:t>
      </w:r>
    </w:p>
    <w:p>
      <w:pPr>
        <w:pStyle w:val="ListNumber"/>
      </w:pPr>
      <w:r>
        <w:rPr/>
        <w:t>Rencana Strategis (Renstra) Universitas Stikubank (UNISBANK) Semarang Tahun 2024-2027.</w:t>
      </w:r>
    </w:p>
    <w:p>
      <w:pPr>
        <w:pStyle w:val="ListNumber"/>
      </w:pPr>
      <w:r>
        <w:rPr/>
        <w:t>Rencana Strategis (Renstra) Fakultas Teknologi Informasi dan Industri (FTII) Universitas Stikubank (UNISBANK) Semarang Tahun 2024-2027.</w:t>
      </w:r>
    </w:p>
    <w:p>
      <w:pPr>
        <w:pStyle w:val="ListNumber"/>
      </w:pPr>
      <w:r>
        <w:rPr/>
        <w:t>Standar Visi Misi FTII versi Unggul (Standar_Visi_Misi_Unggul_FTII.docx).</w:t>
      </w:r>
    </w:p>
    <w:p>
      <w:pPr>
        <w:pStyle w:val="ListNumber"/>
      </w:pPr>
      <w:r>
        <w:rPr/>
        <w:t>Standar Penjaminan Mutu Internal FTII versi Unggul (Standar_Penjaminan_Mutu_Internal_Unggul_FTII.docx).</w:t>
      </w:r>
    </w:p>
    <w:p>
      <w:pPr>
        <w:pStyle w:val="ListNumber"/>
      </w:pPr>
      <w:r>
        <w:rPr/>
        <w:t>Dokumen pemetaan gap Standar Masukan Pendidikan FTII (standarmasukanpendidikan.docx).</w:t>
      </w:r>
    </w:p>
    <w:p>
      <w:pPr/>
    </w:p>
    <w:p>
      <w:pPr>
        <w:jc w:val="right"/>
      </w:pPr>
      <w:r>
        <w:rPr>
          <w:i/>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