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UNIVERSITAS STIKUBANK (UNISBANK) SEMARANG</w:t>
      </w:r>
    </w:p>
    <w:p>
      <w:r>
        <w:t>STANDAR MASUKAN PENDIDIKAN</w:t>
      </w:r>
    </w:p>
    <w:p>
      <w:r>
        <w:t>PROGRAM STUDI TEKNIK INDUSTRI</w:t>
      </w:r>
    </w:p>
    <w:p>
      <w:r>
        <w:t>FAKULTAS TEKNOLOGI INFORMASI DAN INDUSTRI (FTII)</w:t>
      </w:r>
    </w:p>
    <w:p>
      <w:r>
        <w:t>Disusun untuk memenuhi ambang kriteria status Terakreditasi Unggul LAM TEKNIK (APS-AV 2025 1.0), sebagai turunan Standar Standar Masukan Pendidikan FTII versi Unggul, dengan indikator standar yang terukur dan disesuaikan pada skala Program Studi Teknik Industri</w:t>
      </w:r>
    </w:p>
    <w:p>
      <w:pPr/>
      <w:r>
        <w:rPr>
          <w:b/>
        </w:rPr>
        <w:t>1. VISI KEILMUAN PROGRAM STUDI TEKNIK INDUSTRI</w:t>
      </w:r>
    </w:p>
    <w:p>
      <w:r>
        <w:t>Program Studi Teknik Industri FTII UNISBANK mengemban visi keilmuan: "Menjadi rujukan pengembangan rekayasa dan manajemen sistem industri yang unggul dalam optimasi manufaktur cerdas (smart manufacturing), rantai pasok (supply chain), dan ergonomi berbasis penerapan teknologi informasi", diturunkan dari diferensiasi misi FTII dan ditetapkan pada Standar VMTS Program Studi Teknik Industri (Standar_VMTS_ProgramStudi_TeknikIndustri.docx).</w:t>
      </w:r>
    </w:p>
    <w:p>
      <w:pPr/>
      <w:r>
        <w:rPr>
          <w:b/>
        </w:rPr>
        <w:t>2. RASIONAL</w:t>
      </w:r>
    </w:p>
    <w:p>
      <w:r>
        <w:t>Standar ini disusun mengacu pada Peraturan Menteri Pendidikan, Kebudayaan, Riset, dan Teknologi Nomor 53 Tahun 2023 Pasal 40-51 tentang Standar Isi, Dosen dan Tenaga Kependidikan, Sarana dan Prasarana, serta Pembiayaan Pembelajaran, diturunkan dari Standar Masukan Pendidikan FTII versi Unggul (standarmasukanpendidikanunggul.docx) dan dipersempit pada skala Program Studi Teknik Industri.</w:t>
      </w:r>
    </w:p>
    <w:p>
      <w:r>
        <w:t>Program Studi Teknik Industri menetapkan Standar Masukan Pendidikan agar mutu sumber daya pendidikan (isi pembelajaran, dosen, sarana-prasarana, pembiayaan) mendukung tercapainya visi keilmuan bidang smart manufacturing, rantai pasok, dan ergonomi, serta memenuhi atau melampaui ambang skor tertinggi (skor 4) Kriteria C.4 (Sumber Daya Manusia) dan C.5 (Keuangan, Sarana dan Prasarana) Matriks Penilaian LED-LKPS LAM Teknik APS-AV 2025 1.0.</w:t>
      </w:r>
    </w:p>
    <w:p>
      <w:r>
        <w:t>Ambang kuantitatif pada dokumen ini diturunkan proporsional dari Standar Masukan Pendidikan FTII (yang berlaku lintas program studi di lingkungan FTII) menjadi target skala satu program studi berkapasitas kecil-menengah, dengan mempertahankan rasio dan persentase yang bersifat per-dosen/per-mahasiswa, serta menyesuaikan angka absolut (jumlah dosen tetap, jumlah judul referensi laboratorium) pada skala Program Studi Teknik Industri.</w:t>
      </w:r>
    </w:p>
    <w:p>
      <w:pPr/>
      <w:r>
        <w:rPr>
          <w:b/>
        </w:rPr>
        <w:t>Ketentuan Lintas Sub-Standar: Root-Cause Analysis dan SWOT Tahunan</w:t>
      </w:r>
    </w:p>
    <w:p>
      <w:r>
        <w:t>*Sesuai kewajiban lintas-standar Standar Penjaminan Mutu Internal FTII versi Unggul, Program Studi Teknik Industri wajib melaksanakan root-cause analysis dan SWOT tahunan atas ketercapaian seluruh sub-standar Masukan Pendidikan (Isi Pembelajaran, Dosen dan Tenaga Kependidikan, Sarana dan Prasarana Pembelajaran, Pembiayaan Pembelajaran) paling sedikit 1 kali setiap tahun akademik, dibahas dalam Rapat Tinjauan Manajemen (RTM) tingkat program studi.</w:t>
      </w:r>
    </w:p>
    <w:p>
      <w:pPr/>
      <w:r>
        <w:rPr>
          <w:b/>
        </w:rPr>
        <w:t>STANDAR ISI PEMBELAJARAN</w:t>
      </w:r>
    </w:p>
    <w:p>
      <w:r>
        <w:t>1. Daftar Istilah</w:t>
      </w:r>
    </w:p>
    <w:p>
      <w:pPr>
        <w:pStyle w:val="ListBullet"/>
      </w:pPr>
      <w:r>
        <w:t>Outcome-Based Education (OBE) adalah pendekatan pendidikan berorientasi capaian pembelajaran lulusan (CPL).</w:t>
      </w:r>
    </w:p>
    <w:p>
      <w:pPr>
        <w:pStyle w:val="ListBullet"/>
      </w:pPr>
      <w:r>
        <w:t>Kerangka Kualifikasi Nasional Indonesia (KKNI) — lulusan Program Studi Teknik Industri paling rendah setara KKNI jenjang 6.</w:t>
      </w:r>
    </w:p>
    <w:p>
      <w:pPr>
        <w:pStyle w:val="ListBullet"/>
      </w:pPr>
      <w:r>
        <w:t>Body-of-Knowledge Keteknikindustrian adalah kerangka acuan keilmuan Teknik Industri (mis. IISE Body of Knowledge, kurikulum BKSTI) yang memetakan kompetensi rekayasa sistem industri, optimasi, ergonomi, dan manajemen rantai pasok.</w:t>
      </w:r>
    </w:p>
    <w:p>
      <w:pPr>
        <w:pStyle w:val="ListBullet"/>
      </w:pPr>
      <w:r>
        <w:t>Rencana Pembelajaran Semester (RPS) adalah dokumen rencana proses pembelajaran per mata kuliah memuat 9 komponen baku (identitas, CPL, kemampuan akhir tahap, bahan kajian, metode, alokasi waktu, pengalaman belajar, kriteria-indikator-bobot penilaian, referensi).</w:t>
      </w:r>
    </w:p>
    <w:p>
      <w:pPr>
        <w:pStyle w:val="ListBullet"/>
      </w:pPr>
      <w:r>
        <w:t>Capstone Project/Tugas Akhir Terintegrasi adalah mata kuliah wajib berbasis proyek perancangan/optimasi sistem industri pada tahap akhir studi.</w:t>
      </w:r>
    </w:p>
    <w:p>
      <w:r>
        <w:t>2. Pihak Yang Bertanggung Jawab Untuk Memenuhi Standar</w:t>
      </w:r>
    </w:p>
    <w:p>
      <w:pPr>
        <w:pStyle w:val="ListBullet"/>
      </w:pPr>
      <w:r>
        <w:t>Ketua Program Studi Teknik Industri, dalam penyusunan dan pemutakhiran kurikulum serta capaian pembelajaran.</w:t>
      </w:r>
    </w:p>
    <w:p>
      <w:pPr>
        <w:pStyle w:val="ListBullet"/>
      </w:pPr>
      <w:r>
        <w:t>Dekan FTII, dalam verifikasi kesesuaian isi pembelajaran dengan standar fakultas.</w:t>
      </w:r>
    </w:p>
    <w:p>
      <w:pPr>
        <w:pStyle w:val="ListBullet"/>
      </w:pPr>
      <w:r>
        <w:t>Dosen dan mahasiswa, dalam pelaksanaan proses pembelajaran sesuai RPS.</w:t>
      </w:r>
    </w:p>
    <w:p>
      <w:pPr>
        <w:pStyle w:val="ListBullet"/>
      </w:pPr>
      <w:r>
        <w:t>Gugus Kendali Mutu (GKM) Program Studi, dalam verifikasi kelengkapan dan mutu dokumen kurikulum dan RPS.</w:t>
      </w:r>
    </w:p>
    <w:p>
      <w:pPr>
        <w:pStyle w:val="ListBullet"/>
      </w:pPr>
      <w:r>
        <w:t>Direktorat Pengembangan Kurikulum dan Pembelajaran Digital (DPKPD), sebagai pendamping teknis penyusunan kurikulum OBE.</w:t>
      </w:r>
    </w:p>
    <w:p>
      <w:r>
        <w:t>3. Pernyataan Isi Standar Isi Pembelajaran</w:t>
      </w:r>
    </w:p>
    <w:p>
      <w:pPr>
        <w:pStyle w:val="ListNumber"/>
      </w:pPr>
      <w:r>
        <w:t>Program Studi Teknik Industri wajib memiliki kebijakan, pedoman penyusunan, pelaksanaan, dan evaluasi kurikulum berbasis Outcome-Based Education (OBE) sesuai KKNI Level 6 dan Kriteria C.3 LAM Teknik.</w:t>
      </w:r>
    </w:p>
    <w:p>
      <w:pPr>
        <w:pStyle w:val="ListNumber"/>
      </w:pPr>
      <w:r>
        <w:t>Program Studi Teknik Industri wajib meninjau dan memutakhirkan kurikulum paling lambat setiap 4 (empat) tahun, melibatkan dosen, mahasiswa, alumni, pengguna lulusan, asosiasi profesi (BKSTI/PII), dan DUDIKA manufaktur/logistik.</w:t>
      </w:r>
    </w:p>
    <w:p>
      <w:pPr>
        <w:pStyle w:val="ListNumber"/>
      </w:pPr>
      <w:r>
        <w:t>Ketua Program Studi wajib memastikan ketepatan struktur kurikulum dalam pembentukan CPL, digambarkan dalam peta kurikulum yang menunjukkan keterkaitan mata kuliah rekayasa sistem industri, statistika industri, ergonomi, dan manajemen rantai pasok dengan CPL.</w:t>
      </w:r>
    </w:p>
    <w:p>
      <w:pPr>
        <w:pStyle w:val="ListNumber"/>
      </w:pPr>
      <w:r>
        <w:t>Program Studi Teknik Industri wajib memastikan ketersediaan dan kelengkapan RPS 9 komponen untuk 100% mata kuliah, dapat diakses mahasiswa, ditinjau berkala setiap tahun.</w:t>
      </w:r>
    </w:p>
    <w:p>
      <w:pPr>
        <w:pStyle w:val="ListNumber"/>
      </w:pPr>
      <w:r>
        <w:t>Program Studi Teknik Industri wajib memastikan paling sedikit 25% mata kuliah memanfaatkan hasil penelitian, PkM, proyek industri, dan/atau studi kasus manufaktur/rantai pasok dalam proses pembelajaran, meningkat menuju paling sedikit 30%.</w:t>
      </w:r>
    </w:p>
    <w:p>
      <w:pPr>
        <w:pStyle w:val="ListNumber"/>
      </w:pPr>
      <w:r>
        <w:t>*Program Studi Teknik Industri wajib melaksanakan tinjauan rutin RPS setiap akhir semester melalui 4 langkah: analisis ketercapaian CPL, evaluasi kesesuaian materi-metode, peninjauan metode penilaian, dan penyesuaian kurikulum.</w:t>
      </w:r>
    </w:p>
    <w:p>
      <w:pPr>
        <w:pStyle w:val="ListNumber"/>
      </w:pPr>
      <w:r>
        <w:t>*Program Studi Teknik Industri wajib memetakan kurikulum terhadap body-of-knowledge keteknikindustrian internasional (mis. IISE Body of Knowledge) mencakup domain optimasi, ergonomi, dan manajemen rantai pasok.</w:t>
      </w:r>
    </w:p>
    <w:p>
      <w:pPr>
        <w:pStyle w:val="ListNumber"/>
      </w:pPr>
      <w:r>
        <w:t>*Program Studi Teknik Industri wajib menyelenggarakan mata kuliah Capstone Project/Tugas Akhir Terintegrasi berbobot 3-6 SKS pada semester 6-8, mencakup analisis-perancangan-implementasi-evaluasi sistem industri, dilaksanakan berkelompok/individual sesuai pedoman.</w:t>
      </w:r>
    </w:p>
    <w:p>
      <w:r>
        <w:t>4. Strategi Pencapaian Standar</w:t>
      </w:r>
    </w:p>
    <w:p>
      <w:pPr>
        <w:pStyle w:val="ListNumber"/>
      </w:pPr>
      <w:r>
        <w:t>Ketua Program Studi menyusun dan memutakhirkan peta kurikulum yang menunjukkan keterkaitan mata kuliah dengan CPL, diverifikasi GKM Program Studi setiap tahun.</w:t>
      </w:r>
    </w:p>
    <w:p>
      <w:pPr>
        <w:pStyle w:val="ListNumber"/>
      </w:pPr>
      <w:r>
        <w:t>Ketua Program Studi menegaskan siklus peninjauan kurikulum setiap 4 tahun, melibatkan asosiasi profesi (BKSTI/PII) dan DUDIKA manufaktur/logistik/konsultansi industri.</w:t>
      </w:r>
    </w:p>
    <w:p>
      <w:pPr>
        <w:pStyle w:val="ListNumber"/>
      </w:pPr>
      <w:r>
        <w:t>Program Studi meningkatkan integrasi hasil penelitian, PkM, dan studi kasus industri ke dalam mata kuliah secara bertahap menuju 30%.</w:t>
      </w:r>
    </w:p>
    <w:p>
      <w:pPr>
        <w:pStyle w:val="ListNumber"/>
      </w:pPr>
      <w:r>
        <w:t>GKM Program Studi memverifikasi kelengkapan dan aksesibilitas RPS bagi mahasiswa setiap awal semester.</w:t>
      </w:r>
    </w:p>
    <w:p>
      <w:pPr>
        <w:pStyle w:val="ListNumber"/>
      </w:pPr>
      <w:r>
        <w:t>Ketua Program Studi bersama dosen pengampu melaksanakan tinjauan rutin RPS setiap akhir semester, didokumentasikan dan dilaporkan ke GKM.</w:t>
      </w:r>
    </w:p>
    <w:p>
      <w:pPr>
        <w:pStyle w:val="ListNumber"/>
      </w:pPr>
      <w:r>
        <w:t>Ketua Program Studi memetakan kurikulum terhadap body-of-knowledge keteknikindustrian internasional, disosialisasikan kepada dosen pengampu.</w:t>
      </w:r>
    </w:p>
    <w:p>
      <w:pPr>
        <w:pStyle w:val="ListNumber"/>
      </w:pPr>
      <w:r>
        <w:t>Ketua Program Studi mengembangkan dan menetapkan mata kuliah Capstone Project/Tugas Akhir Terintegrasi beserta pedoman pelaksanaannya.</w:t>
      </w:r>
    </w:p>
    <w:p>
      <w:r>
        <w:t>5. Indikator Capaian Standar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No</w:t>
            </w:r>
          </w:p>
        </w:tc>
        <w:tc>
          <w:tcPr>
            <w:tcW w:type="dxa" w:w="1728"/>
          </w:tcPr>
          <w:p>
            <w:r>
              <w:t>Indikator Kinerja Utama (IKU) / Tambahan (IKT)</w:t>
            </w:r>
          </w:p>
        </w:tc>
        <w:tc>
          <w:tcPr>
            <w:tcW w:type="dxa" w:w="1728"/>
          </w:tcPr>
          <w:p>
            <w:r>
              <w:t>2024/2025</w:t>
            </w:r>
          </w:p>
        </w:tc>
        <w:tc>
          <w:tcPr>
            <w:tcW w:type="dxa" w:w="1728"/>
          </w:tcPr>
          <w:p>
            <w:r>
              <w:t>2025/2026</w:t>
            </w:r>
          </w:p>
        </w:tc>
        <w:tc>
          <w:tcPr>
            <w:tcW w:type="dxa" w:w="1728"/>
          </w:tcPr>
          <w:p>
            <w:r>
              <w:t>2026/2027</w:t>
            </w:r>
          </w:p>
        </w:tc>
      </w:tr>
      <w:tr>
        <w:tc>
          <w:tcPr>
            <w:tcW w:type="dxa" w:w="1728"/>
          </w:tcPr>
          <w:p>
            <w:r>
              <w:t>1</w:t>
            </w:r>
          </w:p>
        </w:tc>
        <w:tc>
          <w:tcPr>
            <w:tcW w:type="dxa" w:w="1728"/>
          </w:tcPr>
          <w:p>
            <w:r>
              <w:t>Ketersediaan kebijakan kurikulum berbasis OBE</w:t>
            </w:r>
          </w:p>
        </w:tc>
        <w:tc>
          <w:tcPr>
            <w:tcW w:type="dxa" w:w="1728"/>
          </w:tcPr>
          <w:p>
            <w:r>
              <w:t>Tersedia</w:t>
            </w:r>
          </w:p>
        </w:tc>
        <w:tc>
          <w:tcPr>
            <w:tcW w:type="dxa" w:w="1728"/>
          </w:tcPr>
          <w:p>
            <w:r>
              <w:t>Tersedia</w:t>
            </w:r>
          </w:p>
        </w:tc>
        <w:tc>
          <w:tcPr>
            <w:tcW w:type="dxa" w:w="1728"/>
          </w:tcPr>
          <w:p>
            <w:r>
              <w:t>Tersedia</w:t>
            </w:r>
          </w:p>
        </w:tc>
      </w:tr>
      <w:tr>
        <w:tc>
          <w:tcPr>
            <w:tcW w:type="dxa" w:w="1728"/>
          </w:tcPr>
          <w:p>
            <w:r>
              <w:t>2</w:t>
            </w:r>
          </w:p>
        </w:tc>
        <w:tc>
          <w:tcPr>
            <w:tcW w:type="dxa" w:w="1728"/>
          </w:tcPr>
          <w:p>
            <w:r>
              <w:t>Siklus peninjauan kurikulum (paling lambat, tahun)</w:t>
            </w:r>
          </w:p>
        </w:tc>
        <w:tc>
          <w:tcPr>
            <w:tcW w:type="dxa" w:w="1728"/>
          </w:tcPr>
          <w:p>
            <w:r>
              <w:t>4</w:t>
            </w:r>
          </w:p>
        </w:tc>
        <w:tc>
          <w:tcPr>
            <w:tcW w:type="dxa" w:w="1728"/>
          </w:tcPr>
          <w:p>
            <w:r>
              <w:t>4</w:t>
            </w:r>
          </w:p>
        </w:tc>
        <w:tc>
          <w:tcPr>
            <w:tcW w:type="dxa" w:w="1728"/>
          </w:tcPr>
          <w:p>
            <w:r>
              <w:t>4</w:t>
            </w:r>
          </w:p>
        </w:tc>
      </w:tr>
      <w:tr>
        <w:tc>
          <w:tcPr>
            <w:tcW w:type="dxa" w:w="1728"/>
          </w:tcPr>
          <w:p>
            <w:r>
              <w:t>3</w:t>
            </w:r>
          </w:p>
        </w:tc>
        <w:tc>
          <w:tcPr>
            <w:tcW w:type="dxa" w:w="1728"/>
          </w:tcPr>
          <w:p>
            <w:r>
              <w:t>Kelengkapan RPS 9 komponen wajib, aksesibel mahasiswa</w:t>
            </w:r>
          </w:p>
        </w:tc>
        <w:tc>
          <w:tcPr>
            <w:tcW w:type="dxa" w:w="1728"/>
          </w:tcPr>
          <w:p>
            <w:r>
              <w:t>90%</w:t>
            </w:r>
          </w:p>
        </w:tc>
        <w:tc>
          <w:tcPr>
            <w:tcW w:type="dxa" w:w="1728"/>
          </w:tcPr>
          <w:p>
            <w:r>
              <w:t>95%</w:t>
            </w:r>
          </w:p>
        </w:tc>
        <w:tc>
          <w:tcPr>
            <w:tcW w:type="dxa" w:w="1728"/>
          </w:tcPr>
          <w:p>
            <w:r>
              <w:t>100%</w:t>
            </w:r>
          </w:p>
        </w:tc>
      </w:tr>
      <w:tr>
        <w:tc>
          <w:tcPr>
            <w:tcW w:type="dxa" w:w="1728"/>
          </w:tcPr>
          <w:p>
            <w:r>
              <w:t>4</w:t>
            </w:r>
          </w:p>
        </w:tc>
        <w:tc>
          <w:tcPr>
            <w:tcW w:type="dxa" w:w="1728"/>
          </w:tcPr>
          <w:p>
            <w:r>
              <w:t>Mata kuliah memanfaatkan hasil penelitian/PkM/studi kasus industri</w:t>
            </w:r>
          </w:p>
        </w:tc>
        <w:tc>
          <w:tcPr>
            <w:tcW w:type="dxa" w:w="1728"/>
          </w:tcPr>
          <w:p>
            <w:r>
              <w:t>25%</w:t>
            </w:r>
          </w:p>
        </w:tc>
        <w:tc>
          <w:tcPr>
            <w:tcW w:type="dxa" w:w="1728"/>
          </w:tcPr>
          <w:p>
            <w:r>
              <w:t>28%</w:t>
            </w:r>
          </w:p>
        </w:tc>
        <w:tc>
          <w:tcPr>
            <w:tcW w:type="dxa" w:w="1728"/>
          </w:tcPr>
          <w:p>
            <w:r>
              <w:t>30%</w:t>
            </w:r>
          </w:p>
        </w:tc>
      </w:tr>
      <w:tr>
        <w:tc>
          <w:tcPr>
            <w:tcW w:type="dxa" w:w="1728"/>
          </w:tcPr>
          <w:p>
            <w:r>
              <w:t>*5</w:t>
            </w:r>
          </w:p>
        </w:tc>
        <w:tc>
          <w:tcPr>
            <w:tcW w:type="dxa" w:w="1728"/>
          </w:tcPr>
          <w:p>
            <w:r>
              <w:t>Pelaksanaan tinjauan rutin RPS 4 langkah (frekuensi/tahun)</w:t>
            </w:r>
          </w:p>
        </w:tc>
        <w:tc>
          <w:tcPr>
            <w:tcW w:type="dxa" w:w="1728"/>
          </w:tcPr>
          <w:p>
            <w:r>
              <w:t>2 kali</w:t>
            </w:r>
          </w:p>
        </w:tc>
        <w:tc>
          <w:tcPr>
            <w:tcW w:type="dxa" w:w="1728"/>
          </w:tcPr>
          <w:p>
            <w:r>
              <w:t>2 kali</w:t>
            </w:r>
          </w:p>
        </w:tc>
        <w:tc>
          <w:tcPr>
            <w:tcW w:type="dxa" w:w="1728"/>
          </w:tcPr>
          <w:p>
            <w:r>
              <w:t>2 kali</w:t>
            </w:r>
          </w:p>
        </w:tc>
      </w:tr>
      <w:tr>
        <w:tc>
          <w:tcPr>
            <w:tcW w:type="dxa" w:w="1728"/>
          </w:tcPr>
          <w:p>
            <w:r>
              <w:t>*6</w:t>
            </w:r>
          </w:p>
        </w:tc>
        <w:tc>
          <w:tcPr>
            <w:tcW w:type="dxa" w:w="1728"/>
          </w:tcPr>
          <w:p>
            <w:r>
              <w:t>Dokumen pemetaan kurikulum terhadap body-of-knowledge keteknikindustrian</w:t>
            </w:r>
          </w:p>
        </w:tc>
        <w:tc>
          <w:tcPr>
            <w:tcW w:type="dxa" w:w="1728"/>
          </w:tcPr>
          <w:p>
            <w:r>
              <w:t>50%</w:t>
            </w:r>
          </w:p>
        </w:tc>
        <w:tc>
          <w:tcPr>
            <w:tcW w:type="dxa" w:w="1728"/>
          </w:tcPr>
          <w:p>
            <w:r>
              <w:t>75%</w:t>
            </w:r>
          </w:p>
        </w:tc>
        <w:tc>
          <w:tcPr>
            <w:tcW w:type="dxa" w:w="1728"/>
          </w:tcPr>
          <w:p>
            <w:r>
              <w:t>100%</w:t>
            </w:r>
          </w:p>
        </w:tc>
      </w:tr>
      <w:tr>
        <w:tc>
          <w:tcPr>
            <w:tcW w:type="dxa" w:w="1728"/>
          </w:tcPr>
          <w:p>
            <w:r>
              <w:t>*7</w:t>
            </w:r>
          </w:p>
        </w:tc>
        <w:tc>
          <w:tcPr>
            <w:tcW w:type="dxa" w:w="1728"/>
          </w:tcPr>
          <w:p>
            <w:r>
              <w:t>Ketersediaan Capstone Project/Tugas Akhir Terintegrasi (3-6 SKS)</w:t>
            </w:r>
          </w:p>
        </w:tc>
        <w:tc>
          <w:tcPr>
            <w:tcW w:type="dxa" w:w="1728"/>
          </w:tcPr>
          <w:p>
            <w:r>
              <w:t>Tersedia</w:t>
            </w:r>
          </w:p>
        </w:tc>
        <w:tc>
          <w:tcPr>
            <w:tcW w:type="dxa" w:w="1728"/>
          </w:tcPr>
          <w:p>
            <w:r>
              <w:t>Tersedia</w:t>
            </w:r>
          </w:p>
        </w:tc>
        <w:tc>
          <w:tcPr>
            <w:tcW w:type="dxa" w:w="1728"/>
          </w:tcPr>
          <w:p>
            <w:r>
              <w:t>Tersedia</w:t>
            </w:r>
          </w:p>
        </w:tc>
      </w:tr>
      <w:tr>
        <w:tc>
          <w:tcPr>
            <w:tcW w:type="dxa" w:w="1728"/>
          </w:tcPr>
          <w:p>
            <w:r>
              <w:t>*8</w:t>
            </w:r>
          </w:p>
        </w:tc>
        <w:tc>
          <w:tcPr>
            <w:tcW w:type="dxa" w:w="1728"/>
          </w:tcPr>
          <w:p>
            <w:r>
              <w:t>Pelaksanaan root-cause analysis &amp; SWOT tahunan</w:t>
            </w:r>
          </w:p>
        </w:tc>
        <w:tc>
          <w:tcPr>
            <w:tcW w:type="dxa" w:w="1728"/>
          </w:tcPr>
          <w:p>
            <w:r>
              <w:t>Terlaksana</w:t>
            </w:r>
          </w:p>
        </w:tc>
        <w:tc>
          <w:tcPr>
            <w:tcW w:type="dxa" w:w="1728"/>
          </w:tcPr>
          <w:p>
            <w:r>
              <w:t>Terlaksana</w:t>
            </w:r>
          </w:p>
        </w:tc>
        <w:tc>
          <w:tcPr>
            <w:tcW w:type="dxa" w:w="1728"/>
          </w:tcPr>
          <w:p>
            <w:r>
              <w:t>Terlaksana</w:t>
            </w:r>
          </w:p>
        </w:tc>
      </w:tr>
    </w:tbl>
    <w:p>
      <w:pPr/>
      <w:r>
        <w:rPr>
          <w:b/>
        </w:rPr>
        <w:t>STANDAR DOSEN DAN TENAGA KEPENDIDIKAN</w:t>
      </w:r>
    </w:p>
    <w:p>
      <w:r>
        <w:t>1. Daftar Istilah</w:t>
      </w:r>
    </w:p>
    <w:p>
      <w:pPr>
        <w:pStyle w:val="ListBullet"/>
      </w:pPr>
      <w:r>
        <w:t>Dosen Tetap Program Studi (DTPS) adalah dosen tetap yang mengajar pada Program Studi Teknik Industri sesuai kompetensinya serta melakukan penelitian dan PkM sesuai visi keilmuan program studi.</w:t>
      </w:r>
    </w:p>
    <w:p>
      <w:pPr>
        <w:pStyle w:val="ListBullet"/>
      </w:pPr>
      <w:r>
        <w:t>Kualifikasi Akademik adalah ijazah jenjang pendidikan akademik yang harus dimiliki dosen sesuai bidang penugasan (Teknik Industri/Manajemen Rekayasa).</w:t>
      </w:r>
    </w:p>
    <w:p>
      <w:pPr>
        <w:pStyle w:val="ListBullet"/>
      </w:pPr>
      <w:r>
        <w:t>Beban Kerja Dosen (BKD) adalah tugas tridharma wajib dosen 12-16 sks per semester (pendidikan-penelitian ≥9 sks, pengabdian-penunjang ≥3 sks).</w:t>
      </w:r>
    </w:p>
    <w:p>
      <w:pPr>
        <w:pStyle w:val="ListBullet"/>
      </w:pPr>
      <w:r>
        <w:t>Jabatan Akademik Dosen adalah kedudukan (Asisten Ahli, Lektor, Lektor Kepala, Guru Besar) dosen di perguruan tinggi.</w:t>
      </w:r>
    </w:p>
    <w:p>
      <w:pPr>
        <w:pStyle w:val="ListBullet"/>
      </w:pPr>
      <w:r>
        <w:t>Tenaga Kependidikan adalah pustakawan, tenaga administrasi, laboran, teknisi bengkel/laboratorium teknik industri.</w:t>
      </w:r>
    </w:p>
    <w:p>
      <w:r>
        <w:t>2. Pihak Yang Bertanggung Jawab Untuk Memenuhi Standar</w:t>
      </w:r>
    </w:p>
    <w:p>
      <w:pPr>
        <w:pStyle w:val="ListBullet"/>
      </w:pPr>
      <w:r>
        <w:t>Dekan FTII, dalam pemantauan beban kerja dan kinerja tridharma dosen tingkat fakultas.</w:t>
      </w:r>
    </w:p>
    <w:p>
      <w:pPr>
        <w:pStyle w:val="ListBullet"/>
      </w:pPr>
      <w:r>
        <w:t>Ketua Program Studi Teknik Industri, dalam verifikasi rasio dosen:mahasiswa dan kinerja DTPS.</w:t>
      </w:r>
    </w:p>
    <w:p>
      <w:pPr>
        <w:pStyle w:val="ListBullet"/>
      </w:pPr>
      <w:r>
        <w:t>Direktorat Sumber Daya Manusia, dalam pengembangan karier, sertifikasi, dan studi lanjut dosen.</w:t>
      </w:r>
    </w:p>
    <w:p>
      <w:pPr>
        <w:pStyle w:val="ListBullet"/>
      </w:pPr>
      <w:r>
        <w:t>Gugus Kendali Mutu (GKM) Program Studi, dalam validasi data kualifikasi dan kinerja dosen setiap semester.</w:t>
      </w:r>
    </w:p>
    <w:p>
      <w:r>
        <w:t>3. Pernyataan Isi Standar Dosen Dan Tenaga Kependidikan</w:t>
      </w:r>
    </w:p>
    <w:p>
      <w:pPr>
        <w:pStyle w:val="ListNumber"/>
      </w:pPr>
      <w:r>
        <w:t>Program Studi Teknik Industri wajib menjaga rasio dosen tetap terhadap mahasiswa pada rentang ideal 1:20 sampai dengan 1:25, sesuai ambang skor sempurna LAM Teknik.</w:t>
      </w:r>
    </w:p>
    <w:p>
      <w:pPr>
        <w:pStyle w:val="ListNumber"/>
      </w:pPr>
      <w:r>
        <w:t>Program Studi Teknik Industri wajib memastikan jumlah dosen tetap program studi (DTPS) paling sedikit 6 (enam) orang, sesuai ketentuan minimal SN-Dikti untuk program studi, dengan kualifikasi dan kompetensi bidang Teknik Industri/Manajemen Rekayasa/Sistem Industri.</w:t>
      </w:r>
    </w:p>
    <w:p>
      <w:pPr>
        <w:pStyle w:val="ListNumber"/>
      </w:pPr>
      <w:r>
        <w:t>Program Studi Teknik Industri wajib meningkatkan persentase dosen tetap bergelar Doktor menuju paling sedikit 40% dalam jangka menengah dan 50% dalam jangka panjang, sesuai ambang skor sempurna LAM Teknik.</w:t>
      </w:r>
    </w:p>
    <w:p>
      <w:pPr>
        <w:pStyle w:val="ListNumber"/>
      </w:pPr>
      <w:r>
        <w:t>Program Studi Teknik Industri wajib meningkatkan persentase dosen tetap berjabatan fungsional Guru Besar dan Lektor Kepala (GB+LK) menuju paling sedikit 40%.</w:t>
      </w:r>
    </w:p>
    <w:p>
      <w:pPr>
        <w:pStyle w:val="ListNumber"/>
      </w:pPr>
      <w:r>
        <w:t>Program Studi Teknik Industri wajib menjaga persentase dosen tetap bersertifikat pendidik paling sedikit 90%.</w:t>
      </w:r>
    </w:p>
    <w:p>
      <w:pPr>
        <w:pStyle w:val="ListNumber"/>
      </w:pPr>
      <w:r>
        <w:t>*Program Studi Teknik Industri wajib meningkatkan persentase dosen tetap bersertifikat kompetensi/profesi industri (mis. Ahli K3, Six Sigma, Lean Manufacturing, PMP) paling sedikit 20% pada tahun pertama menuju 40% pada akhir siklus Renstra.</w:t>
      </w:r>
    </w:p>
    <w:p>
      <w:pPr>
        <w:pStyle w:val="ListNumber"/>
      </w:pPr>
      <w:r>
        <w:t>*Program Studi Teknik Industri wajib melibatkan dosen industri/praktisi manufaktur/logistik untuk mengampu paling sedikit 10% mata kuliah kompetensi, meningkat menuju 20%.</w:t>
      </w:r>
    </w:p>
    <w:p>
      <w:pPr>
        <w:pStyle w:val="ListNumber"/>
      </w:pPr>
      <w:r>
        <w:t>Program Studi Teknik Industri wajib menjamin dana penelitian per dosen paling sedikit Rp10.000.000/tahun dan dana PkM per dosen paling sedikit Rp5.000.000/tahun.</w:t>
      </w:r>
    </w:p>
    <w:p>
      <w:pPr>
        <w:pStyle w:val="ListNumber"/>
      </w:pPr>
      <w:r>
        <w:t>Program Studi Teknik Industri wajib menjamin paling sedikit 90% dosen tetap aktif melaksanakan penelitian, PkM, dan publikasi ilmiah setiap tahun.</w:t>
      </w:r>
    </w:p>
    <w:p>
      <w:pPr>
        <w:pStyle w:val="ListNumber"/>
      </w:pPr>
      <w:r>
        <w:t>*Program Studi Teknik Industri wajib memantau pemenuhan Beban Kerja Dosen (BKD) 12-16 sks setiap semester melalui Laporan Kinerja Dosen (LKD).</w:t>
      </w:r>
    </w:p>
    <w:p>
      <w:pPr>
        <w:pStyle w:val="ListNumber"/>
      </w:pPr>
      <w:r>
        <w:t>Program Studi Teknik Industri wajib menjamin kualifikasi tenaga kependidikan/laboran minimal D3/sederajat dengan sertifikat kompetensi bidang teknik/laboratorium industri.</w:t>
      </w:r>
    </w:p>
    <w:p>
      <w:r>
        <w:t>4. Strategi Pencapaian Standar</w:t>
      </w:r>
    </w:p>
    <w:p>
      <w:pPr>
        <w:pStyle w:val="ListNumber"/>
      </w:pPr>
      <w:r>
        <w:t>Ketua Program Studi menyusun rencana kebutuhan dosen berbasis rasio ideal 1:20-1:25, memprioritaskan rekrutmen dosen bidang manufaktur/logistik/ergonomi.</w:t>
      </w:r>
    </w:p>
    <w:p>
      <w:pPr>
        <w:pStyle w:val="ListNumber"/>
      </w:pPr>
      <w:r>
        <w:t>Fakultas menyusun roadmap percepatan studi lanjut S3 dosen menuju target 40-50% bergelar Doktor.</w:t>
      </w:r>
    </w:p>
    <w:p>
      <w:pPr>
        <w:pStyle w:val="ListNumber"/>
      </w:pPr>
      <w:r>
        <w:t>Fakultas memberikan insentif dan pendampingan percepatan jabatan fungsional menuju Lektor Kepala dan Guru Besar.</w:t>
      </w:r>
    </w:p>
    <w:p>
      <w:pPr>
        <w:pStyle w:val="ListNumber"/>
      </w:pPr>
      <w:r>
        <w:t>Ketua Program Studi menjalin kerja sama dengan DUDIKA manufaktur/logistik untuk penugasan dosen praktisi mengampu mata kuliah kompetensi.</w:t>
      </w:r>
    </w:p>
    <w:p>
      <w:pPr>
        <w:pStyle w:val="ListNumber"/>
      </w:pPr>
      <w:r>
        <w:t>Direktorat SDM memfasilitasi dosen memperoleh sertifikasi kompetensi/profesi industri (Six Sigma, Lean, Ahli K3) melalui kerja sama lembaga sertifikasi.</w:t>
      </w:r>
    </w:p>
    <w:p>
      <w:pPr>
        <w:pStyle w:val="ListNumber"/>
      </w:pPr>
      <w:r>
        <w:t>Program Studi menyediakan skema hibah penelitian/PkM internal yang menjamin dana minimal Rp10 juta/Rp5 juta per dosen per tahun.</w:t>
      </w:r>
    </w:p>
    <w:p>
      <w:pPr>
        <w:pStyle w:val="ListNumber"/>
      </w:pPr>
      <w:r>
        <w:t>Ketua Program Studi bersama dosen memantau dan melaporkan BKD setiap semester melalui sistem informasi akademik, diverifikasi GKM.</w:t>
      </w:r>
    </w:p>
    <w:p>
      <w:r>
        <w:t>5. Indikator Capaian Standar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No</w:t>
            </w:r>
          </w:p>
        </w:tc>
        <w:tc>
          <w:tcPr>
            <w:tcW w:type="dxa" w:w="1728"/>
          </w:tcPr>
          <w:p>
            <w:r>
              <w:t>Indikator Kinerja Utama (IKU) / Tambahan (IKT)</w:t>
            </w:r>
          </w:p>
        </w:tc>
        <w:tc>
          <w:tcPr>
            <w:tcW w:type="dxa" w:w="1728"/>
          </w:tcPr>
          <w:p>
            <w:r>
              <w:t>2024/2025</w:t>
            </w:r>
          </w:p>
        </w:tc>
        <w:tc>
          <w:tcPr>
            <w:tcW w:type="dxa" w:w="1728"/>
          </w:tcPr>
          <w:p>
            <w:r>
              <w:t>2025/2026</w:t>
            </w:r>
          </w:p>
        </w:tc>
        <w:tc>
          <w:tcPr>
            <w:tcW w:type="dxa" w:w="1728"/>
          </w:tcPr>
          <w:p>
            <w:r>
              <w:t>2026/2027</w:t>
            </w:r>
          </w:p>
        </w:tc>
      </w:tr>
      <w:tr>
        <w:tc>
          <w:tcPr>
            <w:tcW w:type="dxa" w:w="1728"/>
          </w:tcPr>
          <w:p>
            <w:r>
              <w:t>1</w:t>
            </w:r>
          </w:p>
        </w:tc>
        <w:tc>
          <w:tcPr>
            <w:tcW w:type="dxa" w:w="1728"/>
          </w:tcPr>
          <w:p>
            <w:r>
              <w:t>Rasio dosen tetap : mahasiswa</w:t>
            </w:r>
          </w:p>
        </w:tc>
        <w:tc>
          <w:tcPr>
            <w:tcW w:type="dxa" w:w="1728"/>
          </w:tcPr>
          <w:p>
            <w:r>
              <w:t>1:20</w:t>
            </w:r>
          </w:p>
        </w:tc>
        <w:tc>
          <w:tcPr>
            <w:tcW w:type="dxa" w:w="1728"/>
          </w:tcPr>
          <w:p>
            <w:r>
              <w:t>1:22</w:t>
            </w:r>
          </w:p>
        </w:tc>
        <w:tc>
          <w:tcPr>
            <w:tcW w:type="dxa" w:w="1728"/>
          </w:tcPr>
          <w:p>
            <w:r>
              <w:t>1:23</w:t>
            </w:r>
          </w:p>
        </w:tc>
      </w:tr>
      <w:tr>
        <w:tc>
          <w:tcPr>
            <w:tcW w:type="dxa" w:w="1728"/>
          </w:tcPr>
          <w:p>
            <w:r>
              <w:t>2</w:t>
            </w:r>
          </w:p>
        </w:tc>
        <w:tc>
          <w:tcPr>
            <w:tcW w:type="dxa" w:w="1728"/>
          </w:tcPr>
          <w:p>
            <w:r>
              <w:t>Jumlah dosen tetap program studi (DTPS)</w:t>
            </w:r>
          </w:p>
        </w:tc>
        <w:tc>
          <w:tcPr>
            <w:tcW w:type="dxa" w:w="1728"/>
          </w:tcPr>
          <w:p>
            <w:r>
              <w:t>≥6</w:t>
            </w:r>
          </w:p>
        </w:tc>
        <w:tc>
          <w:tcPr>
            <w:tcW w:type="dxa" w:w="1728"/>
          </w:tcPr>
          <w:p>
            <w:r>
              <w:t>≥6</w:t>
            </w:r>
          </w:p>
        </w:tc>
        <w:tc>
          <w:tcPr>
            <w:tcW w:type="dxa" w:w="1728"/>
          </w:tcPr>
          <w:p>
            <w:r>
              <w:t>≥7</w:t>
            </w:r>
          </w:p>
        </w:tc>
      </w:tr>
      <w:tr>
        <w:tc>
          <w:tcPr>
            <w:tcW w:type="dxa" w:w="1728"/>
          </w:tcPr>
          <w:p>
            <w:r>
              <w:t>3</w:t>
            </w:r>
          </w:p>
        </w:tc>
        <w:tc>
          <w:tcPr>
            <w:tcW w:type="dxa" w:w="1728"/>
          </w:tcPr>
          <w:p>
            <w:r>
              <w:t>Persentase dosen tetap bergelar Doktor</w:t>
            </w:r>
          </w:p>
        </w:tc>
        <w:tc>
          <w:tcPr>
            <w:tcW w:type="dxa" w:w="1728"/>
          </w:tcPr>
          <w:p>
            <w:r>
              <w:t>40%</w:t>
            </w:r>
          </w:p>
        </w:tc>
        <w:tc>
          <w:tcPr>
            <w:tcW w:type="dxa" w:w="1728"/>
          </w:tcPr>
          <w:p>
            <w:r>
              <w:t>45%</w:t>
            </w:r>
          </w:p>
        </w:tc>
        <w:tc>
          <w:tcPr>
            <w:tcW w:type="dxa" w:w="1728"/>
          </w:tcPr>
          <w:p>
            <w:r>
              <w:t>50%</w:t>
            </w:r>
          </w:p>
        </w:tc>
      </w:tr>
      <w:tr>
        <w:tc>
          <w:tcPr>
            <w:tcW w:type="dxa" w:w="1728"/>
          </w:tcPr>
          <w:p>
            <w:r>
              <w:t>4</w:t>
            </w:r>
          </w:p>
        </w:tc>
        <w:tc>
          <w:tcPr>
            <w:tcW w:type="dxa" w:w="1728"/>
          </w:tcPr>
          <w:p>
            <w:r>
              <w:t>Persentase dosen jabatan fungsional GB+LK</w:t>
            </w:r>
          </w:p>
        </w:tc>
        <w:tc>
          <w:tcPr>
            <w:tcW w:type="dxa" w:w="1728"/>
          </w:tcPr>
          <w:p>
            <w:r>
              <w:t>30%</w:t>
            </w:r>
          </w:p>
        </w:tc>
        <w:tc>
          <w:tcPr>
            <w:tcW w:type="dxa" w:w="1728"/>
          </w:tcPr>
          <w:p>
            <w:r>
              <w:t>35%</w:t>
            </w:r>
          </w:p>
        </w:tc>
        <w:tc>
          <w:tcPr>
            <w:tcW w:type="dxa" w:w="1728"/>
          </w:tcPr>
          <w:p>
            <w:r>
              <w:t>40%</w:t>
            </w:r>
          </w:p>
        </w:tc>
      </w:tr>
      <w:tr>
        <w:tc>
          <w:tcPr>
            <w:tcW w:type="dxa" w:w="1728"/>
          </w:tcPr>
          <w:p>
            <w:r>
              <w:t>5</w:t>
            </w:r>
          </w:p>
        </w:tc>
        <w:tc>
          <w:tcPr>
            <w:tcW w:type="dxa" w:w="1728"/>
          </w:tcPr>
          <w:p>
            <w:r>
              <w:t>Persentase dosen bersertifikat pendidik</w:t>
            </w:r>
          </w:p>
        </w:tc>
        <w:tc>
          <w:tcPr>
            <w:tcW w:type="dxa" w:w="1728"/>
          </w:tcPr>
          <w:p>
            <w:r>
              <w:t>90%</w:t>
            </w:r>
          </w:p>
        </w:tc>
        <w:tc>
          <w:tcPr>
            <w:tcW w:type="dxa" w:w="1728"/>
          </w:tcPr>
          <w:p>
            <w:r>
              <w:t>92%</w:t>
            </w:r>
          </w:p>
        </w:tc>
        <w:tc>
          <w:tcPr>
            <w:tcW w:type="dxa" w:w="1728"/>
          </w:tcPr>
          <w:p>
            <w:r>
              <w:t>95%</w:t>
            </w:r>
          </w:p>
        </w:tc>
      </w:tr>
      <w:tr>
        <w:tc>
          <w:tcPr>
            <w:tcW w:type="dxa" w:w="1728"/>
          </w:tcPr>
          <w:p>
            <w:r>
              <w:t>*6</w:t>
            </w:r>
          </w:p>
        </w:tc>
        <w:tc>
          <w:tcPr>
            <w:tcW w:type="dxa" w:w="1728"/>
          </w:tcPr>
          <w:p>
            <w:r>
              <w:t>Persentase dosen bersertifikat kompetensi/profesi industri</w:t>
            </w:r>
          </w:p>
        </w:tc>
        <w:tc>
          <w:tcPr>
            <w:tcW w:type="dxa" w:w="1728"/>
          </w:tcPr>
          <w:p>
            <w:r>
              <w:t>20%</w:t>
            </w:r>
          </w:p>
        </w:tc>
        <w:tc>
          <w:tcPr>
            <w:tcW w:type="dxa" w:w="1728"/>
          </w:tcPr>
          <w:p>
            <w:r>
              <w:t>30%</w:t>
            </w:r>
          </w:p>
        </w:tc>
        <w:tc>
          <w:tcPr>
            <w:tcW w:type="dxa" w:w="1728"/>
          </w:tcPr>
          <w:p>
            <w:r>
              <w:t>40%</w:t>
            </w:r>
          </w:p>
        </w:tc>
      </w:tr>
      <w:tr>
        <w:tc>
          <w:tcPr>
            <w:tcW w:type="dxa" w:w="1728"/>
          </w:tcPr>
          <w:p>
            <w:r>
              <w:t>*7</w:t>
            </w:r>
          </w:p>
        </w:tc>
        <w:tc>
          <w:tcPr>
            <w:tcW w:type="dxa" w:w="1728"/>
          </w:tcPr>
          <w:p>
            <w:r>
              <w:t>Persentase mata kuliah kompetensi diampu dosen industri/praktisi</w:t>
            </w:r>
          </w:p>
        </w:tc>
        <w:tc>
          <w:tcPr>
            <w:tcW w:type="dxa" w:w="1728"/>
          </w:tcPr>
          <w:p>
            <w:r>
              <w:t>10%</w:t>
            </w:r>
          </w:p>
        </w:tc>
        <w:tc>
          <w:tcPr>
            <w:tcW w:type="dxa" w:w="1728"/>
          </w:tcPr>
          <w:p>
            <w:r>
              <w:t>15%</w:t>
            </w:r>
          </w:p>
        </w:tc>
        <w:tc>
          <w:tcPr>
            <w:tcW w:type="dxa" w:w="1728"/>
          </w:tcPr>
          <w:p>
            <w:r>
              <w:t>20%</w:t>
            </w:r>
          </w:p>
        </w:tc>
      </w:tr>
      <w:tr>
        <w:tc>
          <w:tcPr>
            <w:tcW w:type="dxa" w:w="1728"/>
          </w:tcPr>
          <w:p>
            <w:r>
              <w:t>8</w:t>
            </w:r>
          </w:p>
        </w:tc>
        <w:tc>
          <w:tcPr>
            <w:tcW w:type="dxa" w:w="1728"/>
          </w:tcPr>
          <w:p>
            <w:r>
              <w:t>Dana penelitian per dosen per tahun</w:t>
            </w:r>
          </w:p>
        </w:tc>
        <w:tc>
          <w:tcPr>
            <w:tcW w:type="dxa" w:w="1728"/>
          </w:tcPr>
          <w:p>
            <w:r>
              <w:t>Rp10 juta</w:t>
            </w:r>
          </w:p>
        </w:tc>
        <w:tc>
          <w:tcPr>
            <w:tcW w:type="dxa" w:w="1728"/>
          </w:tcPr>
          <w:p>
            <w:r>
              <w:t>Rp12 juta</w:t>
            </w:r>
          </w:p>
        </w:tc>
        <w:tc>
          <w:tcPr>
            <w:tcW w:type="dxa" w:w="1728"/>
          </w:tcPr>
          <w:p>
            <w:r>
              <w:t>Rp15 juta</w:t>
            </w:r>
          </w:p>
        </w:tc>
      </w:tr>
      <w:tr>
        <w:tc>
          <w:tcPr>
            <w:tcW w:type="dxa" w:w="1728"/>
          </w:tcPr>
          <w:p>
            <w:r>
              <w:t>9</w:t>
            </w:r>
          </w:p>
        </w:tc>
        <w:tc>
          <w:tcPr>
            <w:tcW w:type="dxa" w:w="1728"/>
          </w:tcPr>
          <w:p>
            <w:r>
              <w:t>Dana PkM per dosen per tahun</w:t>
            </w:r>
          </w:p>
        </w:tc>
        <w:tc>
          <w:tcPr>
            <w:tcW w:type="dxa" w:w="1728"/>
          </w:tcPr>
          <w:p>
            <w:r>
              <w:t>Rp5 juta</w:t>
            </w:r>
          </w:p>
        </w:tc>
        <w:tc>
          <w:tcPr>
            <w:tcW w:type="dxa" w:w="1728"/>
          </w:tcPr>
          <w:p>
            <w:r>
              <w:t>Rp6 juta</w:t>
            </w:r>
          </w:p>
        </w:tc>
        <w:tc>
          <w:tcPr>
            <w:tcW w:type="dxa" w:w="1728"/>
          </w:tcPr>
          <w:p>
            <w:r>
              <w:t>Rp8 juta</w:t>
            </w:r>
          </w:p>
        </w:tc>
      </w:tr>
      <w:tr>
        <w:tc>
          <w:tcPr>
            <w:tcW w:type="dxa" w:w="1728"/>
          </w:tcPr>
          <w:p>
            <w:r>
              <w:t>10</w:t>
            </w:r>
          </w:p>
        </w:tc>
        <w:tc>
          <w:tcPr>
            <w:tcW w:type="dxa" w:w="1728"/>
          </w:tcPr>
          <w:p>
            <w:r>
              <w:t>Persentase dosen aktif penelitian, PkM, dan publikasi ilmiah</w:t>
            </w:r>
          </w:p>
        </w:tc>
        <w:tc>
          <w:tcPr>
            <w:tcW w:type="dxa" w:w="1728"/>
          </w:tcPr>
          <w:p>
            <w:r>
              <w:t>90%</w:t>
            </w:r>
          </w:p>
        </w:tc>
        <w:tc>
          <w:tcPr>
            <w:tcW w:type="dxa" w:w="1728"/>
          </w:tcPr>
          <w:p>
            <w:r>
              <w:t>92%</w:t>
            </w:r>
          </w:p>
        </w:tc>
        <w:tc>
          <w:tcPr>
            <w:tcW w:type="dxa" w:w="1728"/>
          </w:tcPr>
          <w:p>
            <w:r>
              <w:t>95%</w:t>
            </w:r>
          </w:p>
        </w:tc>
      </w:tr>
      <w:tr>
        <w:tc>
          <w:tcPr>
            <w:tcW w:type="dxa" w:w="1728"/>
          </w:tcPr>
          <w:p>
            <w:r>
              <w:t>*11</w:t>
            </w:r>
          </w:p>
        </w:tc>
        <w:tc>
          <w:tcPr>
            <w:tcW w:type="dxa" w:w="1728"/>
          </w:tcPr>
          <w:p>
            <w:r>
              <w:t>Persentase dosen memenuhi BKD 12-16 sks per semester</w:t>
            </w:r>
          </w:p>
        </w:tc>
        <w:tc>
          <w:tcPr>
            <w:tcW w:type="dxa" w:w="1728"/>
          </w:tcPr>
          <w:p>
            <w:r>
              <w:t>90%</w:t>
            </w:r>
          </w:p>
        </w:tc>
        <w:tc>
          <w:tcPr>
            <w:tcW w:type="dxa" w:w="1728"/>
          </w:tcPr>
          <w:p>
            <w:r>
              <w:t>95%</w:t>
            </w:r>
          </w:p>
        </w:tc>
        <w:tc>
          <w:tcPr>
            <w:tcW w:type="dxa" w:w="1728"/>
          </w:tcPr>
          <w:p>
            <w:r>
              <w:t>100%</w:t>
            </w:r>
          </w:p>
        </w:tc>
      </w:tr>
      <w:tr>
        <w:tc>
          <w:tcPr>
            <w:tcW w:type="dxa" w:w="1728"/>
          </w:tcPr>
          <w:p>
            <w:r>
              <w:t>12</w:t>
            </w:r>
          </w:p>
        </w:tc>
        <w:tc>
          <w:tcPr>
            <w:tcW w:type="dxa" w:w="1728"/>
          </w:tcPr>
          <w:p>
            <w:r>
              <w:t>Kualifikasi tenaga kependidikan/laboran minimal D3 bersertifikat</w:t>
            </w:r>
          </w:p>
        </w:tc>
        <w:tc>
          <w:tcPr>
            <w:tcW w:type="dxa" w:w="1728"/>
          </w:tcPr>
          <w:p>
            <w:r>
              <w:t>70%</w:t>
            </w:r>
          </w:p>
        </w:tc>
        <w:tc>
          <w:tcPr>
            <w:tcW w:type="dxa" w:w="1728"/>
          </w:tcPr>
          <w:p>
            <w:r>
              <w:t>85%</w:t>
            </w:r>
          </w:p>
        </w:tc>
        <w:tc>
          <w:tcPr>
            <w:tcW w:type="dxa" w:w="1728"/>
          </w:tcPr>
          <w:p>
            <w:r>
              <w:t>100%</w:t>
            </w:r>
          </w:p>
        </w:tc>
      </w:tr>
      <w:tr>
        <w:tc>
          <w:tcPr>
            <w:tcW w:type="dxa" w:w="1728"/>
          </w:tcPr>
          <w:p>
            <w:r>
              <w:t>*13</w:t>
            </w:r>
          </w:p>
        </w:tc>
        <w:tc>
          <w:tcPr>
            <w:tcW w:type="dxa" w:w="1728"/>
          </w:tcPr>
          <w:p>
            <w:r>
              <w:t>Pelaksanaan root-cause analysis &amp; SWOT tahunan</w:t>
            </w:r>
          </w:p>
        </w:tc>
        <w:tc>
          <w:tcPr>
            <w:tcW w:type="dxa" w:w="1728"/>
          </w:tcPr>
          <w:p>
            <w:r>
              <w:t>Terlaksana</w:t>
            </w:r>
          </w:p>
        </w:tc>
        <w:tc>
          <w:tcPr>
            <w:tcW w:type="dxa" w:w="1728"/>
          </w:tcPr>
          <w:p>
            <w:r>
              <w:t>Terlaksana</w:t>
            </w:r>
          </w:p>
        </w:tc>
        <w:tc>
          <w:tcPr>
            <w:tcW w:type="dxa" w:w="1728"/>
          </w:tcPr>
          <w:p>
            <w:r>
              <w:t>Terlaksana</w:t>
            </w:r>
          </w:p>
        </w:tc>
      </w:tr>
    </w:tbl>
    <w:p>
      <w:pPr/>
      <w:r>
        <w:rPr>
          <w:b/>
        </w:rPr>
        <w:t>STANDAR SARANA DAN PRASARANA PEMBELAJARAN</w:t>
      </w:r>
    </w:p>
    <w:p>
      <w:r>
        <w:t>1. Daftar Istilah</w:t>
      </w:r>
    </w:p>
    <w:p>
      <w:pPr>
        <w:pStyle w:val="ListBullet"/>
      </w:pPr>
      <w:r>
        <w:t>Sarana Pembelajaran mencakup perabot, peralatan pendidikan, media pendidikan, sarana TIK, instrumentasi laboratorium/bengkel teknik industri.</w:t>
      </w:r>
    </w:p>
    <w:p>
      <w:pPr>
        <w:pStyle w:val="ListBullet"/>
      </w:pPr>
      <w:r>
        <w:t>Prasarana Pembelajaran mencakup ruang kelas, laboratorium/bengkel (proses manufaktur, ergonomi, simulasi &amp; optimasi sistem industri, statistika industri), perpustakaan, ruang dosen.</w:t>
      </w:r>
    </w:p>
    <w:p>
      <w:pPr>
        <w:pStyle w:val="ListBullet"/>
      </w:pPr>
      <w:r>
        <w:t>Keselamatan, Kesehatan Kerja, dan Lindungan Lingkungan (K3L) adalah sistem yang menjamin keselamatan sivitas akademika dalam penggunaan sarana-prasarana, terutama laboratorium/bengkel manufaktur.</w:t>
      </w:r>
    </w:p>
    <w:p>
      <w:pPr>
        <w:pStyle w:val="ListBullet"/>
      </w:pPr>
      <w:r>
        <w:t>Aksesibilitas adalah kemudahan bagi mahasiswa/dosen/tendik berkebutuhan khusus untuk mewujudkan kesamaan kesempatan.</w:t>
      </w:r>
    </w:p>
    <w:p>
      <w:r>
        <w:t>2. Pihak Yang Bertanggung Jawab Untuk Memenuhi Standar</w:t>
      </w:r>
    </w:p>
    <w:p>
      <w:pPr>
        <w:pStyle w:val="ListBullet"/>
      </w:pPr>
      <w:r>
        <w:t>Divisi Pengelolaan Prasarana dan Aset (DPPA), dalam pengadaan, pemeliharaan, dan evaluasi kelayakan sarana prasarana.</w:t>
      </w:r>
    </w:p>
    <w:p>
      <w:pPr>
        <w:pStyle w:val="ListBullet"/>
      </w:pPr>
      <w:r>
        <w:t>Dekan FTII dan Ketua Program Studi Teknik Industri, dalam verifikasi kecukupan sarana prasarana pembelajaran tingkat program studi.</w:t>
      </w:r>
    </w:p>
    <w:p>
      <w:pPr>
        <w:pStyle w:val="ListBullet"/>
      </w:pPr>
      <w:r>
        <w:t>Kepala Laboratorium/Bengkel Teknik Industri, dalam pengelolaan operasional, SOP, dan K3L laboratorium.</w:t>
      </w:r>
    </w:p>
    <w:p>
      <w:pPr>
        <w:pStyle w:val="ListBullet"/>
      </w:pPr>
      <w:r>
        <w:t>Divisi Teknologi Sistem Informasi (DTSI), dalam pengelolaan sistem informasi terintegrasi.</w:t>
      </w:r>
    </w:p>
    <w:p>
      <w:r>
        <w:t>3. Pernyataan Isi Standar Sarana Dan Prasarana Pembelajaran</w:t>
      </w:r>
    </w:p>
    <w:p>
      <w:pPr>
        <w:pStyle w:val="ListNumber"/>
      </w:pPr>
      <w:r>
        <w:t>Program Studi Teknik Industri wajib menjamin rasio luas bangunan paling sedikit 2 m² per mahasiswa dan rasio luas ruang dosen paling sedikit 4 m² per dosen dilengkapi jaringan data.</w:t>
      </w:r>
    </w:p>
    <w:p>
      <w:pPr>
        <w:pStyle w:val="ListNumber"/>
      </w:pPr>
      <w:r>
        <w:t>*Program Studi Teknik Industri wajib menjamin kelengkapan isi sarana akademik: media pembelajaran, perangkat lunak simulasi/optimasi industri (mis. software linear programming, discrete-event simulation), dan koleksi perpustakaan bidang keteknikindustrian paling sedikit 500 judul relevan dan langganan basis data jurnal.</w:t>
      </w:r>
    </w:p>
    <w:p>
      <w:pPr>
        <w:pStyle w:val="ListNumber"/>
      </w:pPr>
      <w:r>
        <w:t>Program Studi Teknik Industri wajib menyediakan laboratorium/bengkel yang sesuai panduan asosiasi program studi sejenis (BKSTI), mencakup sekurang-kurangnya laboratorium proses manufaktur, laboratorium ergonomi dan analisis perancangan kerja, dan laboratorium simulasi/optimasi sistem industri, dilengkapi SOP penggunaan, pemeliharaan, dan evaluasi kelayakan berkala.</w:t>
      </w:r>
    </w:p>
    <w:p>
      <w:pPr>
        <w:pStyle w:val="ListNumber"/>
      </w:pPr>
      <w:r>
        <w:t>*Program Studi Teknik Industri wajib menerapkan kebijakan dan pelaksanaan K3L pada seluruh laboratorium/bengkel manufaktur, mencakup APD, SOP mesin/peralatan, dan pelaporan insiden, terintegrasi dengan kebijakan K3L skala kampus.</w:t>
      </w:r>
    </w:p>
    <w:p>
      <w:pPr>
        <w:pStyle w:val="ListNumber"/>
      </w:pPr>
      <w:r>
        <w:t>Program Studi Teknik Industri wajib menyediakan sarana dan prasarana aksesibel bagi mahasiswa berkebutuhan khusus mencakup 5 aspek (pelabelan braille, ramp, jalur pemandu, peta timbul, toilet difabel).</w:t>
      </w:r>
    </w:p>
    <w:p>
      <w:pPr>
        <w:pStyle w:val="ListNumber"/>
      </w:pPr>
      <w:r>
        <w:t>Program Studi Teknik Industri wajib menyediakan sistem informasi terintegrasi (akademik, keuangan, aset laboratorium) yang dapat diakses seluruh sivitas akademika dengan tingkat pemenuhan 100%.</w:t>
      </w:r>
    </w:p>
    <w:p>
      <w:r>
        <w:t>4. Strategi Pencapaian Standar</w:t>
      </w:r>
    </w:p>
    <w:p>
      <w:pPr>
        <w:pStyle w:val="ListNumber"/>
      </w:pPr>
      <w:r>
        <w:t>DPPA menjamin pemenuhan rasio 2 m²/mahasiswa dan 4 m²/dosen pada setiap pengembangan ruang program studi.</w:t>
      </w:r>
    </w:p>
    <w:p>
      <w:pPr>
        <w:pStyle w:val="ListNumber"/>
      </w:pPr>
      <w:r>
        <w:t>Ketua Program Studi bersama Perpustakaan menyusun rencana pengadaan dan pemutakhiran koleksi bidang keteknikindustrian serta lisensi perangkat lunak simulasi/optimasi.</w:t>
      </w:r>
    </w:p>
    <w:p>
      <w:pPr>
        <w:pStyle w:val="ListNumber"/>
      </w:pPr>
      <w:r>
        <w:t>Kepala Laboratorium menyusun dan menerapkan SOP dan kebijakan K3L pada seluruh laboratorium/bengkel manufaktur, disosialisasikan kepada mahasiswa dan asisten praktikum.</w:t>
      </w:r>
    </w:p>
    <w:p>
      <w:pPr>
        <w:pStyle w:val="ListNumber"/>
      </w:pPr>
      <w:r>
        <w:t>DPPA melengkapi sarana aksesibilitas difabel sesuai 5 aspek secara bertahap pada gedung program studi.</w:t>
      </w:r>
    </w:p>
    <w:p>
      <w:pPr>
        <w:pStyle w:val="ListNumber"/>
      </w:pPr>
      <w:r>
        <w:t>DTSI mengembangkan dan memelihara sistem informasi terintegrasi yang mudah diakses dan andal.</w:t>
      </w:r>
    </w:p>
    <w:p>
      <w:r>
        <w:t>5. Indikator Capaian Standar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No</w:t>
            </w:r>
          </w:p>
        </w:tc>
        <w:tc>
          <w:tcPr>
            <w:tcW w:type="dxa" w:w="1728"/>
          </w:tcPr>
          <w:p>
            <w:r>
              <w:t>Indikator Kinerja Utama (IKU) / Tambahan (IKT)</w:t>
            </w:r>
          </w:p>
        </w:tc>
        <w:tc>
          <w:tcPr>
            <w:tcW w:type="dxa" w:w="1728"/>
          </w:tcPr>
          <w:p>
            <w:r>
              <w:t>2024/2025</w:t>
            </w:r>
          </w:p>
        </w:tc>
        <w:tc>
          <w:tcPr>
            <w:tcW w:type="dxa" w:w="1728"/>
          </w:tcPr>
          <w:p>
            <w:r>
              <w:t>2025/2026</w:t>
            </w:r>
          </w:p>
        </w:tc>
        <w:tc>
          <w:tcPr>
            <w:tcW w:type="dxa" w:w="1728"/>
          </w:tcPr>
          <w:p>
            <w:r>
              <w:t>2026/2027</w:t>
            </w:r>
          </w:p>
        </w:tc>
      </w:tr>
      <w:tr>
        <w:tc>
          <w:tcPr>
            <w:tcW w:type="dxa" w:w="1728"/>
          </w:tcPr>
          <w:p>
            <w:r>
              <w:t>1</w:t>
            </w:r>
          </w:p>
        </w:tc>
        <w:tc>
          <w:tcPr>
            <w:tcW w:type="dxa" w:w="1728"/>
          </w:tcPr>
          <w:p>
            <w:r>
              <w:t>Rasio luas bangunan per mahasiswa</w:t>
            </w:r>
          </w:p>
        </w:tc>
        <w:tc>
          <w:tcPr>
            <w:tcW w:type="dxa" w:w="1728"/>
          </w:tcPr>
          <w:p>
            <w:r>
              <w:t>2 m²</w:t>
            </w:r>
          </w:p>
        </w:tc>
        <w:tc>
          <w:tcPr>
            <w:tcW w:type="dxa" w:w="1728"/>
          </w:tcPr>
          <w:p>
            <w:r>
              <w:t>2 m²</w:t>
            </w:r>
          </w:p>
        </w:tc>
        <w:tc>
          <w:tcPr>
            <w:tcW w:type="dxa" w:w="1728"/>
          </w:tcPr>
          <w:p>
            <w:r>
              <w:t>2 m²</w:t>
            </w:r>
          </w:p>
        </w:tc>
      </w:tr>
      <w:tr>
        <w:tc>
          <w:tcPr>
            <w:tcW w:type="dxa" w:w="1728"/>
          </w:tcPr>
          <w:p>
            <w:r>
              <w:t>2</w:t>
            </w:r>
          </w:p>
        </w:tc>
        <w:tc>
          <w:tcPr>
            <w:tcW w:type="dxa" w:w="1728"/>
          </w:tcPr>
          <w:p>
            <w:r>
              <w:t>Rasio luas ruang dosen per dosen</w:t>
            </w:r>
          </w:p>
        </w:tc>
        <w:tc>
          <w:tcPr>
            <w:tcW w:type="dxa" w:w="1728"/>
          </w:tcPr>
          <w:p>
            <w:r>
              <w:t>4 m²</w:t>
            </w:r>
          </w:p>
        </w:tc>
        <w:tc>
          <w:tcPr>
            <w:tcW w:type="dxa" w:w="1728"/>
          </w:tcPr>
          <w:p>
            <w:r>
              <w:t>4 m²</w:t>
            </w:r>
          </w:p>
        </w:tc>
        <w:tc>
          <w:tcPr>
            <w:tcW w:type="dxa" w:w="1728"/>
          </w:tcPr>
          <w:p>
            <w:r>
              <w:t>4 m²</w:t>
            </w:r>
          </w:p>
        </w:tc>
      </w:tr>
      <w:tr>
        <w:tc>
          <w:tcPr>
            <w:tcW w:type="dxa" w:w="1728"/>
          </w:tcPr>
          <w:p>
            <w:r>
              <w:t>*3</w:t>
            </w:r>
          </w:p>
        </w:tc>
        <w:tc>
          <w:tcPr>
            <w:tcW w:type="dxa" w:w="1728"/>
          </w:tcPr>
          <w:p>
            <w:r>
              <w:t>Kelengkapan isi sarana akademik (media, perangkat lunak simulasi, koleksi pustaka)</w:t>
            </w:r>
          </w:p>
        </w:tc>
        <w:tc>
          <w:tcPr>
            <w:tcW w:type="dxa" w:w="1728"/>
          </w:tcPr>
          <w:p>
            <w:r>
              <w:t>75%</w:t>
            </w:r>
          </w:p>
        </w:tc>
        <w:tc>
          <w:tcPr>
            <w:tcW w:type="dxa" w:w="1728"/>
          </w:tcPr>
          <w:p>
            <w:r>
              <w:t>90%</w:t>
            </w:r>
          </w:p>
        </w:tc>
        <w:tc>
          <w:tcPr>
            <w:tcW w:type="dxa" w:w="1728"/>
          </w:tcPr>
          <w:p>
            <w:r>
              <w:t>100%</w:t>
            </w:r>
          </w:p>
        </w:tc>
      </w:tr>
      <w:tr>
        <w:tc>
          <w:tcPr>
            <w:tcW w:type="dxa" w:w="1728"/>
          </w:tcPr>
          <w:p>
            <w:r>
              <w:t>4</w:t>
            </w:r>
          </w:p>
        </w:tc>
        <w:tc>
          <w:tcPr>
            <w:tcW w:type="dxa" w:w="1728"/>
          </w:tcPr>
          <w:p>
            <w:r>
              <w:t>Ketersediaan laboratorium proses manufaktur, ergonomi, dan simulasi/optimasi sistem industri</w:t>
            </w:r>
          </w:p>
        </w:tc>
        <w:tc>
          <w:tcPr>
            <w:tcW w:type="dxa" w:w="1728"/>
          </w:tcPr>
          <w:p>
            <w:r>
              <w:t>Tersedia</w:t>
            </w:r>
          </w:p>
        </w:tc>
        <w:tc>
          <w:tcPr>
            <w:tcW w:type="dxa" w:w="1728"/>
          </w:tcPr>
          <w:p>
            <w:r>
              <w:t>Tersedia</w:t>
            </w:r>
          </w:p>
        </w:tc>
        <w:tc>
          <w:tcPr>
            <w:tcW w:type="dxa" w:w="1728"/>
          </w:tcPr>
          <w:p>
            <w:r>
              <w:t>Tersedia &amp; lengkap</w:t>
            </w:r>
          </w:p>
        </w:tc>
      </w:tr>
      <w:tr>
        <w:tc>
          <w:tcPr>
            <w:tcW w:type="dxa" w:w="1728"/>
          </w:tcPr>
          <w:p>
            <w:r>
              <w:t>*5</w:t>
            </w:r>
          </w:p>
        </w:tc>
        <w:tc>
          <w:tcPr>
            <w:tcW w:type="dxa" w:w="1728"/>
          </w:tcPr>
          <w:p>
            <w:r>
              <w:t>Ketersediaan dan pelaksanaan kebijakan K3L laboratorium/bengkel</w:t>
            </w:r>
          </w:p>
        </w:tc>
        <w:tc>
          <w:tcPr>
            <w:tcW w:type="dxa" w:w="1728"/>
          </w:tcPr>
          <w:p>
            <w:r>
              <w:t>Tersedia</w:t>
            </w:r>
          </w:p>
        </w:tc>
        <w:tc>
          <w:tcPr>
            <w:tcW w:type="dxa" w:w="1728"/>
          </w:tcPr>
          <w:p>
            <w:r>
              <w:t>Terlaksana</w:t>
            </w:r>
          </w:p>
        </w:tc>
        <w:tc>
          <w:tcPr>
            <w:tcW w:type="dxa" w:w="1728"/>
          </w:tcPr>
          <w:p>
            <w:r>
              <w:t>Terlaksana</w:t>
            </w:r>
          </w:p>
        </w:tc>
      </w:tr>
      <w:tr>
        <w:tc>
          <w:tcPr>
            <w:tcW w:type="dxa" w:w="1728"/>
          </w:tcPr>
          <w:p>
            <w:r>
              <w:t>6</w:t>
            </w:r>
          </w:p>
        </w:tc>
        <w:tc>
          <w:tcPr>
            <w:tcW w:type="dxa" w:w="1728"/>
          </w:tcPr>
          <w:p>
            <w:r>
              <w:t>Pemenuhan aspek aksesibilitas difabel (5 aspek)</w:t>
            </w:r>
          </w:p>
        </w:tc>
        <w:tc>
          <w:tcPr>
            <w:tcW w:type="dxa" w:w="1728"/>
          </w:tcPr>
          <w:p>
            <w:r>
              <w:t>3 aspek</w:t>
            </w:r>
          </w:p>
        </w:tc>
        <w:tc>
          <w:tcPr>
            <w:tcW w:type="dxa" w:w="1728"/>
          </w:tcPr>
          <w:p>
            <w:r>
              <w:t>4 aspek</w:t>
            </w:r>
          </w:p>
        </w:tc>
        <w:tc>
          <w:tcPr>
            <w:tcW w:type="dxa" w:w="1728"/>
          </w:tcPr>
          <w:p>
            <w:r>
              <w:t>5 aspek</w:t>
            </w:r>
          </w:p>
        </w:tc>
      </w:tr>
      <w:tr>
        <w:tc>
          <w:tcPr>
            <w:tcW w:type="dxa" w:w="1728"/>
          </w:tcPr>
          <w:p>
            <w:r>
              <w:t>7</w:t>
            </w:r>
          </w:p>
        </w:tc>
        <w:tc>
          <w:tcPr>
            <w:tcW w:type="dxa" w:w="1728"/>
          </w:tcPr>
          <w:p>
            <w:r>
              <w:t>Pemenuhan sistem informasi terintegrasi</w:t>
            </w:r>
          </w:p>
        </w:tc>
        <w:tc>
          <w:tcPr>
            <w:tcW w:type="dxa" w:w="1728"/>
          </w:tcPr>
          <w:p>
            <w:r>
              <w:t>90%</w:t>
            </w:r>
          </w:p>
        </w:tc>
        <w:tc>
          <w:tcPr>
            <w:tcW w:type="dxa" w:w="1728"/>
          </w:tcPr>
          <w:p>
            <w:r>
              <w:t>95%</w:t>
            </w:r>
          </w:p>
        </w:tc>
        <w:tc>
          <w:tcPr>
            <w:tcW w:type="dxa" w:w="1728"/>
          </w:tcPr>
          <w:p>
            <w:r>
              <w:t>100%</w:t>
            </w:r>
          </w:p>
        </w:tc>
      </w:tr>
      <w:tr>
        <w:tc>
          <w:tcPr>
            <w:tcW w:type="dxa" w:w="1728"/>
          </w:tcPr>
          <w:p>
            <w:r>
              <w:t>*8</w:t>
            </w:r>
          </w:p>
        </w:tc>
        <w:tc>
          <w:tcPr>
            <w:tcW w:type="dxa" w:w="1728"/>
          </w:tcPr>
          <w:p>
            <w:r>
              <w:t>Pelaksanaan root-cause analysis &amp; SWOT tahunan</w:t>
            </w:r>
          </w:p>
        </w:tc>
        <w:tc>
          <w:tcPr>
            <w:tcW w:type="dxa" w:w="1728"/>
          </w:tcPr>
          <w:p>
            <w:r>
              <w:t>Terlaksana</w:t>
            </w:r>
          </w:p>
        </w:tc>
        <w:tc>
          <w:tcPr>
            <w:tcW w:type="dxa" w:w="1728"/>
          </w:tcPr>
          <w:p>
            <w:r>
              <w:t>Terlaksana</w:t>
            </w:r>
          </w:p>
        </w:tc>
        <w:tc>
          <w:tcPr>
            <w:tcW w:type="dxa" w:w="1728"/>
          </w:tcPr>
          <w:p>
            <w:r>
              <w:t>Terlaksana</w:t>
            </w:r>
          </w:p>
        </w:tc>
      </w:tr>
    </w:tbl>
    <w:p>
      <w:pPr/>
      <w:r>
        <w:rPr>
          <w:b/>
        </w:rPr>
        <w:t>STANDAR PEMBIAYAAN PEMBELAJARAN</w:t>
      </w:r>
    </w:p>
    <w:p>
      <w:r>
        <w:t>1. Daftar Istilah</w:t>
      </w:r>
    </w:p>
    <w:p>
      <w:pPr>
        <w:pStyle w:val="ListBullet"/>
      </w:pPr>
      <w:r>
        <w:t>Dana Operasional Pendidikan (DOP) adalah biaya operasional pendidikan tinggi yang ditetapkan per mahasiswa per tahun.</w:t>
      </w:r>
    </w:p>
    <w:p>
      <w:pPr>
        <w:pStyle w:val="ListBullet"/>
      </w:pPr>
      <w:r>
        <w:t>Komponen Biaya Lain adalah pembiayaan di luar biaya pendidikan mahasiswa, antara lain hibah, jasa konsultansi/pelatihan industri, dan kerja sama kelembagaan.</w:t>
      </w:r>
    </w:p>
    <w:p>
      <w:pPr>
        <w:pStyle w:val="ListBullet"/>
      </w:pPr>
      <w:r>
        <w:t>E-Budgeting adalah sistem perencanaan dan pelaporan anggaran berbasis elektronik.</w:t>
      </w:r>
    </w:p>
    <w:p>
      <w:r>
        <w:t>2. Pihak Yang Bertanggung Jawab Untuk Memenuhi Standar</w:t>
      </w:r>
    </w:p>
    <w:p>
      <w:pPr>
        <w:pStyle w:val="ListBullet"/>
      </w:pPr>
      <w:r>
        <w:t>Direktorat Keuangan, dalam pencatatan, pelaporan, dan audit biaya operasional pendidikan.</w:t>
      </w:r>
    </w:p>
    <w:p>
      <w:pPr>
        <w:pStyle w:val="ListBullet"/>
      </w:pPr>
      <w:r>
        <w:t>Dekan FTII dan Ketua Program Studi Teknik Industri, dalam pengusulan kebutuhan anggaran program studi.</w:t>
      </w:r>
    </w:p>
    <w:p>
      <w:r>
        <w:t>3. Pernyataan Isi Standar Pembiayaan Pembelajaran</w:t>
      </w:r>
    </w:p>
    <w:p>
      <w:pPr>
        <w:pStyle w:val="ListNumber"/>
      </w:pPr>
      <w:r>
        <w:t>Program Studi Teknik Industri wajib meningkatkan rata-rata dana operasional pembelajaran per mahasiswa per tahun secara bertahap dari paling sedikit Rp18.000.000 pada tahun pertama menuju paling sedikit Rp20.000.000 pada tahun kedua dan Rp22.000.000 pada tahun ketiga.</w:t>
      </w:r>
    </w:p>
    <w:p>
      <w:pPr>
        <w:pStyle w:val="ListNumber"/>
      </w:pPr>
      <w:r>
        <w:t>Program Studi Teknik Industri wajib menjaga persentase dana yang bersumber dari mahasiswa terhadap total perolehan dana program studi paling banyak 40%.</w:t>
      </w:r>
    </w:p>
    <w:p>
      <w:pPr>
        <w:pStyle w:val="ListNumber"/>
      </w:pPr>
      <w:r>
        <w:t>Program Studi Teknik Industri wajib meningkatkan diversifikasi sumber pendanaan non-mahasiswa (kerja sama pelatihan/konsultansi industri, hibah penelitian) menuju paling sedikit 5% dalam jangka menengah dan 10% dalam jangka panjang.</w:t>
      </w:r>
    </w:p>
    <w:p>
      <w:pPr>
        <w:pStyle w:val="ListNumber"/>
      </w:pPr>
      <w:r>
        <w:t>Program Studi Teknik Industri wajib menyediakan laporan keuangan program studi secara transparan dan akuntabel setiap tahun melalui sistem e-budgeting.</w:t>
      </w:r>
    </w:p>
    <w:p>
      <w:r>
        <w:t>4. Strategi Pencapaian Standar</w:t>
      </w:r>
    </w:p>
    <w:p>
      <w:pPr>
        <w:pStyle w:val="ListNumber"/>
      </w:pPr>
      <w:r>
        <w:t>Direktorat Keuangan menyusun rencana anggaran bertahap untuk mencapai dana operasional pembelajaran minimal Rp20 juta/mahasiswa/tahun.</w:t>
      </w:r>
    </w:p>
    <w:p>
      <w:pPr>
        <w:pStyle w:val="ListNumber"/>
      </w:pPr>
      <w:r>
        <w:t>Program Studi meningkatkan diversifikasi sumber pendanaan melalui kerja sama pelatihan bersertifikat, jasa konsultansi industri, dan penelitian terapan dengan DUDIKA manufaktur/logistik.</w:t>
      </w:r>
    </w:p>
    <w:p>
      <w:pPr>
        <w:pStyle w:val="ListNumber"/>
      </w:pPr>
      <w:r>
        <w:t>Direktorat Keuangan mengimplementasikan sistem e-budgeting agar pencatatan biaya dapat diakses sampai level program studi.</w:t>
      </w:r>
    </w:p>
    <w:p>
      <w:r>
        <w:t>5. Indikator Capaian Standar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No</w:t>
            </w:r>
          </w:p>
        </w:tc>
        <w:tc>
          <w:tcPr>
            <w:tcW w:type="dxa" w:w="1728"/>
          </w:tcPr>
          <w:p>
            <w:r>
              <w:t>Indikator Kinerja Utama (IKU) / Tambahan (IKT)</w:t>
            </w:r>
          </w:p>
        </w:tc>
        <w:tc>
          <w:tcPr>
            <w:tcW w:type="dxa" w:w="1728"/>
          </w:tcPr>
          <w:p>
            <w:r>
              <w:t>2024/2025</w:t>
            </w:r>
          </w:p>
        </w:tc>
        <w:tc>
          <w:tcPr>
            <w:tcW w:type="dxa" w:w="1728"/>
          </w:tcPr>
          <w:p>
            <w:r>
              <w:t>2025/2026</w:t>
            </w:r>
          </w:p>
        </w:tc>
        <w:tc>
          <w:tcPr>
            <w:tcW w:type="dxa" w:w="1728"/>
          </w:tcPr>
          <w:p>
            <w:r>
              <w:t>2026/2027</w:t>
            </w:r>
          </w:p>
        </w:tc>
      </w:tr>
      <w:tr>
        <w:tc>
          <w:tcPr>
            <w:tcW w:type="dxa" w:w="1728"/>
          </w:tcPr>
          <w:p>
            <w:r>
              <w:t>1</w:t>
            </w:r>
          </w:p>
        </w:tc>
        <w:tc>
          <w:tcPr>
            <w:tcW w:type="dxa" w:w="1728"/>
          </w:tcPr>
          <w:p>
            <w:r>
              <w:t>Dana operasional pembelajaran per mahasiswa per tahun</w:t>
            </w:r>
          </w:p>
        </w:tc>
        <w:tc>
          <w:tcPr>
            <w:tcW w:type="dxa" w:w="1728"/>
          </w:tcPr>
          <w:p>
            <w:r>
              <w:t>Rp18 juta</w:t>
            </w:r>
          </w:p>
        </w:tc>
        <w:tc>
          <w:tcPr>
            <w:tcW w:type="dxa" w:w="1728"/>
          </w:tcPr>
          <w:p>
            <w:r>
              <w:t>Rp20 juta</w:t>
            </w:r>
          </w:p>
        </w:tc>
        <w:tc>
          <w:tcPr>
            <w:tcW w:type="dxa" w:w="1728"/>
          </w:tcPr>
          <w:p>
            <w:r>
              <w:t>Rp22 juta</w:t>
            </w:r>
          </w:p>
        </w:tc>
      </w:tr>
      <w:tr>
        <w:tc>
          <w:tcPr>
            <w:tcW w:type="dxa" w:w="1728"/>
          </w:tcPr>
          <w:p>
            <w:r>
              <w:t>2</w:t>
            </w:r>
          </w:p>
        </w:tc>
        <w:tc>
          <w:tcPr>
            <w:tcW w:type="dxa" w:w="1728"/>
          </w:tcPr>
          <w:p>
            <w:r>
              <w:t>Persentase dana dari mahasiswa terhadap total dana</w:t>
            </w:r>
          </w:p>
        </w:tc>
        <w:tc>
          <w:tcPr>
            <w:tcW w:type="dxa" w:w="1728"/>
          </w:tcPr>
          <w:p>
            <w:r>
              <w:t>40%</w:t>
            </w:r>
          </w:p>
        </w:tc>
        <w:tc>
          <w:tcPr>
            <w:tcW w:type="dxa" w:w="1728"/>
          </w:tcPr>
          <w:p>
            <w:r>
              <w:t>38%</w:t>
            </w:r>
          </w:p>
        </w:tc>
        <w:tc>
          <w:tcPr>
            <w:tcW w:type="dxa" w:w="1728"/>
          </w:tcPr>
          <w:p>
            <w:r>
              <w:t>35%</w:t>
            </w:r>
          </w:p>
        </w:tc>
      </w:tr>
      <w:tr>
        <w:tc>
          <w:tcPr>
            <w:tcW w:type="dxa" w:w="1728"/>
          </w:tcPr>
          <w:p>
            <w:r>
              <w:t>3</w:t>
            </w:r>
          </w:p>
        </w:tc>
        <w:tc>
          <w:tcPr>
            <w:tcW w:type="dxa" w:w="1728"/>
          </w:tcPr>
          <w:p>
            <w:r>
              <w:t>Persentase dana non-mahasiswa</w:t>
            </w:r>
          </w:p>
        </w:tc>
        <w:tc>
          <w:tcPr>
            <w:tcW w:type="dxa" w:w="1728"/>
          </w:tcPr>
          <w:p>
            <w:r>
              <w:t>5%</w:t>
            </w:r>
          </w:p>
        </w:tc>
        <w:tc>
          <w:tcPr>
            <w:tcW w:type="dxa" w:w="1728"/>
          </w:tcPr>
          <w:p>
            <w:r>
              <w:t>7%</w:t>
            </w:r>
          </w:p>
        </w:tc>
        <w:tc>
          <w:tcPr>
            <w:tcW w:type="dxa" w:w="1728"/>
          </w:tcPr>
          <w:p>
            <w:r>
              <w:t>10%</w:t>
            </w:r>
          </w:p>
        </w:tc>
      </w:tr>
      <w:tr>
        <w:tc>
          <w:tcPr>
            <w:tcW w:type="dxa" w:w="1728"/>
          </w:tcPr>
          <w:p>
            <w:r>
              <w:t>4</w:t>
            </w:r>
          </w:p>
        </w:tc>
        <w:tc>
          <w:tcPr>
            <w:tcW w:type="dxa" w:w="1728"/>
          </w:tcPr>
          <w:p>
            <w:r>
              <w:t>Ketersediaan laporan keuangan komprehensif (e-budgeting)</w:t>
            </w:r>
          </w:p>
        </w:tc>
        <w:tc>
          <w:tcPr>
            <w:tcW w:type="dxa" w:w="1728"/>
          </w:tcPr>
          <w:p>
            <w:r>
              <w:t>Tersedia</w:t>
            </w:r>
          </w:p>
        </w:tc>
        <w:tc>
          <w:tcPr>
            <w:tcW w:type="dxa" w:w="1728"/>
          </w:tcPr>
          <w:p>
            <w:r>
              <w:t>Tersedia</w:t>
            </w:r>
          </w:p>
        </w:tc>
        <w:tc>
          <w:tcPr>
            <w:tcW w:type="dxa" w:w="1728"/>
          </w:tcPr>
          <w:p>
            <w:r>
              <w:t>Tersedia</w:t>
            </w:r>
          </w:p>
        </w:tc>
      </w:tr>
      <w:tr>
        <w:tc>
          <w:tcPr>
            <w:tcW w:type="dxa" w:w="1728"/>
          </w:tcPr>
          <w:p>
            <w:r>
              <w:t>*5</w:t>
            </w:r>
          </w:p>
        </w:tc>
        <w:tc>
          <w:tcPr>
            <w:tcW w:type="dxa" w:w="1728"/>
          </w:tcPr>
          <w:p>
            <w:r>
              <w:t>Pelaksanaan root-cause analysis &amp; SWOT tahunan</w:t>
            </w:r>
          </w:p>
        </w:tc>
        <w:tc>
          <w:tcPr>
            <w:tcW w:type="dxa" w:w="1728"/>
          </w:tcPr>
          <w:p>
            <w:r>
              <w:t>Terlaksana</w:t>
            </w:r>
          </w:p>
        </w:tc>
        <w:tc>
          <w:tcPr>
            <w:tcW w:type="dxa" w:w="1728"/>
          </w:tcPr>
          <w:p>
            <w:r>
              <w:t>Terlaksana</w:t>
            </w:r>
          </w:p>
        </w:tc>
        <w:tc>
          <w:tcPr>
            <w:tcW w:type="dxa" w:w="1728"/>
          </w:tcPr>
          <w:p>
            <w:r>
              <w:t>Terlaksana</w:t>
            </w:r>
          </w:p>
        </w:tc>
      </w:tr>
    </w:tbl>
    <w:p>
      <w:pPr/>
      <w:r>
        <w:rPr>
          <w:b/>
        </w:rPr>
        <w:t>DOKUMEN TERKAIT PELAKSANAAN STANDAR</w:t>
      </w:r>
    </w:p>
    <w:p>
      <w:pPr>
        <w:pStyle w:val="ListNumber"/>
      </w:pPr>
      <w:r>
        <w:t>Keputusan Ketua Program Studi tentang penetapan Standar Masukan Pendidikan Program Studi Teknik Industri.</w:t>
      </w:r>
    </w:p>
    <w:p>
      <w:pPr>
        <w:pStyle w:val="ListNumber"/>
      </w:pPr>
      <w:r>
        <w:t>Dokumen kurikulum berbasis OBE beserta berita acara tinjauan kurikulum dan pelibatan pemangku kepentingan.</w:t>
      </w:r>
    </w:p>
    <w:p>
      <w:pPr>
        <w:pStyle w:val="ListNumber"/>
      </w:pPr>
      <w:r>
        <w:t>Data PDDikti: rasio dosen tetap:mahasiswa, kualifikasi akademik, jabatan fungsional, sertifikasi pendidik dosen.</w:t>
      </w:r>
    </w:p>
    <w:p>
      <w:pPr>
        <w:pStyle w:val="ListNumber"/>
      </w:pPr>
      <w:r>
        <w:t>Laporan Kinerja Dosen (LKD) dan Beban Kerja Dosen (BKD).</w:t>
      </w:r>
    </w:p>
    <w:p>
      <w:pPr>
        <w:pStyle w:val="ListNumber"/>
      </w:pPr>
      <w:r>
        <w:t>Dokumen kepemilikan/penggunaan ruang dan laboratorium/bengkel, data rasio luas bangunan dan ruang dosen.</w:t>
      </w:r>
    </w:p>
    <w:p>
      <w:pPr>
        <w:pStyle w:val="ListNumber"/>
      </w:pPr>
      <w:r>
        <w:t>Dokumen SOP dan laporan pelaksanaan K3L laboratorium/bengkel.</w:t>
      </w:r>
    </w:p>
    <w:p>
      <w:pPr>
        <w:pStyle w:val="ListNumber"/>
      </w:pPr>
      <w:r>
        <w:t>Laporan keuangan tahunan (e-budgeting) program studi.</w:t>
      </w:r>
    </w:p>
    <w:p>
      <w:pPr>
        <w:pStyle w:val="ListNumber"/>
      </w:pPr>
      <w:r>
        <w:t>Dokumen root-cause analysis dan SWOT tahunan atas keempat sub-standar, beserta berita acara RTM.</w:t>
      </w:r>
    </w:p>
    <w:p>
      <w:pPr/>
      <w:r>
        <w:rPr>
          <w:b/>
        </w:rPr>
        <w:t>REFERENSI</w:t>
      </w:r>
    </w:p>
    <w:p>
      <w:pPr>
        <w:pStyle w:val="ListNumber"/>
      </w:pPr>
      <w:r>
        <w:t>Undang-Undang Republik Indonesia Nomor 12 Tahun 2012 tentang Pendidikan Tinggi.</w:t>
      </w:r>
    </w:p>
    <w:p>
      <w:pPr>
        <w:pStyle w:val="ListNumber"/>
      </w:pPr>
      <w:r>
        <w:t>Peraturan Pemerintah Republik Indonesia Nomor 4 Tahun 2014 tentang Penyelenggaraan Pendidikan Tinggi dan Pengelolaan Perguruan Tinggi.</w:t>
      </w:r>
    </w:p>
    <w:p>
      <w:pPr>
        <w:pStyle w:val="ListNumber"/>
      </w:pPr>
      <w:r>
        <w:t>Peraturan Menteri Pendidikan, Kebudayaan, Riset, dan Teknologi Republik Indonesia Nomor 53 Tahun 2023 tentang Penjaminan Mutu Pendidikan Tinggi.</w:t>
      </w:r>
    </w:p>
    <w:p>
      <w:pPr>
        <w:pStyle w:val="ListNumber"/>
      </w:pPr>
      <w:r>
        <w:t>Matriks Penilaian LED-LKPS Sarjana APS Akademik dan Vokasi Teknik 2025, Lembaga Akreditasi Mandiri Teknik (LAM Teknik).</w:t>
      </w:r>
    </w:p>
    <w:p>
      <w:pPr>
        <w:pStyle w:val="ListNumber"/>
      </w:pPr>
      <w:r>
        <w:t>Pedoman Penyusunan Laporan Evaluasi Diri (LEDPS), Lampiran 2 Peraturan LAM Teknik Nomor 5 Tahun 2025.</w:t>
      </w:r>
    </w:p>
    <w:p>
      <w:pPr>
        <w:pStyle w:val="ListNumber"/>
      </w:pPr>
      <w:r>
        <w:t>Rencana Strategis (Renstra) Fakultas Teknologi Informasi dan Industri (FTII) UNISBANK Tahun 2024-2027.</w:t>
      </w:r>
    </w:p>
    <w:p>
      <w:pPr>
        <w:pStyle w:val="ListNumber"/>
      </w:pPr>
      <w:r>
        <w:t>Standar VMTS Program Studi Teknik Industri (Standar_VMTS_ProgramStudi_TeknikIndustri.docx).</w:t>
      </w:r>
    </w:p>
    <w:p>
      <w:pPr>
        <w:pStyle w:val="ListNumber"/>
      </w:pPr>
      <w:r>
        <w:t>Standar Penjaminan Mutu Internal FTII versi Unggul (Standar_Penjaminan_Mutu_Internal_Unggul_FTII.docx).</w:t>
      </w:r>
    </w:p>
    <w:p>
      <w:r>
        <w:t>Disusun di Semarang pada tanggal 2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