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MASUKAN PENDIDIKAN</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t>Dokumen ini merupakan revisi ke-2 dari Standar Masukan Pendidikan Program Studi Teknik Informatika UNISBANK. Revisi pertama disusun berdasarkan hasil pemetaan gap terhadap Panduan SPMI Program Sarjana dan Sarjana Terapan, Matriks Penilaian LAM Teknik APS-AV 2025 1.0, dan Kriteria Terakreditasi Unggul 2.1 LAM INFOKOM (Instrumen 1.0), didokumentasikan pada standarmasukanpendidikan.docx. Revisi ke-2 ini melakukan dua penyempurnaan: (1) SUSUNAN BAGIAN direstrukturisasi mengikuti pola dokumen Standar Masukan Pendidikan Universitas Sahid (3.-STANDAR-MASUKAN-PENDIDIKAN.pdf, dipakai semata sebagai kerangka struktur — bukan sumber konten), yang memecah Standar Masukan Pendidikan menjadi 4 (empat) sub-standar mandiri (Isi Pembelajaran; Dosen dan Tenaga Kependidikan; Sarana dan Prasarana Pembelajaran; Pembiayaan Pembelajaran), masing-masing dengan 5 komponen baku: Daftar Istilah, Pihak Yang Bertanggung Jawab, Pernyataan Isi Standar, Strategi Pencapaian Standar, dan Indikator Capaian Standar; dan (2) ISI diselaraskan tambahan dengan Instrumen Akreditasi Program Studi 2.0 LAM INFOKOM (Peraturan LAM-INFOKOM Nomor 06/PERLAM/MA/LAM-INFOKOM/VI/2025, April 2025 — S1-Matriks Penilaian.pdf dan S1-LED.pdf) yang merupakan instrumen terbaru LAM INFOKOM, serta Kriteria C.3-C.5 Pedoman Penyusunan LEDPS LAM Teknik 2025. Instrumen Akreditasi Program Studi 2.0 LAM INFOKOM memperkenalkan istilah DTPR (Dosen Tetap Penghitung Rasio) — dosen tetap institusi dengan keahlian bidang informatika dan komputer yang mengajar pada program studi terkait — sepadan dengan istilah DTPS (Dosen Tetap Program Studi) yang dipakai LAM Teknik; kedua istilah dipakai berdampingan pada dokumen ini. Instrumen 2.0 tersebut secara umum menilai Dosen/Sarana-Prasarana/Pembiayaan melalui rubrik deskriptif-kualitatif tanpa ambang numerik eksplisit yang lebih tinggi dari yang telah dikalibrasi terhadap LAM Teknik dan Kriteria Unggul 2.1 LAM INFOKOM 1.0 pada revisi pertama; karena itu seluruh ambang kuantitatif dari revisi pertama DIPERTAHANKAN, dan Instrumen 2.0 ditambahkan sebagai rujukan kualitatif pelengkap. Revisi ini juga menambahkan ketentuan root-cause analysis dan SWOT tahunan lintas sub-standar sesuai kewajiban Standar Penjaminan Mutu Internal FTII versi Unggul, serta menutup gap tambahan hasil pemetaan Kriteria C.4/C.5 Pedoman LEDPS LAM Teknik 2025 (Kepatuhan_Standar_SDM_FTII_vs_Kriteria_C4_LEDPS_LAM_Teknik.docx dan Kepatuhan_Standar_SaranaPrasaranaK3L_FTII_vs_Kriteria_C5_LEDPS_LAM_Teknik.docx): sertifikasi kompetensi/profesi/industri dosen, mata kuliah kompetensi diampu dosen industri/praktisi, produk/jasa dosen diadopsi industri/masyarakat, sitasi karya ilmiah pada basis data pengindeks internasional, kelengkapan isi sarana akademik, fasilitas ibadah, dan K3L skala kampus. Pembaruan lanjutan (revisi ke-3) dilakukan setelah verifikasi terhadap Instrumen Akreditasi Program Studi 2.1 LAM INFOKOM (Peraturan LAM-INFOKOM Nomor 11/PERLAM/MA/LAM-INFOKOM/X/2025, November 2025) — instrumen LAM INFOKOM PALING MUTAKHIR, menggantikan rujukan ke Instrumen 1.0 (2022) sebagai acuan utama dan melengkapi Instrumen 2.0 (April 2025) yang sebelumnya dipakai untuk restrukturisasi dokumen ini.</w:t>
      </w:r>
    </w:p>
    <w:p>
      <w:pPr/>
    </w:p>
    <w:p>
      <w:pPr>
        <w:spacing w:before="320" w:after="16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pengabdian, serta jaringan kerja sama yang berkelanjutan — sebagaimana ditetapkan pada Standar Visi Misi FTII versi Unggul (Standar_Visi_Misi_Unggul_FTII.docx). Standar Masukan Pendidikan ini menjadi salah satu prasyarat utama pencapaian visi, misi, dan tujuan tersebut melalui penyediaan sumber daya pendidikan (isi pembelajaran, dosen dan tenaga kependidikan, sarana dan prasarana, serta pembiayaan) yang bermutu dan terukur.</w:t>
      </w:r>
    </w:p>
    <w:p>
      <w:pPr>
        <w:spacing w:before="320" w:after="160"/>
      </w:pPr>
      <w:r>
        <w:rPr>
          <w:b/>
          <w:sz w:val="28"/>
        </w:rPr>
        <w:t>2. RASIONAL</w:t>
      </w:r>
    </w:p>
    <w:p>
      <w:pPr>
        <w:spacing w:after="120"/>
      </w:pPr>
      <w:r>
        <w:rPr>
          <w:b w:val="0"/>
          <w:i w:val="0"/>
        </w:rPr>
        <w:t>Standar ini disusun dengan mengacu pada Peraturan Menteri Pendidikan, Kebudayaan, Riset, dan Teknologi Nomor 53 Tahun 2023 tentang Penjaminan Mutu Pendidikan Tinggi, khususnya Pasal 40-45 tentang Standar Isi Pembelajaran, Pasal 46-47 tentang Standar Dosen dan Tenaga Kependidikan, Pasal 48-50 tentang Standar Sarana dan Prasarana Pembelajaran, dan Pasal 51 tentang Standar Pembiayaan Pembelajaran. Standar Isi merupakan kriteria minimal ruang lingkup materi pembelajaran untuk mencapai Standar Kompetensi Lulusan; Standar Dosen dan Tenaga Kependidikan merupakan kriteria minimal kompetensi dan kualifikasi dosen serta tenaga kependidikan; Standar Sarana dan Prasarana merupakan kriteria minimal sarana-prasarana sesuai kebutuhan pembelajaran; dan Standar Pembiayaan merupakan kriteria minimal komponen pembiayaan — keempatnya menjadi Masukan (Input) yang menentukan mutu proses dan luaran pendidikan FTII.</w:t>
      </w:r>
    </w:p>
    <w:p>
      <w:pPr>
        <w:spacing w:after="120"/>
      </w:pPr>
      <w:r>
        <w:rPr>
          <w:b w:val="0"/>
          <w:i w:val="0"/>
        </w:rPr>
        <w:t>Standar ini disusun tidak hanya untuk memenuhi ketentuan minimal SN Dikti, tetapi secara khusus dirancang agar setiap indikator kinerjanya memenuhi atau melampaui ambang skor tertinggi (skor 4) pada Matriks Penilaian LED-LKPS LAM Teknik APS-AV 2025 1.0 — mencakup kecukupan dan kualifikasi dosen tetap (NDTPS/DTPS, rasio mahasiswa:dosen, persentase doktor, jabatan fungsional, sertifikasi pendidik), biaya operasional pendidikan (DOP), serta dana penelitian dan PkM per dosen — dan memenuhi deskriptor tertinggi Kriteria 2 (Relevansi Pendidikan) Butir 2.1.A dan 2.1.B Kriteria Unggul 2.1 LAM INFOKOM (Instrumen 1.0), serta selaras dengan rubrik DTPR pada Instrumen Akreditasi Program Studi 2.0 LAM INFOKOM (April 2025).</w:t>
      </w:r>
    </w:p>
    <w:p>
      <w:pPr>
        <w:spacing w:after="120"/>
      </w:pPr>
      <w:r>
        <w:rPr/>
        <w:t>Penyusunan standar ini didasarkan pada hasil analisis kesenjangan (gap analysis) terhadap dokumen Standar Masukan Pendidikan Program Studi Teknik Informatika sebelumnya, yang mengidentifikasi empat area prioritas penyesuaian ambang target: (a) percepatan persentase dosen bergelar Doktor menuju di atas 40-50%; (b) peningkatan dana operasional pembelajaran per mahasiswa menuju minimal Rp20 juta/tahun; (c) diversifikasi sumber pendanaan non-mahasiswa/non-kementerian menuju minimal 5-10%; dan (d) percepatan rasio dosen tetap:mahasiswa menuju rentang ideal 1:20-1:25. Perlu ditegaskan bahwa ambang "dana penelitian/PkM per dosen" (Rp10 juta/Rp5 juta per dosen per tahun) dan ambang "dana operasional pembelajaran per mahasiswa" (Rp20 juta per mahasiswa per tahun) adalah DUA INDIKATOR BERBEDA dengan basis penghitungan berbeda (per dosen vs per mahasiswa) — bukan angka yang saling bertentangan — dan keduanya dipertahankan konsisten pada revisi ini. Verifikasi terhadap Instrumen Akreditasi Program Studi 2.1 LAM INFOKOM (Sarjana - Matriks Penilaian.pdf dan Panduan LED-nya, November 2025) mengonfirmasi bahwa instrumen ini, seperti Instrumen 2.0 sebelumnya, memakai rubrik skor berbobot per kriteria/butir (bukan ambang kuantitatif eksplisit seperti LAM Teknik), sehingga TIDAK mengubah kalibrasi angka yang sudah ditetapkan pada revisi sebelumnya. Instrumen 2.1 juga menegaskan istilah DTPR (Dosen Tetap Penghitung Rasio) sebagai padanan DTPS/NDTPS pada LAM Teknik. Catatan struktural penting: pada Instrumen 2.1, unsur sarana-prasarana pendidikan, DTPR, dan pembiayaan pendidikan TIDAK lagi menjadi kriteria terpisah (berbeda dari LAM Teknik yang memisahkan Kriteria C.4 SDM dan C.5 Sarana-Prasarana), melainkan seluruhnya dibundel ke dalam satu Kriteria C.2 Relevansi Pendidikan — namun struktur 4 sub-standar (Isi Pembelajaran, Dosen dan Tenaga Kependidikan, Sarana dan Prasarana, Pembiayaan) pada dokumen FTII ini tetap dipertahankan karena selaras dengan struktur LAM Teknik dan lebih rinci untuk keperluan SPMI internal.</w:t>
      </w:r>
    </w:p>
    <w:p>
      <w:pPr>
        <w:spacing w:after="120"/>
      </w:pPr>
      <w:r>
        <w:rPr>
          <w:b w:val="0"/>
          <w:i w:val="0"/>
        </w:rPr>
        <w:t>Sebaliknya, capaian yang sudah identik dengan ambang rujukan — rasio luas bangunan 2 m²/mahasiswa dan ruang dosen 4 m²/dosen, sertifikasi pendidik dosen, kualifikasi tenaga administrasi, serta persentase mata kuliah yang memanfaatkan hasil penelitian/PkM/proyek/kasus — dipertahankan dan diperkuat sebagai praktik baik.</w:t>
      </w:r>
    </w:p>
    <w:p>
      <w:pPr>
        <w:spacing w:before="200" w:after="10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Informatika wajib melaksanakan Analisis Faktor Keberhasilan dan Penghambat (root-cause analysis) serta analisis SWOT atas ketercapaian SELURUH sub-standar Masukan Pendidikan (Isi Pembelajaran, Dosen dan Tenaga Kependidikan, Sarana dan Prasarana Pembelajaran, Pembiayaan Pembelajaran)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Pendidikan versi Unggul ini, Program Studi Teknik Informatika FTII UNISBANK diharapkan memiliki basis sumber daya pendidikan yang setara dengan program studi berakreditasi Unggul, sekaligus berfungsi ganda sebagai instrumen penjaminan mutu internal (SPMI) dan instrumen kesiapan akreditasi eksternal LAM Teknik dan LAM INFOKOM (Instrumen 1.0 dan 2.0).</w:t>
      </w:r>
    </w:p>
    <w:p>
      <w:pPr>
        <w:jc w:val="center"/>
      </w:pPr>
      <w:r>
        <w:rPr>
          <w:b/>
          <w:sz w:val="28"/>
        </w:rPr>
        <w:t>STANDAR ISI PEMBELAJARAN</w:t>
      </w:r>
    </w:p>
    <w:p>
      <w:pPr/>
    </w:p>
    <w:p>
      <w:pPr>
        <w:spacing w:before="200" w:after="100"/>
      </w:pPr>
      <w:r>
        <w:rPr>
          <w:b/>
          <w:sz w:val="25"/>
        </w:rPr>
        <w:t>1. Daftar Istilah</w:t>
      </w:r>
    </w:p>
    <w:p>
      <w:pPr>
        <w:pStyle w:val="ListBullet"/>
        <w:spacing w:after="80"/>
      </w:pPr>
      <w:r>
        <w:rPr/>
        <w:t>Outcome-Based Education (OBE) adalah pendekatan pendidikan yang berorientasi pada pencapaian capaian pembelajaran lulusan (CPL) sebagai hasil akhir proses pembelajaran, mencakup soft competence dan hard competence.</w:t>
      </w:r>
    </w:p>
    <w:p>
      <w:pPr>
        <w:pStyle w:val="ListBullet"/>
        <w:spacing w:after="80"/>
      </w:pPr>
      <w:r>
        <w:rPr/>
        <w:t>Kerangka Kualifikasi Nasional Indonesia (KKNI) adalah kerangka penjenjangan kualifikasi yang menyandingkan, menyetarakan, dan mengintegrasikan sektor pendidikan, pelatihan, dan pengalaman kerja melalui rekognisi capaian pembelajaran; lulusan program sarjana FTII paling rendah setara KKNI jenjang 6.</w:t>
      </w:r>
    </w:p>
    <w:p>
      <w:pPr>
        <w:pStyle w:val="ListBullet"/>
        <w:spacing w:after="80"/>
      </w:pPr>
      <w:r>
        <w:rPr/>
        <w:t>Kedalaman materi pembelajaran adalah tingkat penguasaan materi oleh mahasiswa yang mengacu pada level KKNI program studi.</w:t>
      </w:r>
    </w:p>
    <w:p>
      <w:pPr>
        <w:pStyle w:val="ListBullet"/>
        <w:spacing w:after="80"/>
      </w:pPr>
      <w:r>
        <w:rPr/>
        <w:t>Keluasan materi pembelajaran adalah materi/kajian yang diperlukan untuk menguasai capaian pembelajaran yang telah ditetapkan, mengacu pada level KKNI program studi.</w:t>
      </w:r>
    </w:p>
    <w:p>
      <w:pPr>
        <w:pStyle w:val="ListBullet"/>
        <w:spacing w:after="80"/>
      </w:pPr>
      <w:r>
        <w:rPr/>
        <w:t>Rencana Pembelajaran Semester (RPS) adalah dokumen rencana proses pembelajaran per mata kuliah yang wajib memuat sekurang-kurangnya 9 (sembilan) komponen: (1) identitas mata kuliah dan dosen pengampu; (2) capaian pembelajaran lulusan (CPL) yang dibebankan; (3) kemampuan akhir yang direncanakan pada setiap tahap pembelajaran; (4) bahan kajian; (5) metode pembelajaran; (6) alokasi waktu; (7) pengalaman belajar mahasiswa/deskripsi tugas; (8) kriteria, indikator, dan bobot penilaian; dan (9) daftar referensi, dirancang untuk menghasilkan lulusan yang memiliki kemampuan sesuai CPL yang ditetapkan.</w:t>
      </w:r>
    </w:p>
    <w:p>
      <w:pPr>
        <w:pStyle w:val="ListNumber"/>
        <w:spacing w:after="120"/>
      </w:pPr>
      <w:r>
        <w:rPr/>
        <w:t>Body-of-Knowledge Kurikulum adalah kerangka acuan standar keilmuan internasional yang memetakan kompetensi inti, domain spesifik, serta metode kuantitatif/kualitatif suatu bidang ilmu (misalnya ACM IS 2020 untuk bidang Sistem Informasi), digunakan sebagai acuan penyusunan dan pemetaan kurikulum program studi.</w:t>
      </w:r>
    </w:p>
    <w:p>
      <w:pPr>
        <w:pStyle w:val="ListNumber"/>
        <w:spacing w:after="120"/>
      </w:pPr>
      <w:r>
        <w:rPr/>
        <w:t>Capstone Project adalah mata kuliah wajib berbasis proyek terintegrasi pada tahap akhir studi yang menuntut mahasiswa menerapkan pengetahuan dan keterampilan lintas mata kuliah melalui tahapan analisis, desain, implementasi, dan pengujian, dilaksanakan secara berkelompok.</w:t>
      </w:r>
    </w:p>
    <w:p>
      <w:pPr>
        <w:pStyle w:val="ListBullet"/>
        <w:spacing w:after="80"/>
      </w:pPr>
      <w:r>
        <w:rPr/>
        <w:t>Capaian Pembelajaran Lulusan (CPL) adalah kemampuan yang diperoleh melalui internalisasi pengetahuan, sikap, keterampilan, kompetensi, dan akumulasi pengalaman kerja, yang dirumuskan berdasarkan profil lulusan program studi.</w:t>
      </w:r>
    </w:p>
    <w:p>
      <w:pPr>
        <w:spacing w:before="200" w:after="100"/>
      </w:pPr>
      <w:r>
        <w:rPr>
          <w:b/>
          <w:sz w:val="25"/>
        </w:rPr>
        <w:t>2. Pihak Yang Bertanggung Jawab Untuk Memenuhi Standar</w:t>
      </w:r>
    </w:p>
    <w:p>
      <w:pPr>
        <w:pStyle w:val="ListBullet"/>
        <w:spacing w:after="80"/>
      </w:pPr>
      <w:r>
        <w:rPr/>
        <w:t>Rektor, dalam menetapkan kebijakan kurikulum berbasis OBE di lingkungan FTII.</w:t>
      </w:r>
    </w:p>
    <w:p>
      <w:pPr>
        <w:pStyle w:val="ListBullet"/>
        <w:spacing w:after="80"/>
      </w:pPr>
      <w:r>
        <w:rPr/>
        <w:t>Wakil Rektor Bidang Akademik dan Kemahasiswaan, dalam mengendalikan kebijakan proses dan isi pembelajaran.</w:t>
      </w:r>
    </w:p>
    <w:p>
      <w:pPr>
        <w:pStyle w:val="ListBullet"/>
        <w:spacing w:after="80"/>
      </w:pPr>
      <w:r>
        <w:rPr/>
        <w:t>Direktorat Pengembangan Kurikulum dan Pembelajaran Digital (DPKPD), sebagai pengendali dan pendamping teknis Standar Isi Pembelajaran.</w:t>
      </w:r>
    </w:p>
    <w:p>
      <w:pPr>
        <w:pStyle w:val="ListBullet"/>
        <w:spacing w:after="80"/>
      </w:pPr>
      <w:r>
        <w:rPr/>
        <w:t>Dekan FTII, dalam melakukan verifikasi kesesuaian isi pembelajaran dengan standar.</w:t>
      </w:r>
    </w:p>
    <w:p>
      <w:pPr>
        <w:pStyle w:val="ListBullet"/>
        <w:spacing w:after="80"/>
      </w:pPr>
      <w:r>
        <w:rPr/>
        <w:t>Ketua Program Studi, dalam penyusunan dan pemutakhiran kurikulum serta capaian pembelajaran.</w:t>
      </w:r>
    </w:p>
    <w:p>
      <w:pPr>
        <w:pStyle w:val="ListBullet"/>
        <w:spacing w:after="80"/>
      </w:pPr>
      <w:r>
        <w:rPr/>
        <w:t>Dosen dan mahasiswa, dalam pelaksanaan proses pembelajaran sesuai RPS.</w:t>
      </w:r>
    </w:p>
    <w:p>
      <w:pPr>
        <w:pStyle w:val="ListBullet"/>
        <w:spacing w:after="80"/>
      </w:pPr>
      <w:r>
        <w:rPr/>
        <w:t>Gugus Kendali Mutu (GKM) Program Studi, dalam verifikasi kelengkapan dan mutu dokumen kurikulum dan RPS.</w:t>
      </w:r>
    </w:p>
    <w:p>
      <w:pPr>
        <w:spacing w:before="200" w:after="100"/>
      </w:pPr>
      <w:r>
        <w:rPr>
          <w:b/>
          <w:sz w:val="25"/>
        </w:rPr>
        <w:t>3. Pernyataan Isi Standar Pembelajaran</w:t>
      </w:r>
    </w:p>
    <w:p>
      <w:pPr>
        <w:pStyle w:val="ListNumber"/>
        <w:spacing w:after="120"/>
      </w:pPr>
      <w:r>
        <w:rPr/>
        <w:t>Program Studi Teknik Informatika wajib memiliki dan menerapkan Standar Masukan Pendidikan yang ditetapkan melalui keputusan Rektor sebagai acuan penyediaan sumber daya pendidikan.</w:t>
      </w:r>
    </w:p>
    <w:p>
      <w:pPr>
        <w:pStyle w:val="ListNumber"/>
        <w:spacing w:after="120"/>
      </w:pPr>
      <w:r>
        <w:rPr/>
        <w:t>Program Studi Teknik Informatika wajib memiliki kebijakan, pedoman penyusunan, pelaksanaan, dan evaluasi kurikulum berbasis Outcome-Based Education (OBE) yang mencakup soft competence dan hard competence sesuai KKNI Level 6 dan kriteria LAM INFOKOM, diterapkan konsisten pada seluruh program studi.</w:t>
      </w:r>
    </w:p>
    <w:p>
      <w:pPr>
        <w:pStyle w:val="ListNumber"/>
        <w:spacing w:after="120"/>
      </w:pPr>
      <w:r>
        <w:rPr/>
        <w:t>Setiap program studi wajib meninjau dan memutakhirkan kurikulum secara berkala paling lambat setiap 4 (empat) tahun, melibatkan pemangku kepentingan internal (dosen, mahasiswa) dan eksternal (alumni, pengguna lulusan, asosiasi profesi, DUDIKA), serta direview oleh pakar bidang ilmu program studi sejenis.</w:t>
      </w:r>
    </w:p>
    <w:p>
      <w:pPr>
        <w:pStyle w:val="ListNumber"/>
        <w:spacing w:after="120"/>
      </w:pPr>
      <w:r>
        <w:rPr/>
        <w:t>Ketua Program Studi wajib memastikan ketepatan struktur kurikulum dalam pembentukan capaian pembelajaran, digambarkan dalam peta kurikulum yang menunjukkan keterkaitan setiap mata kuliah dengan CPL, ditinjau berkala paling lambat setiap tahun.</w:t>
      </w:r>
    </w:p>
    <w:p>
      <w:pPr>
        <w:pStyle w:val="ListNumber"/>
        <w:spacing w:after="120"/>
      </w:pPr>
      <w:r>
        <w:rPr/>
        <w:t>Program Studi Teknik Informatika wajib memastikan ketersediaan dan kelengkapan dokumen RPS yang mencakup sekurang-kurangnya 9 (sembilan) komponen (identitas mata kuliah dan dosen, CPL yang dibebankan, kemampuan akhir tiap tahap, bahan kajian, metode pembelajaran, alokasi waktu, pengalaman belajar/deskripsi tugas mahasiswa, kriteria-indikator-bobot penilaian, dan daftar referensi) untuk 100% mata kuliah, dapat diakses mahasiswa, dan ditinjau berkala setiap tahun.</w:t>
      </w:r>
    </w:p>
    <w:p>
      <w:pPr>
        <w:pStyle w:val="ListNumber"/>
        <w:spacing w:after="120"/>
      </w:pPr>
      <w:r>
        <w:rPr/>
        <w:t>Program Studi Teknik Informatika wajib memastikan paling sedikit 25% mata kuliah memanfaatkan hasil penelitian, pengabdian kepada masyarakat, proyek, dan/atau studi kasus dalam proses pembelajaran, meningkat secara bertahap menuju paling sedikit 30%.</w:t>
      </w:r>
    </w:p>
    <w:p>
      <w:pPr>
        <w:pStyle w:val="ListNumber"/>
        <w:spacing w:after="120"/>
      </w:pPr>
      <w:r>
        <w:rPr/>
        <w:t>Program Studi Teknik Informatika wajib menetapkan kebijakan, kriteria, dan mekanisme penetapan kelulusan mahasiswa serta kedalaman dan keluasan materi pembelajaran sesuai capaian pembelajaran lulusan.</w:t>
      </w:r>
    </w:p>
    <w:p>
      <w:pPr>
        <w:pStyle w:val="ListNumber"/>
        <w:spacing w:after="120"/>
      </w:pPr>
      <w:r>
        <w:rPr/>
        <w:t>*Program Studi Teknik Informatika wajib melaksanakan tinjauan rutin RPS melalui 4 (empat) langkah: analisis ketercapaian CPL, evaluasi kesesuaian materi dan metode pembelajaran, peninjauan metode penilaian, dan penyesuaian kurikulum dan pembaruan materi, didokumentasikan setiap akhir semester.</w:t>
      </w:r>
    </w:p>
    <w:p>
      <w:pPr>
        <w:pStyle w:val="ListNumber"/>
        <w:spacing w:after="120"/>
      </w:pPr>
      <w:r>
        <w:rPr/>
        <w:t>*Program Studi Teknik Informatika wajib memetakan kurikulum program studi terhadap body-of-knowledge internasional yang relevan dengan bidang keilmuan (misalnya ACM IS 2020 untuk program studi Sistem Informasi), mencakup pemetaan mata kuliah inti, domain spesifik, serta metode kuantitatif dan kualitatif, dibuktikan melalui dokumen pemetaan dan RPS yang selaras.</w:t>
      </w:r>
    </w:p>
    <w:p>
      <w:pPr>
        <w:pStyle w:val="ListNumber"/>
        <w:spacing w:after="120"/>
      </w:pPr>
      <w:r>
        <w:rPr/>
        <w:t>*Program Studi Teknik Informatika wajib menyelenggarakan Capstone Project sebagai mata kuliah wajib program sarjana dengan bobot 3-6 SKS pada semester 5 sampai dengan 8, mencakup tahapan analisis, desain, implementasi, dan pengujian yang dilaksanakan secara berkelompok, dibuktikan melalui dokumen RPS, laporan proyek, dan hasil evaluasi.</w:t>
      </w:r>
    </w:p>
    <w:p>
      <w:pPr>
        <w:spacing w:before="200" w:after="100"/>
      </w:pPr>
      <w:r>
        <w:rPr>
          <w:b/>
          <w:sz w:val="25"/>
        </w:rPr>
        <w:t>4. Strategi Pencapaian Standar</w:t>
      </w:r>
    </w:p>
    <w:p>
      <w:pPr>
        <w:pStyle w:val="ListNumber"/>
        <w:spacing w:after="120"/>
      </w:pPr>
      <w:r>
        <w:rPr/>
        <w:t>Rektor menetapkan kebijakan Standar Isi Pembelajaran sebagai bagian dari SPMI Universitas.</w:t>
      </w:r>
    </w:p>
    <w:p>
      <w:pPr>
        <w:pStyle w:val="ListNumber"/>
        <w:spacing w:after="120"/>
      </w:pPr>
      <w:r>
        <w:rPr/>
        <w:t>Ketua Program Studi menyusun dan memutakhirkan peta kurikulum yang menunjukkan keterkaitan setiap mata kuliah dengan CPL, diverifikasi oleh GKM Program Studi setiap tahun sebagai dasar penilaian ketepatan struktur kurikulum.</w:t>
      </w:r>
    </w:p>
    <w:p>
      <w:pPr>
        <w:pStyle w:val="ListNumber"/>
        <w:spacing w:after="120"/>
      </w:pPr>
      <w:r>
        <w:rPr/>
        <w:t>DPKPD bersama Ketua Program Studi menyusun dan menegaskan siklus peninjauan kurikulum eksplisit setiap 4 tahun pada dokumen kurikulum, melibatkan pakar bidang ilmu, alumni, pengguna lulusan, asosiasi profesi, dan DUDIKA.</w:t>
      </w:r>
    </w:p>
    <w:p>
      <w:pPr>
        <w:pStyle w:val="ListNumber"/>
        <w:spacing w:after="120"/>
      </w:pPr>
      <w:r>
        <w:rPr/>
        <w:t>Program studi meningkatkan integrasi hasil penelitian, PkM, proyek, dan studi kasus ke dalam mata kuliah secara bertahap menuju 30%, melalui penyempurnaan RPS dan metode pembelajaran berbasis pengalaman.</w:t>
      </w:r>
    </w:p>
    <w:p>
      <w:pPr>
        <w:pStyle w:val="ListNumber"/>
        <w:spacing w:after="120"/>
      </w:pPr>
      <w:r>
        <w:rPr/>
        <w:t>DPKPD menyusun dan menerbitkan pedoman penyusunan kurikulum dan RPS berbasis OBE sebagai acuan seluruh program studi.</w:t>
      </w:r>
    </w:p>
    <w:p>
      <w:pPr>
        <w:pStyle w:val="ListNumber"/>
        <w:spacing w:after="120"/>
      </w:pPr>
      <w:r>
        <w:rPr/>
        <w:t>GKM Program Studi memverifikasi kelengkapan dan aksesibilitas RPS bagi mahasiswa setiap awal semester.</w:t>
      </w:r>
    </w:p>
    <w:p>
      <w:pPr>
        <w:pStyle w:val="ListNumber"/>
        <w:spacing w:after="120"/>
      </w:pPr>
      <w:r>
        <w:rPr/>
        <w:t>DPKPD bersama Ketua Program Studi menyusun kebijakan dan kriteria kelulusan mahasiswa serta pedoman kedalaman dan keluasan materi pembelajaran mengacu pada level KKNI program studi, ditinjau setiap siklus kurikulum.</w:t>
      </w:r>
    </w:p>
    <w:p>
      <w:pPr>
        <w:pStyle w:val="ListNumber"/>
        <w:spacing w:after="120"/>
      </w:pPr>
      <w:r>
        <w:rPr/>
        <w:t>Ketua Program Studi bersama dosen pengampu melaksanakan tinjauan rutin RPS setiap akhir semester melalui 4 langkah (analisis ketercapaian CPL, evaluasi materi-metode, peninjauan metode penilaian, penyesuaian kurikulum dan pembaruan materi), didokumentasikan dan dilaporkan kepada GKM Program Studi.</w:t>
      </w:r>
    </w:p>
    <w:p>
      <w:pPr>
        <w:pStyle w:val="ListNumber"/>
        <w:spacing w:after="120"/>
      </w:pPr>
      <w:r>
        <w:rPr/>
        <w:t>Ketua Program Studi bersama DPKPD memetakan kurikulum program studi terhadap body-of-knowledge internasional yang relevan (misalnya ACM IS 2020 untuk Sistem Informasi), disosialisasikan kepada dosen pengampu, dan diintegrasikan ke dalam penyusunan/pemutakhiran RPS.</w:t>
      </w:r>
    </w:p>
    <w:p>
      <w:pPr>
        <w:pStyle w:val="ListNumber"/>
        <w:spacing w:after="120"/>
      </w:pPr>
      <w:r>
        <w:rPr/>
        <w:t>DPKPD bersama Ketua Program Studi mengembangkan dan menetapkan mata kuliah Capstone Project (3-6 SKS, semester 5-8) beserta pedoman pelaksanaan tahapan analisis-desain-implementasi-pengujian, disosialisasikan kepada dosen pembimbing dan mahasiswa.</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Ketersediaan kebijakan kurikulum berbasis OBE</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2</w:t>
            </w:r>
          </w:p>
        </w:tc>
        <w:tc>
          <w:tcPr>
            <w:tcW w:type="dxa" w:w="1728"/>
          </w:tcPr>
          <w:p>
            <w:pPr/>
            <w:r/>
            <w:r>
              <w:rPr/>
            </w:r>
            <w:r>
              <w:rPr>
                <w:b w:val="0"/>
              </w:rPr>
              <w:t>Siklus peninjauan kurikulum eksplisit (paling lambat, tahun)</w:t>
            </w:r>
          </w:p>
        </w:tc>
        <w:tc>
          <w:tcPr>
            <w:tcW w:type="dxa" w:w="1728"/>
          </w:tcPr>
          <w:p>
            <w:pPr/>
            <w:r/>
            <w:r>
              <w:rPr/>
            </w:r>
            <w:r>
              <w:rPr>
                <w:b w:val="0"/>
              </w:rPr>
              <w:t>4</w:t>
            </w:r>
          </w:p>
        </w:tc>
        <w:tc>
          <w:tcPr>
            <w:tcW w:type="dxa" w:w="1728"/>
          </w:tcPr>
          <w:p>
            <w:pPr/>
            <w:r/>
            <w:r>
              <w:rPr/>
            </w:r>
            <w:r>
              <w:rPr>
                <w:b w:val="0"/>
              </w:rPr>
              <w:t>4</w:t>
            </w:r>
          </w:p>
        </w:tc>
        <w:tc>
          <w:tcPr>
            <w:tcW w:type="dxa" w:w="1728"/>
          </w:tcPr>
          <w:p>
            <w:pPr/>
            <w:r/>
            <w:r>
              <w:rPr/>
            </w:r>
            <w:r>
              <w:rPr>
                <w:b w:val="0"/>
              </w:rPr>
              <w:t>4</w:t>
            </w:r>
          </w:p>
        </w:tc>
      </w:tr>
      <w:tr>
        <w:tc>
          <w:tcPr>
            <w:tcW w:type="dxa" w:w="1728"/>
          </w:tcPr>
          <w:p>
            <w:pPr/>
            <w:r/>
            <w:r>
              <w:rPr/>
            </w:r>
            <w:r>
              <w:rPr>
                <w:b w:val="0"/>
              </w:rPr>
              <w:t>3</w:t>
            </w:r>
          </w:p>
        </w:tc>
        <w:tc>
          <w:tcPr>
            <w:tcW w:type="dxa" w:w="1728"/>
          </w:tcPr>
          <w:p>
            <w:pPr/>
            <w:r/>
            <w:r>
              <w:rPr/>
            </w:r>
            <w:r>
              <w:rPr>
                <w:b w:val="0"/>
              </w:rPr>
              <w:t>Ketepatan struktur kurikulum-CPL ditinjau berkala (frekuensi/tahun)</w:t>
            </w:r>
          </w:p>
        </w:tc>
        <w:tc>
          <w:tcPr>
            <w:tcW w:type="dxa" w:w="1728"/>
          </w:tcPr>
          <w:p>
            <w:pPr/>
            <w:r/>
            <w:r>
              <w:rPr/>
            </w:r>
            <w:r>
              <w:rPr>
                <w:b w:val="0"/>
              </w:rPr>
              <w:t>1</w:t>
            </w:r>
          </w:p>
        </w:tc>
        <w:tc>
          <w:tcPr>
            <w:tcW w:type="dxa" w:w="1728"/>
          </w:tcPr>
          <w:p>
            <w:pPr/>
            <w:r/>
            <w:r>
              <w:rPr/>
            </w:r>
            <w:r>
              <w:rPr>
                <w:b w:val="0"/>
              </w:rPr>
              <w:t>1</w:t>
            </w:r>
          </w:p>
        </w:tc>
        <w:tc>
          <w:tcPr>
            <w:tcW w:type="dxa" w:w="1728"/>
          </w:tcPr>
          <w:p>
            <w:pPr/>
            <w:r/>
            <w:r>
              <w:rPr/>
            </w:r>
            <w:r>
              <w:rPr>
                <w:b w:val="0"/>
              </w:rPr>
              <w:t>1</w:t>
            </w:r>
          </w:p>
        </w:tc>
      </w:tr>
      <w:tr>
        <w:tc>
          <w:tcPr>
            <w:tcW w:type="dxa" w:w="1728"/>
          </w:tcPr>
          <w:p>
            <w:pPr/>
            <w:r/>
            <w:r>
              <w:rPr/>
            </w:r>
            <w:r>
              <w:rPr>
                <w:b w:val="0"/>
              </w:rPr>
              <w:t>4</w:t>
            </w:r>
          </w:p>
        </w:tc>
        <w:tc>
          <w:tcPr>
            <w:tcW w:type="dxa" w:w="1728"/>
          </w:tcPr>
          <w:p>
            <w:pPr/>
            <w:r/>
            <w:r>
              <w:rPr/>
            </w:r>
            <w:r>
              <w:rPr/>
              <w:t>Kelengkapan dokumen RPS memenuhi 9 komponen wajib, aksesibel mahasiswa (awal semester; selaras Standar Proses Pembelajaran)</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b w:val="0"/>
              </w:rPr>
              <w:t>5</w:t>
            </w:r>
          </w:p>
        </w:tc>
        <w:tc>
          <w:tcPr>
            <w:tcW w:type="dxa" w:w="1728"/>
          </w:tcPr>
          <w:p>
            <w:pPr/>
            <w:r/>
            <w:r>
              <w:rPr/>
            </w:r>
            <w:r>
              <w:rPr>
                <w:b w:val="0"/>
              </w:rPr>
              <w:t>Mata kuliah memanfaatkan hasil penelitian/PkM/proyek/kasus</w:t>
            </w:r>
          </w:p>
        </w:tc>
        <w:tc>
          <w:tcPr>
            <w:tcW w:type="dxa" w:w="1728"/>
          </w:tcPr>
          <w:p>
            <w:pPr/>
            <w:r/>
            <w:r>
              <w:rPr/>
            </w:r>
            <w:r>
              <w:rPr>
                <w:b w:val="0"/>
              </w:rPr>
              <w:t>25%</w:t>
            </w:r>
          </w:p>
        </w:tc>
        <w:tc>
          <w:tcPr>
            <w:tcW w:type="dxa" w:w="1728"/>
          </w:tcPr>
          <w:p>
            <w:pPr/>
            <w:r/>
            <w:r>
              <w:rPr/>
            </w:r>
            <w:r>
              <w:rPr>
                <w:b w:val="0"/>
              </w:rPr>
              <w:t>28%</w:t>
            </w:r>
          </w:p>
        </w:tc>
        <w:tc>
          <w:tcPr>
            <w:tcW w:type="dxa" w:w="1728"/>
          </w:tcPr>
          <w:p>
            <w:pPr/>
            <w:r/>
            <w:r>
              <w:rPr/>
            </w:r>
            <w:r>
              <w:rPr>
                <w:b w:val="0"/>
              </w:rPr>
              <w:t>30%</w:t>
            </w:r>
          </w:p>
        </w:tc>
      </w:tr>
      <w:tr>
        <w:tc>
          <w:tcPr>
            <w:tcW w:type="dxa" w:w="1728"/>
          </w:tcPr>
          <w:p>
            <w:pPr/>
            <w:r/>
            <w:r>
              <w:rPr/>
            </w:r>
            <w:r>
              <w:rPr/>
              <w:t>*8</w:t>
            </w:r>
          </w:p>
        </w:tc>
        <w:tc>
          <w:tcPr>
            <w:tcW w:type="dxa" w:w="1728"/>
          </w:tcPr>
          <w:p>
            <w:pPr/>
            <w:r/>
            <w:r>
              <w:rPr/>
            </w:r>
            <w:r>
              <w:rPr/>
              <w:t>Persentase program studi menerapkan kebijakan kurikulum OBE secara konsisten</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t>*7</w:t>
            </w:r>
          </w:p>
        </w:tc>
        <w:tc>
          <w:tcPr>
            <w:tcW w:type="dxa" w:w="1728"/>
          </w:tcPr>
          <w:p>
            <w:pPr/>
            <w:r/>
            <w:r>
              <w:rPr/>
            </w:r>
            <w:r>
              <w:rPr/>
              <w:t>Ketersediaan kebijakan kriteria kelulusan mahasiswa dan pedoman kedalaman-keluasan materi pembelajaran</w:t>
            </w:r>
          </w:p>
        </w:tc>
        <w:tc>
          <w:tcPr>
            <w:tcW w:type="dxa" w:w="1728"/>
          </w:tcPr>
          <w:p>
            <w:pPr/>
            <w:r/>
            <w:r>
              <w:rPr/>
            </w:r>
            <w:r>
              <w:rPr/>
              <w:t>Tersedia</w:t>
            </w:r>
          </w:p>
        </w:tc>
        <w:tc>
          <w:tcPr>
            <w:tcW w:type="dxa" w:w="1728"/>
          </w:tcPr>
          <w:p>
            <w:pPr/>
            <w:r/>
            <w:r>
              <w:rPr/>
            </w:r>
            <w:r>
              <w:rPr/>
              <w:t>Tersedia</w:t>
            </w:r>
          </w:p>
        </w:tc>
        <w:tc>
          <w:tcPr>
            <w:tcW w:type="dxa" w:w="1728"/>
          </w:tcPr>
          <w:p>
            <w:pPr/>
            <w:r/>
            <w:r>
              <w:rPr/>
            </w:r>
            <w:r>
              <w:rPr/>
              <w:t>Tersedia</w:t>
            </w:r>
          </w:p>
        </w:tc>
      </w:tr>
      <w:tr>
        <w:tc>
          <w:tcPr>
            <w:tcW w:type="dxa" w:w="1728"/>
          </w:tcPr>
          <w:p>
            <w:pPr/>
            <w:r/>
            <w:r>
              <w:rPr/>
            </w:r>
            <w:r>
              <w:rPr/>
              <w:t>*9</w:t>
            </w:r>
          </w:p>
        </w:tc>
        <w:tc>
          <w:tcPr>
            <w:tcW w:type="dxa" w:w="1728"/>
          </w:tcPr>
          <w:p>
            <w:pPr/>
            <w:r/>
            <w:r>
              <w:rPr/>
            </w:r>
            <w:r>
              <w:rPr/>
              <w:t>Pelaksanaan tinjauan rutin RPS 4 langkah (frekuensi/tahun)</w:t>
            </w:r>
          </w:p>
        </w:tc>
        <w:tc>
          <w:tcPr>
            <w:tcW w:type="dxa" w:w="1728"/>
          </w:tcPr>
          <w:p>
            <w:pPr/>
            <w:r/>
            <w:r>
              <w:rPr/>
            </w:r>
            <w:r>
              <w:rPr/>
              <w:t>2 kali</w:t>
            </w:r>
          </w:p>
        </w:tc>
        <w:tc>
          <w:tcPr>
            <w:tcW w:type="dxa" w:w="1728"/>
          </w:tcPr>
          <w:p>
            <w:pPr/>
            <w:r/>
            <w:r>
              <w:rPr/>
            </w:r>
            <w:r>
              <w:rPr/>
              <w:t>2 kali</w:t>
            </w:r>
          </w:p>
        </w:tc>
        <w:tc>
          <w:tcPr>
            <w:tcW w:type="dxa" w:w="1728"/>
          </w:tcPr>
          <w:p>
            <w:pPr/>
            <w:r/>
            <w:r>
              <w:rPr/>
            </w:r>
            <w:r>
              <w:rPr/>
              <w:t>2 kali</w:t>
            </w:r>
          </w:p>
        </w:tc>
      </w:tr>
      <w:tr>
        <w:tc>
          <w:tcPr>
            <w:tcW w:type="dxa" w:w="1728"/>
          </w:tcPr>
          <w:p>
            <w:pPr/>
            <w:r/>
            <w:r>
              <w:rPr/>
            </w:r>
            <w:r>
              <w:rPr/>
              <w:t>*10</w:t>
            </w:r>
          </w:p>
        </w:tc>
        <w:tc>
          <w:tcPr>
            <w:tcW w:type="dxa" w:w="1728"/>
          </w:tcPr>
          <w:p>
            <w:pPr/>
            <w:r/>
            <w:r>
              <w:rPr/>
            </w:r>
            <w:r>
              <w:rPr/>
              <w:t>Persentase program studi memiliki dokumen pemetaan kurikulum terhadap body-of-knowledge internasional (mis. ACM IS 2020)</w:t>
            </w:r>
          </w:p>
        </w:tc>
        <w:tc>
          <w:tcPr>
            <w:tcW w:type="dxa" w:w="1728"/>
          </w:tcPr>
          <w:p>
            <w:pPr/>
            <w:r/>
            <w:r>
              <w:rPr/>
            </w:r>
            <w:r>
              <w:rPr/>
              <w:t>50%</w:t>
            </w:r>
          </w:p>
        </w:tc>
        <w:tc>
          <w:tcPr>
            <w:tcW w:type="dxa" w:w="1728"/>
          </w:tcPr>
          <w:p>
            <w:pPr/>
            <w:r/>
            <w:r>
              <w:rPr/>
            </w:r>
            <w:r>
              <w:rPr/>
              <w:t>75%</w:t>
            </w:r>
          </w:p>
        </w:tc>
        <w:tc>
          <w:tcPr>
            <w:tcW w:type="dxa" w:w="1728"/>
          </w:tcPr>
          <w:p>
            <w:pPr/>
            <w:r/>
            <w:r>
              <w:rPr/>
            </w:r>
            <w:r>
              <w:rPr/>
              <w:t>100%</w:t>
            </w:r>
          </w:p>
        </w:tc>
      </w:tr>
      <w:tr>
        <w:tc>
          <w:tcPr>
            <w:tcW w:type="dxa" w:w="1728"/>
          </w:tcPr>
          <w:p>
            <w:pPr/>
            <w:r/>
            <w:r>
              <w:rPr/>
            </w:r>
            <w:r>
              <w:rPr/>
              <w:t>*11</w:t>
            </w:r>
          </w:p>
        </w:tc>
        <w:tc>
          <w:tcPr>
            <w:tcW w:type="dxa" w:w="1728"/>
          </w:tcPr>
          <w:p>
            <w:pPr/>
            <w:r/>
            <w:r>
              <w:rPr/>
            </w:r>
            <w:r>
              <w:rPr/>
              <w:t>Ketersediaan mata kuliah Capstone Project (3-6 SKS, semester 5-8) pada seluruh program studi</w:t>
            </w:r>
          </w:p>
        </w:tc>
        <w:tc>
          <w:tcPr>
            <w:tcW w:type="dxa" w:w="1728"/>
          </w:tcPr>
          <w:p>
            <w:pPr/>
            <w:r/>
            <w:r>
              <w:rPr/>
            </w:r>
            <w:r>
              <w:rPr/>
              <w:t>80%</w:t>
            </w:r>
          </w:p>
        </w:tc>
        <w:tc>
          <w:tcPr>
            <w:tcW w:type="dxa" w:w="1728"/>
          </w:tcPr>
          <w:p>
            <w:pPr/>
            <w:r/>
            <w:r>
              <w:rPr/>
            </w:r>
            <w:r>
              <w:rPr/>
              <w:t>90%</w:t>
            </w:r>
          </w:p>
        </w:tc>
        <w:tc>
          <w:tcPr>
            <w:tcW w:type="dxa" w:w="1728"/>
          </w:tcPr>
          <w:p>
            <w:pPr/>
            <w:r/>
            <w:r>
              <w:rPr/>
            </w:r>
            <w:r>
              <w:rPr/>
              <w:t>100%</w:t>
            </w:r>
          </w:p>
        </w:tc>
      </w:tr>
      <w:tr>
        <w:tc>
          <w:tcPr>
            <w:tcW w:type="dxa" w:w="1728"/>
          </w:tcPr>
          <w:p>
            <w:pPr/>
            <w:r/>
            <w:r>
              <w:rPr/>
            </w:r>
            <w:r>
              <w:rPr>
                <w:b w:val="0"/>
              </w:rPr>
              <w:t>*6</w:t>
            </w:r>
          </w:p>
        </w:tc>
        <w:tc>
          <w:tcPr>
            <w:tcW w:type="dxa" w:w="1728"/>
          </w:tcPr>
          <w:p>
            <w:pPr/>
            <w:r/>
            <w:r>
              <w:rPr/>
            </w:r>
            <w:r>
              <w:rPr>
                <w:b w:val="0"/>
              </w:rPr>
              <w:t>Pelaksanaan root-cause analysis &amp; SWOT tahunan Standar Isi Pembelajaran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DOSEN DAN TENAGA KEPENDIDIKAN</w:t>
      </w:r>
    </w:p>
    <w:p>
      <w:pPr/>
    </w:p>
    <w:p>
      <w:pPr>
        <w:spacing w:before="200" w:after="100"/>
      </w:pPr>
      <w:r>
        <w:rPr>
          <w:b/>
          <w:sz w:val="25"/>
        </w:rPr>
        <w:t>1. Daftar Istilah</w:t>
      </w:r>
    </w:p>
    <w:p>
      <w:pPr>
        <w:pStyle w:val="ListBullet"/>
        <w:spacing w:after="80"/>
      </w:pPr>
      <w:r>
        <w:rPr/>
        <w:t>Dosen adalah pendidik profesional dan ilmuwan dengan tugas utama mentransformasikan, mengembangkan, dan menyebarluaskan ilmu pengetahuan dan teknologi melalui pendidikan, penelitian, dan pengabdian kepada masyarakat.</w:t>
      </w:r>
    </w:p>
    <w:p>
      <w:pPr>
        <w:pStyle w:val="ListBullet"/>
        <w:spacing w:after="80"/>
      </w:pPr>
      <w:r>
        <w:rPr/>
        <w:t>Dosen Tetap Program Studi (DTPS) adalah dosen tetap Perguruan Tinggi yang mengajar pada program studi yang diakreditasi sesuai kompetensinya, serta melakukan penelitian dan PkM sesuai visi keilmuan program studi (istilah LAM Teknik).</w:t>
      </w:r>
    </w:p>
    <w:p>
      <w:pPr>
        <w:pStyle w:val="ListBullet"/>
        <w:spacing w:after="80"/>
      </w:pPr>
      <w:r>
        <w:rPr/>
        <w:t>Dosen Tetap Penghitung Rasio (DTPR) adalah dosen tetap institusi dengan keahlian bidang informatika dan komputer (ditunjukkan melalui latar belakang pendidikan, sertifikasi keahlian, rekam jejak penelitian, atau publikasi) yang ditugaskan mengajar mata kuliah bidang informatika dan komputer pada program studi yang diakreditasi (istilah Instrumen Akreditasi Program Studi 2.0 LAM INFOKOM, sepadan dengan DTPS).</w:t>
      </w:r>
    </w:p>
    <w:p>
      <w:pPr>
        <w:pStyle w:val="ListBullet"/>
        <w:spacing w:after="80"/>
      </w:pPr>
      <w:r>
        <w:rPr/>
        <w:t>Kualifikasi Akademik adalah ijazah jenjang pendidikan akademik yang harus dimiliki dosen sesuai jenis, jenjang, dan bidang penugasan.</w:t>
      </w:r>
    </w:p>
    <w:p>
      <w:pPr>
        <w:pStyle w:val="ListBullet"/>
        <w:spacing w:after="80"/>
      </w:pPr>
      <w:r>
        <w:rPr/>
        <w:t>Beban Kerja Dosen (BKD) adalah tugas tridharma yang wajib dilaksanakan dosen dengan beban paling sedikit sepadan 12 sks dan paling banyak 16 sks setiap semester, mencakup pendidikan-penelitian (≥9 sks), pengabdian dan penunjang (≥3 sks).</w:t>
      </w:r>
    </w:p>
    <w:p>
      <w:pPr>
        <w:pStyle w:val="ListBullet"/>
        <w:spacing w:after="80"/>
      </w:pPr>
      <w:r>
        <w:rPr/>
        <w:t>Jabatan Akademik Dosen adalah kedudukan yang menunjukkan tugas, tanggung jawab, wewenang, dan hak dosen (Asisten Ahli, Lektor, Lektor Kepala, Guru Besar) dalam suatu perguruan tinggi.</w:t>
      </w:r>
    </w:p>
    <w:p>
      <w:pPr>
        <w:pStyle w:val="ListBullet"/>
        <w:spacing w:after="80"/>
      </w:pPr>
      <w:r>
        <w:rPr/>
        <w:t>Sertifikat Pendidik adalah bukti formal pengakuan yang diberikan kepada dosen sebagai tenaga profesional pendidik.</w:t>
      </w:r>
    </w:p>
    <w:p>
      <w:pPr>
        <w:pStyle w:val="ListBullet"/>
        <w:spacing w:after="80"/>
      </w:pPr>
      <w:r>
        <w:rPr/>
        <w:t>Tenaga Kependidikan adalah anggota masyarakat yang diangkat untuk menunjang penyelenggaraan pendidikan, antara lain pustakawan, tenaga administrasi, laboran, teknisi, dan pranata teknik informasi.</w:t>
      </w:r>
    </w:p>
    <w:p>
      <w:pPr>
        <w:spacing w:before="200" w:after="100"/>
      </w:pPr>
      <w:r>
        <w:rPr>
          <w:b/>
          <w:sz w:val="25"/>
        </w:rPr>
        <w:t>2. Pihak Yang Bertanggung Jawab Untuk Memenuhi Standar</w:t>
      </w:r>
    </w:p>
    <w:p>
      <w:pPr>
        <w:pStyle w:val="ListBullet"/>
        <w:spacing w:after="80"/>
      </w:pPr>
      <w:r>
        <w:rPr/>
        <w:t>Rektor, dalam menetapkan kebijakan pengelolaan SDM dosen dan tenaga kependidikan.</w:t>
      </w:r>
    </w:p>
    <w:p>
      <w:pPr>
        <w:pStyle w:val="ListBullet"/>
        <w:spacing w:after="80"/>
      </w:pPr>
      <w:r>
        <w:rPr/>
        <w:t>Wakil Rektor Bidang Akademik dan Kemahasiswaan, dalam menjamin kecukupan dan kualifikasi DTPS/DTPR.</w:t>
      </w:r>
    </w:p>
    <w:p>
      <w:pPr>
        <w:pStyle w:val="ListBullet"/>
        <w:spacing w:after="80"/>
      </w:pPr>
      <w:r>
        <w:rPr/>
        <w:t>Direktorat Sumber Daya Manusia, dalam pengembangan karier, sertifikasi, dan studi lanjut dosen.</w:t>
      </w:r>
    </w:p>
    <w:p>
      <w:pPr>
        <w:pStyle w:val="ListBullet"/>
        <w:spacing w:after="80"/>
      </w:pPr>
      <w:r>
        <w:rPr/>
        <w:t>Dekan FTII, dalam pemantauan beban kerja dan kinerja tridharma dosen tingkat program studi.</w:t>
      </w:r>
    </w:p>
    <w:p>
      <w:pPr>
        <w:pStyle w:val="ListBullet"/>
        <w:spacing w:after="80"/>
      </w:pPr>
      <w:r>
        <w:rPr/>
        <w:t>Ketua Program Studi, dalam verifikasi rasio dosen:mahasiswa dan kinerja DTPS/DTPR per program studi.</w:t>
      </w:r>
    </w:p>
    <w:p>
      <w:pPr>
        <w:pStyle w:val="ListBullet"/>
        <w:spacing w:after="80"/>
      </w:pPr>
      <w:r>
        <w:rPr/>
        <w:t>Gugus Kendali Mutu (GKM) Program Studi, dalam validasi data kualifikasi dan kinerja dosen setiap semester.</w:t>
      </w:r>
    </w:p>
    <w:p>
      <w:pPr>
        <w:spacing w:before="200" w:after="100"/>
      </w:pPr>
      <w:r>
        <w:rPr>
          <w:b/>
          <w:sz w:val="25"/>
        </w:rPr>
        <w:t>3. Pernyataan Isi Standar Dosen dan Tenaga Kependidikan</w:t>
      </w:r>
    </w:p>
    <w:p>
      <w:pPr>
        <w:pStyle w:val="ListNumber"/>
        <w:spacing w:after="120"/>
      </w:pPr>
      <w:r>
        <w:rPr/>
        <w:t>Program Studi Teknik Informatika wajib menjaga rasio dosen tetap program studi terhadap mahasiswa pada rentang ideal 1:20 sampai dengan 1:25, sesuai ambang skor sempurna LAM Teknik (rasio mahasiswa:dosen 15-25) dan ambang rumpun sains-teknologi LAM INFOKOM (maksimal 1:23-1:25).</w:t>
      </w:r>
    </w:p>
    <w:p>
      <w:pPr>
        <w:pStyle w:val="ListNumber"/>
        <w:spacing w:after="120"/>
      </w:pPr>
      <w:r>
        <w:rPr/>
        <w:t>Program Studi Teknik Informatika wajib memastikan jumlah dosen tetap program studi (NDTPS/DTPR) paling sedikit 12 orang per program studi dengan kualifikasi dan kompetensi sesuai bidang keilmuan informatika dan komputer.</w:t>
      </w:r>
    </w:p>
    <w:p>
      <w:pPr>
        <w:pStyle w:val="ListNumber"/>
        <w:spacing w:after="120"/>
      </w:pPr>
      <w:r>
        <w:rPr/>
        <w:t>Program Studi Teknik Informatika wajib meningkatkan persentase dosen tetap bergelar Doktor menuju paling sedikit 40% dalam jangka menengah dan paling sedikit 50% dalam jangka panjang, sesuai ambang skor sempurna LAM Teknik (≥50%) dan ambang minimal praktik baik SPMI perguruan tinggi sejenis (&gt;40%).</w:t>
      </w:r>
    </w:p>
    <w:p>
      <w:pPr>
        <w:pStyle w:val="ListNumber"/>
        <w:spacing w:after="120"/>
      </w:pPr>
      <w:r>
        <w:rPr/>
        <w:t>Program Studi Teknik Informatika wajib meningkatkan persentase dosen tetap dengan jabatan fungsional Guru Besar dan Lektor Kepala (GB+LK) menuju paling sedikit 40%, sesuai ambang praktik baik SPMI perguruan tinggi sejenis; ambang ini diakui masih di bawah skor sempurna LAM Teknik (PGBLKL ≥70%) mengingat profil kepangkatan dosen FTII saat ini, dikompensasi oleh capaian yang setara/melampaui pada indikator kualifikasi Doktor, sertifikasi, dan kinerja publikasi, serta akan ditinjau untuk elevasi lebih lanjut pada siklus Renstra berikutnya.</w:t>
      </w:r>
    </w:p>
    <w:p>
      <w:pPr>
        <w:pStyle w:val="ListNumber"/>
        <w:spacing w:after="120"/>
      </w:pPr>
      <w:r>
        <w:rPr/>
        <w:t>Program Studi Teknik Informatika wajib menjaga persentase dosen tetap bersertifikat pendidik paling sedikit 90%, melampaui ambang skor sempurna LAM Teknik dan praktik baik SPMI perguruan tinggi sejenis (masing-masing ≥80%).</w:t>
      </w:r>
    </w:p>
    <w:p>
      <w:pPr>
        <w:pStyle w:val="ListNumber"/>
        <w:spacing w:after="120"/>
      </w:pPr>
      <w:r>
        <w:rPr/>
        <w:t>*Program Studi Teknik Informatika wajib meningkatkan persentase dosen tetap yang memiliki sertifikat kompetensi/profesi/industri (di luar sertifikat pendidik) paling sedikit 20% pada tahun pertama, meningkat menuju paling sedikit 40% pada akhir siklus Renstra, sesuai ambang deskriptor LAM Teknik yang membedakan sertifikasi pendidik dengan sertifikasi kompetensi/profesi/industri.</w:t>
      </w:r>
    </w:p>
    <w:p>
      <w:pPr>
        <w:pStyle w:val="ListNumber"/>
        <w:spacing w:after="120"/>
      </w:pPr>
      <w:r>
        <w:rPr/>
        <w:t>*Program Studi Teknik Informatika wajib melibatkan dosen industri/praktisi untuk mengampu paling sedikit 10% mata kuliah kompetensi setiap program studi, meningkat menuju paling sedikit 20% pada akhir siklus Renstra.</w:t>
      </w:r>
    </w:p>
    <w:p>
      <w:pPr>
        <w:pStyle w:val="ListNumber"/>
        <w:spacing w:after="120"/>
      </w:pPr>
      <w:r>
        <w:rPr/>
        <w:t>Program Studi Teknik Informatika wajib menjamin dana penelitian per dosen paling sedikit Rp10.000.000/tahun dan dana pengabdian kepada masyarakat per dosen paling sedikit Rp5.000.000/tahun, sesuai ambang skor sempurna Panduan SPMI Program Sarjana dan LAM Teknik.</w:t>
      </w:r>
    </w:p>
    <w:p>
      <w:pPr>
        <w:pStyle w:val="ListNumber"/>
        <w:spacing w:after="120"/>
      </w:pPr>
      <w:r>
        <w:rPr/>
        <w:t>Program Studi Teknik Informatika wajib menjamin paling sedikit 90% dosen tetap aktif melaksanakan penelitian, pengabdian kepada masyarakat, dan publikasi ilmiah setiap tahun, serta paling sedikit 35% dosen memperoleh rekognisi/pengakuan nasional maupun internasional pada tahun pertama, meningkat menuju paling sedikit 50% pada akhir siklus Renstra, sesuai ambang skor sempurna LAM Teknik (PRDTPS ≥50%).</w:t>
      </w:r>
    </w:p>
    <w:p>
      <w:pPr>
        <w:pStyle w:val="ListNumber"/>
        <w:spacing w:after="120"/>
      </w:pPr>
      <w:r>
        <w:rPr/>
        <w:t>*Program Studi Teknik Informatika wajib mendorong dan mendokumentasikan produk atau jasa hasil karya dosen yang diadopsi oleh industri dan/atau masyarakat, dengan target paling sedikit 2 (dua) produk/jasa per tahun pada tingkat program studi, meningkat menuju paling sedikit 4 (empat) per tahun pada akhir siklus Renstra, dibuktikan surat keterangan adopsi/pemanfaatan.</w:t>
      </w:r>
    </w:p>
    <w:p>
      <w:pPr>
        <w:pStyle w:val="ListNumber"/>
        <w:spacing w:after="120"/>
      </w:pPr>
      <w:r>
        <w:rPr/>
        <w:t>*Program Studi Teknik Informatika wajib meningkatkan jumlah karya ilmiah dosen yang disitasi pada basis data pengindeks internasional (Scopus/Web of Science/Google Scholar) paling sedikit 3 sitasi per dosen aktif publikasi per tahun pada tahun pertama, meningkat menuju paling sedikit 5 sitasi per dosen per tahun pada akhir siklus Renstra.</w:t>
      </w:r>
    </w:p>
    <w:p>
      <w:pPr>
        <w:pStyle w:val="ListNumber"/>
        <w:spacing w:after="120"/>
      </w:pPr>
      <w:r>
        <w:rPr/>
        <w:t>Program Studi Teknik Informatika wajib menjamin kualifikasi pendidikan tenaga kependidikan minimal D3/sederajat untuk tenaga administrasi dan minimal D3 dengan sertifikat kompetensi untuk tenaga fungsional (laboran, pustakawan, teknisi).</w:t>
      </w:r>
    </w:p>
    <w:p>
      <w:pPr>
        <w:pStyle w:val="ListNumber"/>
        <w:spacing w:after="120"/>
      </w:pPr>
      <w:r>
        <w:rPr/>
        <w:t>*Program Studi Teknik Informatika wajib memantau dan mendokumentasikan pemenuhan Beban Kerja Dosen (BKD) setiap semester sesuai ketentuan 12-16 sks per dosen, mencakup unsur pendidikan-penelitian (paling sedikit 9 sks) dan pengabdian-penunjang (paling sedikit 3 sks), dilaporkan melalui Laporan Kinerja Dosen (LKD).</w:t>
      </w:r>
    </w:p>
    <w:p>
      <w:pPr>
        <w:pStyle w:val="ListNumber"/>
        <w:spacing w:after="120"/>
      </w:pPr>
      <w:r>
        <w:rPr/>
        <w:t>*Program Studi Teknik Informatika wajib meningkatkan persentase DTPS yang menjadi penulis utama dan/atau penulis korespondensi pada publikasi jurnal internasional bereputasi, paling sedikit 30% pada tahun pertama, meningkat menuju paling sedikit 50% pada akhir siklus Renstra, sesuai ambang skor sempurna LAM Teknik (PKDTPS ≥50%).</w:t>
      </w:r>
    </w:p>
    <w:p>
      <w:pPr>
        <w:spacing w:before="200" w:after="100"/>
      </w:pPr>
      <w:r>
        <w:rPr>
          <w:b/>
          <w:sz w:val="25"/>
        </w:rPr>
        <w:t>4. Strategi Pencapaian Standar</w:t>
      </w:r>
    </w:p>
    <w:p>
      <w:pPr>
        <w:pStyle w:val="ListNumber"/>
        <w:spacing w:after="120"/>
      </w:pPr>
      <w:r>
        <w:rPr/>
        <w:t>Wakil Rektor Bidang Akademik dan Kemahasiswaan bersama fakultas menyusun rencana kebutuhan dosen berbasis rasio ideal 1:20-1:25, memprioritaskan rekrutmen pada program studi dengan rasio di luar rentang tersebut.</w:t>
      </w:r>
    </w:p>
    <w:p>
      <w:pPr>
        <w:pStyle w:val="ListNumber"/>
        <w:spacing w:after="120"/>
      </w:pPr>
      <w:r>
        <w:rPr/>
        <w:t>Fakultas menyusun dan melaksanakan roadmap percepatan studi lanjut S3 dosen untuk mencapai target 40% (2024/25) hingga 50% (2026/27) dosen bergelar Doktor.</w:t>
      </w:r>
    </w:p>
    <w:p>
      <w:pPr>
        <w:pStyle w:val="ListNumber"/>
        <w:spacing w:after="120"/>
      </w:pPr>
      <w:r>
        <w:rPr/>
        <w:t>Fakultas memberikan insentif dan pendampingan percepatan kenaikan jabatan fungsional menuju Lektor Kepala dan Guru Besar, ditargetkan mencapai 40% dosen berjabatan GB+LK pada 2026/27.</w:t>
      </w:r>
    </w:p>
    <w:p>
      <w:pPr>
        <w:pStyle w:val="ListNumber"/>
        <w:spacing w:after="120"/>
      </w:pPr>
      <w:r>
        <w:rPr/>
        <w:t>Fakultas mendorong seluruh dosen menyelesaikan sertifikasi pendidik (serdos) dan memfasilitasi sertifikasi kompetensi/profesi/industri melalui kerja sama dengan lembaga sertifikasi dan asosiasi profesi.</w:t>
      </w:r>
    </w:p>
    <w:p>
      <w:pPr>
        <w:pStyle w:val="ListNumber"/>
        <w:spacing w:after="120"/>
      </w:pPr>
      <w:r>
        <w:rPr/>
        <w:t>Ketua Program Studi menjalin kerja sama dengan DUDIKA untuk penugasan dosen industri/praktisi mengampu mata kuliah kompetensi, mengikuti pedoman dosen praktisi Kemendikbudristek.</w:t>
      </w:r>
    </w:p>
    <w:p>
      <w:pPr>
        <w:pStyle w:val="ListNumber"/>
        <w:spacing w:after="120"/>
      </w:pPr>
      <w:r>
        <w:rPr/>
        <w:t>DPPMP menyediakan skema hibah penelitian dan PkM internal yang menjamin dana penelitian minimal Rp10 juta/dosen/tahun dan dana PkM minimal Rp5 juta/dosen/tahun, dilengkapi pendampingan hibah eksternal.</w:t>
      </w:r>
    </w:p>
    <w:p>
      <w:pPr>
        <w:pStyle w:val="ListNumber"/>
        <w:spacing w:after="120"/>
      </w:pPr>
      <w:r>
        <w:rPr/>
        <w:t>Direktorat Sumber Daya Manusia bersama Fakultas memfasilitasi dosen memperoleh rekognisi/pengakuan nasional maupun internasional (keynote/invited speaker, editor/mitra bestari jurnal, visiting scholar/lecturer, penghargaan kompetisi ilmiah) melalui pendampingan pengajuan dan pendanaan partisipasi forum ilmiah.</w:t>
      </w:r>
    </w:p>
    <w:p>
      <w:pPr>
        <w:pStyle w:val="ListNumber"/>
        <w:spacing w:after="120"/>
      </w:pPr>
      <w:r>
        <w:rPr/>
        <w:t>Fakultas memantau dan menindaklanjuti dosen yang belum aktif penelitian, PkM, atau publikasi ilmiah melalui pembinaan individual dan target kinerja tahunan dalam Laporan Kinerja Dosen (LKD).</w:t>
      </w:r>
    </w:p>
    <w:p>
      <w:pPr>
        <w:pStyle w:val="ListNumber"/>
        <w:spacing w:after="120"/>
      </w:pPr>
      <w:r>
        <w:rPr/>
        <w:t>Ketua Program Studi memfasilitasi hilirisasi hasil penelitian/PkM dosen berpotensi diadopsi industri, berkoordinasi dengan unit kerja sama fakultas untuk memperoleh bukti adopsi.</w:t>
      </w:r>
    </w:p>
    <w:p>
      <w:pPr>
        <w:pStyle w:val="ListNumber"/>
        <w:spacing w:after="120"/>
      </w:pPr>
      <w:r>
        <w:rPr/>
        <w:t>Fakultas mendorong dosen mempublikasikan pada jurnal/prosiding terindeks bereputasi dan aktif melakukan sitasi-silang untuk meningkatkan jumlah sitasi karya ilmiah pada basis data pengindeks internasional.</w:t>
      </w:r>
    </w:p>
    <w:p>
      <w:pPr>
        <w:pStyle w:val="ListNumber"/>
        <w:spacing w:after="120"/>
      </w:pPr>
      <w:r>
        <w:rPr/>
        <w:t>Direktorat Sumber Daya Manusia bersama Fakultas memfasilitasi sertifikasi kompetensi bagi tenaga fungsional (laboran, pustakawan, teknisi) melalui kerja sama dengan lembaga sertifikasi profesi, guna memenuhi persyaratan minimal D3 dengan sertifikat kompetensi.</w:t>
      </w:r>
    </w:p>
    <w:p>
      <w:pPr>
        <w:pStyle w:val="ListNumber"/>
        <w:spacing w:after="120"/>
      </w:pPr>
      <w:r>
        <w:rPr/>
        <w:t>Universitas dan fakultas menjamin kualifikasi minimal D3/sederajat bagi seluruh tenaga administrasi baru serta mendorong sertifikasi kompetensi bagi tenaga fungsional.</w:t>
      </w:r>
    </w:p>
    <w:p>
      <w:pPr>
        <w:pStyle w:val="ListNumber"/>
        <w:spacing w:after="120"/>
      </w:pPr>
      <w:r>
        <w:rPr/>
        <w:t>Ketua Program Studi bersama dosen memantau dan melaporkan pemenuhan Beban Kerja Dosen (BKD) setiap semester melalui sistem informasi akademik, diverifikasi oleh GKM Program Studi.</w:t>
      </w:r>
    </w:p>
    <w:p>
      <w:pPr>
        <w:pStyle w:val="ListNumber"/>
        <w:spacing w:after="120"/>
      </w:pPr>
      <w:r>
        <w:rPr/>
        <w:t>Fakultas mendorong dan mendampingi dosen menjadi penulis utama/korespondensi pada publikasi jurnal internasional bereputasi melalui pelatihan penulisan ilmiah dan insentif publikasi, dipantau oleh Direktorat Sumber Daya Manusia setiap tahun.</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Rasio dosen tetap : mahasiswa</w:t>
            </w:r>
          </w:p>
        </w:tc>
        <w:tc>
          <w:tcPr>
            <w:tcW w:type="dxa" w:w="1728"/>
          </w:tcPr>
          <w:p>
            <w:pPr/>
            <w:r/>
            <w:r>
              <w:rPr/>
            </w:r>
            <w:r>
              <w:rPr>
                <w:b w:val="0"/>
              </w:rPr>
              <w:t>1:20</w:t>
            </w:r>
          </w:p>
        </w:tc>
        <w:tc>
          <w:tcPr>
            <w:tcW w:type="dxa" w:w="1728"/>
          </w:tcPr>
          <w:p>
            <w:pPr/>
            <w:r/>
            <w:r>
              <w:rPr/>
            </w:r>
            <w:r>
              <w:rPr>
                <w:b w:val="0"/>
              </w:rPr>
              <w:t>1:22</w:t>
            </w:r>
          </w:p>
        </w:tc>
        <w:tc>
          <w:tcPr>
            <w:tcW w:type="dxa" w:w="1728"/>
          </w:tcPr>
          <w:p>
            <w:pPr/>
            <w:r/>
            <w:r>
              <w:rPr/>
            </w:r>
            <w:r>
              <w:rPr>
                <w:b w:val="0"/>
              </w:rPr>
              <w:t>1:23</w:t>
            </w:r>
          </w:p>
        </w:tc>
      </w:tr>
      <w:tr>
        <w:tc>
          <w:tcPr>
            <w:tcW w:type="dxa" w:w="1728"/>
          </w:tcPr>
          <w:p>
            <w:pPr/>
            <w:r/>
            <w:r>
              <w:rPr/>
            </w:r>
            <w:r>
              <w:rPr>
                <w:b w:val="0"/>
              </w:rPr>
              <w:t>2</w:t>
            </w:r>
          </w:p>
        </w:tc>
        <w:tc>
          <w:tcPr>
            <w:tcW w:type="dxa" w:w="1728"/>
          </w:tcPr>
          <w:p>
            <w:pPr/>
            <w:r/>
            <w:r>
              <w:rPr/>
            </w:r>
            <w:r>
              <w:rPr>
                <w:b w:val="0"/>
              </w:rPr>
              <w:t>Jumlah dosen tetap program studi (NDTPS/DTPR)</w:t>
            </w:r>
          </w:p>
        </w:tc>
        <w:tc>
          <w:tcPr>
            <w:tcW w:type="dxa" w:w="1728"/>
          </w:tcPr>
          <w:p>
            <w:pPr/>
            <w:r/>
            <w:r>
              <w:rPr/>
            </w:r>
            <w:r>
              <w:rPr>
                <w:b w:val="0"/>
              </w:rPr>
              <w:t>≥12</w:t>
            </w:r>
          </w:p>
        </w:tc>
        <w:tc>
          <w:tcPr>
            <w:tcW w:type="dxa" w:w="1728"/>
          </w:tcPr>
          <w:p>
            <w:pPr/>
            <w:r/>
            <w:r>
              <w:rPr/>
            </w:r>
            <w:r>
              <w:rPr>
                <w:b w:val="0"/>
              </w:rPr>
              <w:t>≥12</w:t>
            </w:r>
          </w:p>
        </w:tc>
        <w:tc>
          <w:tcPr>
            <w:tcW w:type="dxa" w:w="1728"/>
          </w:tcPr>
          <w:p>
            <w:pPr/>
            <w:r/>
            <w:r>
              <w:rPr/>
            </w:r>
            <w:r>
              <w:rPr>
                <w:b w:val="0"/>
              </w:rPr>
              <w:t>≥12</w:t>
            </w:r>
          </w:p>
        </w:tc>
      </w:tr>
      <w:tr>
        <w:tc>
          <w:tcPr>
            <w:tcW w:type="dxa" w:w="1728"/>
          </w:tcPr>
          <w:p>
            <w:pPr/>
            <w:r/>
            <w:r>
              <w:rPr/>
            </w:r>
            <w:r>
              <w:rPr>
                <w:b w:val="0"/>
              </w:rPr>
              <w:t>3</w:t>
            </w:r>
          </w:p>
        </w:tc>
        <w:tc>
          <w:tcPr>
            <w:tcW w:type="dxa" w:w="1728"/>
          </w:tcPr>
          <w:p>
            <w:pPr/>
            <w:r/>
            <w:r>
              <w:rPr/>
            </w:r>
            <w:r>
              <w:rPr>
                <w:b w:val="0"/>
              </w:rPr>
              <w:t>Persentase dosen tetap bergelar Doktor</w:t>
            </w:r>
          </w:p>
        </w:tc>
        <w:tc>
          <w:tcPr>
            <w:tcW w:type="dxa" w:w="1728"/>
          </w:tcPr>
          <w:p>
            <w:pPr/>
            <w:r/>
            <w:r>
              <w:rPr/>
            </w:r>
            <w:r>
              <w:rPr>
                <w:b w:val="0"/>
              </w:rPr>
              <w:t>40%</w:t>
            </w:r>
          </w:p>
        </w:tc>
        <w:tc>
          <w:tcPr>
            <w:tcW w:type="dxa" w:w="1728"/>
          </w:tcPr>
          <w:p>
            <w:pPr/>
            <w:r/>
            <w:r>
              <w:rPr/>
            </w:r>
            <w:r>
              <w:rPr>
                <w:b w:val="0"/>
              </w:rPr>
              <w:t>45%</w:t>
            </w:r>
          </w:p>
        </w:tc>
        <w:tc>
          <w:tcPr>
            <w:tcW w:type="dxa" w:w="1728"/>
          </w:tcPr>
          <w:p>
            <w:pPr/>
            <w:r/>
            <w:r>
              <w:rPr/>
            </w:r>
            <w:r>
              <w:rPr>
                <w:b w:val="0"/>
              </w:rPr>
              <w:t>50%</w:t>
            </w:r>
          </w:p>
        </w:tc>
      </w:tr>
      <w:tr>
        <w:tc>
          <w:tcPr>
            <w:tcW w:type="dxa" w:w="1728"/>
          </w:tcPr>
          <w:p>
            <w:pPr/>
            <w:r/>
            <w:r>
              <w:rPr/>
            </w:r>
            <w:r>
              <w:rPr>
                <w:b w:val="0"/>
              </w:rPr>
              <w:t>4</w:t>
            </w:r>
          </w:p>
        </w:tc>
        <w:tc>
          <w:tcPr>
            <w:tcW w:type="dxa" w:w="1728"/>
          </w:tcPr>
          <w:p>
            <w:pPr/>
            <w:r/>
            <w:r>
              <w:rPr/>
            </w:r>
            <w:r>
              <w:rPr>
                <w:b w:val="0"/>
              </w:rPr>
              <w:t>Persentase dosen jabatan fungsional GB+LK</w:t>
            </w:r>
          </w:p>
        </w:tc>
        <w:tc>
          <w:tcPr>
            <w:tcW w:type="dxa" w:w="1728"/>
          </w:tcPr>
          <w:p>
            <w:pPr/>
            <w:r/>
            <w:r>
              <w:rPr/>
            </w:r>
            <w:r>
              <w:rPr>
                <w:b w:val="0"/>
              </w:rPr>
              <w:t>32%</w:t>
            </w:r>
          </w:p>
        </w:tc>
        <w:tc>
          <w:tcPr>
            <w:tcW w:type="dxa" w:w="1728"/>
          </w:tcPr>
          <w:p>
            <w:pPr/>
            <w:r/>
            <w:r>
              <w:rPr/>
            </w:r>
            <w:r>
              <w:rPr>
                <w:b w:val="0"/>
              </w:rPr>
              <w:t>36%</w:t>
            </w:r>
          </w:p>
        </w:tc>
        <w:tc>
          <w:tcPr>
            <w:tcW w:type="dxa" w:w="1728"/>
          </w:tcPr>
          <w:p>
            <w:pPr/>
            <w:r/>
            <w:r>
              <w:rPr/>
            </w:r>
            <w:r>
              <w:rPr>
                <w:b w:val="0"/>
              </w:rPr>
              <w:t>40%</w:t>
            </w:r>
          </w:p>
        </w:tc>
      </w:tr>
      <w:tr>
        <w:tc>
          <w:tcPr>
            <w:tcW w:type="dxa" w:w="1728"/>
          </w:tcPr>
          <w:p>
            <w:pPr/>
            <w:r/>
            <w:r>
              <w:rPr/>
            </w:r>
            <w:r>
              <w:rPr>
                <w:b w:val="0"/>
              </w:rPr>
              <w:t>5</w:t>
            </w:r>
          </w:p>
        </w:tc>
        <w:tc>
          <w:tcPr>
            <w:tcW w:type="dxa" w:w="1728"/>
          </w:tcPr>
          <w:p>
            <w:pPr/>
            <w:r/>
            <w:r>
              <w:rPr/>
            </w:r>
            <w:r>
              <w:rPr>
                <w:b w:val="0"/>
              </w:rPr>
              <w:t>Persentase dosen bersertifikat pendidik</w:t>
            </w:r>
          </w:p>
        </w:tc>
        <w:tc>
          <w:tcPr>
            <w:tcW w:type="dxa" w:w="1728"/>
          </w:tcPr>
          <w:p>
            <w:pPr/>
            <w:r/>
            <w:r>
              <w:rPr/>
            </w:r>
            <w:r>
              <w:rPr>
                <w:b w:val="0"/>
              </w:rPr>
              <w:t>90%</w:t>
            </w:r>
          </w:p>
        </w:tc>
        <w:tc>
          <w:tcPr>
            <w:tcW w:type="dxa" w:w="1728"/>
          </w:tcPr>
          <w:p>
            <w:pPr/>
            <w:r/>
            <w:r>
              <w:rPr/>
            </w:r>
            <w:r>
              <w:rPr>
                <w:b w:val="0"/>
              </w:rPr>
              <w:t>92%</w:t>
            </w:r>
          </w:p>
        </w:tc>
        <w:tc>
          <w:tcPr>
            <w:tcW w:type="dxa" w:w="1728"/>
          </w:tcPr>
          <w:p>
            <w:pPr/>
            <w:r/>
            <w:r>
              <w:rPr/>
            </w:r>
            <w:r>
              <w:rPr>
                <w:b w:val="0"/>
              </w:rPr>
              <w:t>95%</w:t>
            </w:r>
          </w:p>
        </w:tc>
      </w:tr>
      <w:tr>
        <w:tc>
          <w:tcPr>
            <w:tcW w:type="dxa" w:w="1728"/>
          </w:tcPr>
          <w:p>
            <w:pPr/>
            <w:r/>
            <w:r>
              <w:rPr/>
            </w:r>
            <w:r>
              <w:rPr>
                <w:b w:val="0"/>
              </w:rPr>
              <w:t>*6</w:t>
            </w:r>
          </w:p>
        </w:tc>
        <w:tc>
          <w:tcPr>
            <w:tcW w:type="dxa" w:w="1728"/>
          </w:tcPr>
          <w:p>
            <w:pPr/>
            <w:r/>
            <w:r>
              <w:rPr/>
            </w:r>
            <w:r>
              <w:rPr>
                <w:b w:val="0"/>
              </w:rPr>
              <w:t>Persentase dosen bersertifikat kompetensi/profesi/industri</w:t>
            </w:r>
          </w:p>
        </w:tc>
        <w:tc>
          <w:tcPr>
            <w:tcW w:type="dxa" w:w="1728"/>
          </w:tcPr>
          <w:p>
            <w:pPr/>
            <w:r/>
            <w:r>
              <w:rPr/>
            </w:r>
            <w:r>
              <w:rPr>
                <w:b w:val="0"/>
              </w:rPr>
              <w:t>20%</w:t>
            </w:r>
          </w:p>
        </w:tc>
        <w:tc>
          <w:tcPr>
            <w:tcW w:type="dxa" w:w="1728"/>
          </w:tcPr>
          <w:p>
            <w:pPr/>
            <w:r/>
            <w:r>
              <w:rPr/>
            </w:r>
            <w:r>
              <w:rPr>
                <w:b w:val="0"/>
              </w:rPr>
              <w:t>30%</w:t>
            </w:r>
          </w:p>
        </w:tc>
        <w:tc>
          <w:tcPr>
            <w:tcW w:type="dxa" w:w="1728"/>
          </w:tcPr>
          <w:p>
            <w:pPr/>
            <w:r/>
            <w:r>
              <w:rPr/>
            </w:r>
            <w:r>
              <w:rPr>
                <w:b w:val="0"/>
              </w:rPr>
              <w:t>40%</w:t>
            </w:r>
          </w:p>
        </w:tc>
      </w:tr>
      <w:tr>
        <w:tc>
          <w:tcPr>
            <w:tcW w:type="dxa" w:w="1728"/>
          </w:tcPr>
          <w:p>
            <w:pPr/>
            <w:r/>
            <w:r>
              <w:rPr/>
            </w:r>
            <w:r>
              <w:rPr>
                <w:b w:val="0"/>
              </w:rPr>
              <w:t>*7</w:t>
            </w:r>
          </w:p>
        </w:tc>
        <w:tc>
          <w:tcPr>
            <w:tcW w:type="dxa" w:w="1728"/>
          </w:tcPr>
          <w:p>
            <w:pPr/>
            <w:r/>
            <w:r>
              <w:rPr/>
            </w:r>
            <w:r>
              <w:rPr>
                <w:b w:val="0"/>
              </w:rPr>
              <w:t>Persentase mata kuliah kompetensi diampu dosen industri/praktisi</w:t>
            </w:r>
          </w:p>
        </w:tc>
        <w:tc>
          <w:tcPr>
            <w:tcW w:type="dxa" w:w="1728"/>
          </w:tcPr>
          <w:p>
            <w:pPr/>
            <w:r/>
            <w:r>
              <w:rPr/>
            </w:r>
            <w:r>
              <w:rPr>
                <w:b w:val="0"/>
              </w:rPr>
              <w:t>10%</w:t>
            </w:r>
          </w:p>
        </w:tc>
        <w:tc>
          <w:tcPr>
            <w:tcW w:type="dxa" w:w="1728"/>
          </w:tcPr>
          <w:p>
            <w:pPr/>
            <w:r/>
            <w:r>
              <w:rPr/>
            </w:r>
            <w:r>
              <w:rPr>
                <w:b w:val="0"/>
              </w:rPr>
              <w:t>15%</w:t>
            </w:r>
          </w:p>
        </w:tc>
        <w:tc>
          <w:tcPr>
            <w:tcW w:type="dxa" w:w="1728"/>
          </w:tcPr>
          <w:p>
            <w:pPr/>
            <w:r/>
            <w:r>
              <w:rPr/>
            </w:r>
            <w:r>
              <w:rPr>
                <w:b w:val="0"/>
              </w:rPr>
              <w:t>20%</w:t>
            </w:r>
          </w:p>
        </w:tc>
      </w:tr>
      <w:tr>
        <w:tc>
          <w:tcPr>
            <w:tcW w:type="dxa" w:w="1728"/>
          </w:tcPr>
          <w:p>
            <w:pPr/>
            <w:r/>
            <w:r>
              <w:rPr/>
            </w:r>
            <w:r>
              <w:rPr>
                <w:b w:val="0"/>
              </w:rPr>
              <w:t>8</w:t>
            </w:r>
          </w:p>
        </w:tc>
        <w:tc>
          <w:tcPr>
            <w:tcW w:type="dxa" w:w="1728"/>
          </w:tcPr>
          <w:p>
            <w:pPr/>
            <w:r/>
            <w:r>
              <w:rPr/>
            </w:r>
            <w:r>
              <w:rPr>
                <w:b w:val="0"/>
              </w:rPr>
              <w:t>Dana penelitian per dosen per tahun</w:t>
            </w:r>
          </w:p>
        </w:tc>
        <w:tc>
          <w:tcPr>
            <w:tcW w:type="dxa" w:w="1728"/>
          </w:tcPr>
          <w:p>
            <w:pPr/>
            <w:r/>
            <w:r>
              <w:rPr/>
            </w:r>
            <w:r>
              <w:rPr>
                <w:b w:val="0"/>
              </w:rPr>
              <w:t>Rp10 juta</w:t>
            </w:r>
          </w:p>
        </w:tc>
        <w:tc>
          <w:tcPr>
            <w:tcW w:type="dxa" w:w="1728"/>
          </w:tcPr>
          <w:p>
            <w:pPr/>
            <w:r/>
            <w:r>
              <w:rPr/>
            </w:r>
            <w:r>
              <w:rPr>
                <w:b w:val="0"/>
              </w:rPr>
              <w:t>Rp12 juta</w:t>
            </w:r>
          </w:p>
        </w:tc>
        <w:tc>
          <w:tcPr>
            <w:tcW w:type="dxa" w:w="1728"/>
          </w:tcPr>
          <w:p>
            <w:pPr/>
            <w:r/>
            <w:r>
              <w:rPr/>
            </w:r>
            <w:r>
              <w:rPr>
                <w:b w:val="0"/>
              </w:rPr>
              <w:t>Rp15 juta</w:t>
            </w:r>
          </w:p>
        </w:tc>
      </w:tr>
      <w:tr>
        <w:tc>
          <w:tcPr>
            <w:tcW w:type="dxa" w:w="1728"/>
          </w:tcPr>
          <w:p>
            <w:pPr/>
            <w:r/>
            <w:r>
              <w:rPr/>
            </w:r>
            <w:r>
              <w:rPr>
                <w:b w:val="0"/>
              </w:rPr>
              <w:t>9</w:t>
            </w:r>
          </w:p>
        </w:tc>
        <w:tc>
          <w:tcPr>
            <w:tcW w:type="dxa" w:w="1728"/>
          </w:tcPr>
          <w:p>
            <w:pPr/>
            <w:r/>
            <w:r>
              <w:rPr/>
            </w:r>
            <w:r>
              <w:rPr>
                <w:b w:val="0"/>
              </w:rPr>
              <w:t>Dana PkM per dosen per tahun</w:t>
            </w:r>
          </w:p>
        </w:tc>
        <w:tc>
          <w:tcPr>
            <w:tcW w:type="dxa" w:w="1728"/>
          </w:tcPr>
          <w:p>
            <w:pPr/>
            <w:r/>
            <w:r>
              <w:rPr/>
            </w:r>
            <w:r>
              <w:rPr>
                <w:b w:val="0"/>
              </w:rPr>
              <w:t>Rp5 juta</w:t>
            </w:r>
          </w:p>
        </w:tc>
        <w:tc>
          <w:tcPr>
            <w:tcW w:type="dxa" w:w="1728"/>
          </w:tcPr>
          <w:p>
            <w:pPr/>
            <w:r/>
            <w:r>
              <w:rPr/>
            </w:r>
            <w:r>
              <w:rPr>
                <w:b w:val="0"/>
              </w:rPr>
              <w:t>Rp6 juta</w:t>
            </w:r>
          </w:p>
        </w:tc>
        <w:tc>
          <w:tcPr>
            <w:tcW w:type="dxa" w:w="1728"/>
          </w:tcPr>
          <w:p>
            <w:pPr/>
            <w:r/>
            <w:r>
              <w:rPr/>
            </w:r>
            <w:r>
              <w:rPr>
                <w:b w:val="0"/>
              </w:rPr>
              <w:t>Rp8 juta</w:t>
            </w:r>
          </w:p>
        </w:tc>
      </w:tr>
      <w:tr>
        <w:tc>
          <w:tcPr>
            <w:tcW w:type="dxa" w:w="1728"/>
          </w:tcPr>
          <w:p>
            <w:pPr/>
            <w:r/>
            <w:r>
              <w:rPr/>
            </w:r>
            <w:r>
              <w:rPr>
                <w:b w:val="0"/>
              </w:rPr>
              <w:t>10</w:t>
            </w:r>
          </w:p>
        </w:tc>
        <w:tc>
          <w:tcPr>
            <w:tcW w:type="dxa" w:w="1728"/>
          </w:tcPr>
          <w:p>
            <w:pPr/>
            <w:r/>
            <w:r>
              <w:rPr/>
            </w:r>
            <w:r>
              <w:rPr>
                <w:b w:val="0"/>
              </w:rPr>
              <w:t>Persentase dosen aktif penelitian, PkM, dan publikasi ilmiah</w:t>
            </w:r>
          </w:p>
        </w:tc>
        <w:tc>
          <w:tcPr>
            <w:tcW w:type="dxa" w:w="1728"/>
          </w:tcPr>
          <w:p>
            <w:pPr/>
            <w:r/>
            <w:r>
              <w:rPr/>
            </w:r>
            <w:r>
              <w:rPr>
                <w:b w:val="0"/>
              </w:rPr>
              <w:t>90-100%</w:t>
            </w:r>
          </w:p>
        </w:tc>
        <w:tc>
          <w:tcPr>
            <w:tcW w:type="dxa" w:w="1728"/>
          </w:tcPr>
          <w:p>
            <w:pPr/>
            <w:r/>
            <w:r>
              <w:rPr/>
            </w:r>
            <w:r>
              <w:rPr>
                <w:b w:val="0"/>
              </w:rPr>
              <w:t>90-100%</w:t>
            </w:r>
          </w:p>
        </w:tc>
        <w:tc>
          <w:tcPr>
            <w:tcW w:type="dxa" w:w="1728"/>
          </w:tcPr>
          <w:p>
            <w:pPr/>
            <w:r/>
            <w:r>
              <w:rPr/>
            </w:r>
            <w:r>
              <w:rPr>
                <w:b w:val="0"/>
              </w:rPr>
              <w:t>95-100%</w:t>
            </w:r>
          </w:p>
        </w:tc>
      </w:tr>
      <w:tr>
        <w:tc>
          <w:tcPr>
            <w:tcW w:type="dxa" w:w="1728"/>
          </w:tcPr>
          <w:p>
            <w:pPr/>
            <w:r/>
            <w:r>
              <w:rPr/>
            </w:r>
            <w:r>
              <w:rPr>
                <w:b w:val="0"/>
              </w:rPr>
              <w:t>11</w:t>
            </w:r>
          </w:p>
        </w:tc>
        <w:tc>
          <w:tcPr>
            <w:tcW w:type="dxa" w:w="1728"/>
          </w:tcPr>
          <w:p>
            <w:pPr/>
            <w:r/>
            <w:r>
              <w:rPr/>
            </w:r>
            <w:r>
              <w:rPr>
                <w:b w:val="0"/>
              </w:rPr>
              <w:t>Persentase dosen memperoleh rekognisi nasional/internasional</w:t>
            </w:r>
          </w:p>
        </w:tc>
        <w:tc>
          <w:tcPr>
            <w:tcW w:type="dxa" w:w="1728"/>
          </w:tcPr>
          <w:p>
            <w:pPr/>
            <w:r/>
            <w:r>
              <w:rPr/>
            </w:r>
            <w:r>
              <w:rPr/>
              <w:t>35%</w:t>
            </w:r>
          </w:p>
        </w:tc>
        <w:tc>
          <w:tcPr>
            <w:tcW w:type="dxa" w:w="1728"/>
          </w:tcPr>
          <w:p>
            <w:pPr/>
            <w:r/>
            <w:r>
              <w:rPr/>
            </w:r>
            <w:r>
              <w:rPr/>
              <w:t>42%</w:t>
            </w:r>
          </w:p>
        </w:tc>
        <w:tc>
          <w:tcPr>
            <w:tcW w:type="dxa" w:w="1728"/>
          </w:tcPr>
          <w:p>
            <w:pPr/>
            <w:r/>
            <w:r>
              <w:rPr/>
            </w:r>
            <w:r>
              <w:rPr/>
              <w:t>50%</w:t>
            </w:r>
          </w:p>
        </w:tc>
      </w:tr>
      <w:tr>
        <w:tc>
          <w:tcPr>
            <w:tcW w:type="dxa" w:w="1728"/>
          </w:tcPr>
          <w:p>
            <w:pPr/>
            <w:r/>
            <w:r>
              <w:rPr/>
            </w:r>
            <w:r>
              <w:rPr>
                <w:b w:val="0"/>
              </w:rPr>
              <w:t>*12</w:t>
            </w:r>
          </w:p>
        </w:tc>
        <w:tc>
          <w:tcPr>
            <w:tcW w:type="dxa" w:w="1728"/>
          </w:tcPr>
          <w:p>
            <w:pPr/>
            <w:r/>
            <w:r>
              <w:rPr/>
            </w:r>
            <w:r>
              <w:rPr>
                <w:b w:val="0"/>
              </w:rPr>
              <w:t>Jumlah produk/jasa karya dosen yang diadopsi industri/masyarakat per tahun</w:t>
            </w:r>
          </w:p>
        </w:tc>
        <w:tc>
          <w:tcPr>
            <w:tcW w:type="dxa" w:w="1728"/>
          </w:tcPr>
          <w:p>
            <w:pPr/>
            <w:r/>
            <w:r>
              <w:rPr/>
            </w:r>
            <w:r>
              <w:rPr>
                <w:b w:val="0"/>
              </w:rPr>
              <w:t>≥2</w:t>
            </w:r>
          </w:p>
        </w:tc>
        <w:tc>
          <w:tcPr>
            <w:tcW w:type="dxa" w:w="1728"/>
          </w:tcPr>
          <w:p>
            <w:pPr/>
            <w:r/>
            <w:r>
              <w:rPr/>
            </w:r>
            <w:r>
              <w:rPr>
                <w:b w:val="0"/>
              </w:rPr>
              <w:t>≥3</w:t>
            </w:r>
          </w:p>
        </w:tc>
        <w:tc>
          <w:tcPr>
            <w:tcW w:type="dxa" w:w="1728"/>
          </w:tcPr>
          <w:p>
            <w:pPr/>
            <w:r/>
            <w:r>
              <w:rPr/>
            </w:r>
            <w:r>
              <w:rPr>
                <w:b w:val="0"/>
              </w:rPr>
              <w:t>≥4</w:t>
            </w:r>
          </w:p>
        </w:tc>
      </w:tr>
      <w:tr>
        <w:tc>
          <w:tcPr>
            <w:tcW w:type="dxa" w:w="1728"/>
          </w:tcPr>
          <w:p>
            <w:pPr/>
            <w:r/>
            <w:r>
              <w:rPr/>
            </w:r>
            <w:r>
              <w:rPr>
                <w:b w:val="0"/>
              </w:rPr>
              <w:t>*13</w:t>
            </w:r>
          </w:p>
        </w:tc>
        <w:tc>
          <w:tcPr>
            <w:tcW w:type="dxa" w:w="1728"/>
          </w:tcPr>
          <w:p>
            <w:pPr/>
            <w:r/>
            <w:r>
              <w:rPr/>
            </w:r>
            <w:r>
              <w:rPr>
                <w:b w:val="0"/>
              </w:rPr>
              <w:t>Jumlah sitasi karya ilmiah dosen per dosen aktif publikasi per tahun</w:t>
            </w:r>
          </w:p>
        </w:tc>
        <w:tc>
          <w:tcPr>
            <w:tcW w:type="dxa" w:w="1728"/>
          </w:tcPr>
          <w:p>
            <w:pPr/>
            <w:r/>
            <w:r>
              <w:rPr/>
            </w:r>
            <w:r>
              <w:rPr>
                <w:b w:val="0"/>
              </w:rPr>
              <w:t>≥3</w:t>
            </w:r>
          </w:p>
        </w:tc>
        <w:tc>
          <w:tcPr>
            <w:tcW w:type="dxa" w:w="1728"/>
          </w:tcPr>
          <w:p>
            <w:pPr/>
            <w:r/>
            <w:r>
              <w:rPr/>
            </w:r>
            <w:r>
              <w:rPr>
                <w:b w:val="0"/>
              </w:rPr>
              <w:t>≥4</w:t>
            </w:r>
          </w:p>
        </w:tc>
        <w:tc>
          <w:tcPr>
            <w:tcW w:type="dxa" w:w="1728"/>
          </w:tcPr>
          <w:p>
            <w:pPr/>
            <w:r/>
            <w:r>
              <w:rPr/>
            </w:r>
            <w:r>
              <w:rPr>
                <w:b w:val="0"/>
              </w:rPr>
              <w:t>≥5</w:t>
            </w:r>
          </w:p>
        </w:tc>
      </w:tr>
      <w:tr>
        <w:tc>
          <w:tcPr>
            <w:tcW w:type="dxa" w:w="1728"/>
          </w:tcPr>
          <w:p>
            <w:pPr/>
            <w:r/>
            <w:r>
              <w:rPr/>
            </w:r>
            <w:r>
              <w:rPr>
                <w:b w:val="0"/>
              </w:rPr>
              <w:t>14</w:t>
            </w:r>
          </w:p>
        </w:tc>
        <w:tc>
          <w:tcPr>
            <w:tcW w:type="dxa" w:w="1728"/>
          </w:tcPr>
          <w:p>
            <w:pPr/>
            <w:r/>
            <w:r>
              <w:rPr/>
            </w:r>
            <w:r>
              <w:rPr/>
              <w:t>Kualifikasi tenaga administrasi minimal D3/sederajat</w:t>
            </w:r>
          </w:p>
        </w:tc>
        <w:tc>
          <w:tcPr>
            <w:tcW w:type="dxa" w:w="1728"/>
          </w:tcPr>
          <w:p>
            <w:pPr/>
            <w:r/>
            <w:r>
              <w:rPr/>
            </w:r>
            <w:r>
              <w:rPr>
                <w:b w:val="0"/>
              </w:rPr>
              <w:t>100%</w:t>
            </w:r>
          </w:p>
        </w:tc>
        <w:tc>
          <w:tcPr>
            <w:tcW w:type="dxa" w:w="1728"/>
          </w:tcPr>
          <w:p>
            <w:pPr/>
            <w:r/>
            <w:r>
              <w:rPr/>
            </w:r>
            <w:r>
              <w:rPr>
                <w:b w:val="0"/>
              </w:rPr>
              <w:t>100%</w:t>
            </w:r>
          </w:p>
        </w:tc>
        <w:tc>
          <w:tcPr>
            <w:tcW w:type="dxa" w:w="1728"/>
          </w:tcPr>
          <w:p>
            <w:pPr/>
            <w:r/>
            <w:r>
              <w:rPr/>
            </w:r>
            <w:r>
              <w:rPr>
                <w:b w:val="0"/>
              </w:rPr>
              <w:t>100%</w:t>
            </w:r>
          </w:p>
        </w:tc>
      </w:tr>
      <w:tr>
        <w:tc>
          <w:tcPr>
            <w:tcW w:type="dxa" w:w="1728"/>
          </w:tcPr>
          <w:p>
            <w:pPr/>
            <w:r/>
            <w:r>
              <w:rPr/>
            </w:r>
            <w:r>
              <w:rPr/>
              <w:t>*16</w:t>
            </w:r>
          </w:p>
        </w:tc>
        <w:tc>
          <w:tcPr>
            <w:tcW w:type="dxa" w:w="1728"/>
          </w:tcPr>
          <w:p>
            <w:pPr/>
            <w:r/>
            <w:r>
              <w:rPr/>
            </w:r>
            <w:r>
              <w:rPr/>
              <w:t>Persentase tenaga fungsional (laboran/pustakawan/teknisi) berkualifikasi minimal D3 dengan sertifikat kompetensi</w:t>
            </w:r>
          </w:p>
        </w:tc>
        <w:tc>
          <w:tcPr>
            <w:tcW w:type="dxa" w:w="1728"/>
          </w:tcPr>
          <w:p>
            <w:pPr/>
            <w:r/>
            <w:r>
              <w:rPr/>
            </w:r>
            <w:r>
              <w:rPr/>
              <w:t>60%</w:t>
            </w:r>
          </w:p>
        </w:tc>
        <w:tc>
          <w:tcPr>
            <w:tcW w:type="dxa" w:w="1728"/>
          </w:tcPr>
          <w:p>
            <w:pPr/>
            <w:r/>
            <w:r>
              <w:rPr/>
            </w:r>
            <w:r>
              <w:rPr/>
              <w:t>80%</w:t>
            </w:r>
          </w:p>
        </w:tc>
        <w:tc>
          <w:tcPr>
            <w:tcW w:type="dxa" w:w="1728"/>
          </w:tcPr>
          <w:p>
            <w:pPr/>
            <w:r/>
            <w:r>
              <w:rPr/>
            </w:r>
            <w:r>
              <w:rPr/>
              <w:t>100%</w:t>
            </w:r>
          </w:p>
        </w:tc>
      </w:tr>
      <w:tr>
        <w:tc>
          <w:tcPr>
            <w:tcW w:type="dxa" w:w="1728"/>
          </w:tcPr>
          <w:p>
            <w:pPr/>
            <w:r/>
            <w:r>
              <w:rPr/>
            </w:r>
            <w:r>
              <w:rPr/>
              <w:t>*17</w:t>
            </w:r>
          </w:p>
        </w:tc>
        <w:tc>
          <w:tcPr>
            <w:tcW w:type="dxa" w:w="1728"/>
          </w:tcPr>
          <w:p>
            <w:pPr/>
            <w:r/>
            <w:r>
              <w:rPr/>
            </w:r>
            <w:r>
              <w:rPr/>
              <w:t>Persentase DTPS penulis utama/korespondensi publikasi jurnal internasional bereputasi</w:t>
            </w:r>
          </w:p>
        </w:tc>
        <w:tc>
          <w:tcPr>
            <w:tcW w:type="dxa" w:w="1728"/>
          </w:tcPr>
          <w:p>
            <w:pPr/>
            <w:r/>
            <w:r>
              <w:rPr/>
            </w:r>
            <w:r>
              <w:rPr/>
              <w:t>30%</w:t>
            </w:r>
          </w:p>
        </w:tc>
        <w:tc>
          <w:tcPr>
            <w:tcW w:type="dxa" w:w="1728"/>
          </w:tcPr>
          <w:p>
            <w:pPr/>
            <w:r/>
            <w:r>
              <w:rPr/>
            </w:r>
            <w:r>
              <w:rPr/>
              <w:t>40%</w:t>
            </w:r>
          </w:p>
        </w:tc>
        <w:tc>
          <w:tcPr>
            <w:tcW w:type="dxa" w:w="1728"/>
          </w:tcPr>
          <w:p>
            <w:pPr/>
            <w:r/>
            <w:r>
              <w:rPr/>
            </w:r>
            <w:r>
              <w:rPr/>
              <w:t>50%</w:t>
            </w:r>
          </w:p>
        </w:tc>
      </w:tr>
      <w:tr>
        <w:tc>
          <w:tcPr>
            <w:tcW w:type="dxa" w:w="1728"/>
          </w:tcPr>
          <w:p>
            <w:pPr/>
            <w:r/>
            <w:r>
              <w:rPr/>
            </w:r>
            <w:r>
              <w:rPr/>
              <w:t>*18</w:t>
            </w:r>
          </w:p>
        </w:tc>
        <w:tc>
          <w:tcPr>
            <w:tcW w:type="dxa" w:w="1728"/>
          </w:tcPr>
          <w:p>
            <w:pPr/>
            <w:r/>
            <w:r>
              <w:rPr/>
            </w:r>
            <w:r>
              <w:rPr/>
              <w:t>Persentase dosen memenuhi Beban Kerja Dosen (BKD) 12-16 sks per semester</w:t>
            </w:r>
          </w:p>
        </w:tc>
        <w:tc>
          <w:tcPr>
            <w:tcW w:type="dxa" w:w="1728"/>
          </w:tcPr>
          <w:p>
            <w:pPr/>
            <w:r/>
            <w:r>
              <w:rPr/>
            </w:r>
            <w:r>
              <w:rPr/>
              <w:t>90%</w:t>
            </w:r>
          </w:p>
        </w:tc>
        <w:tc>
          <w:tcPr>
            <w:tcW w:type="dxa" w:w="1728"/>
          </w:tcPr>
          <w:p>
            <w:pPr/>
            <w:r/>
            <w:r>
              <w:rPr/>
            </w:r>
            <w:r>
              <w:rPr/>
              <w:t>95%</w:t>
            </w:r>
          </w:p>
        </w:tc>
        <w:tc>
          <w:tcPr>
            <w:tcW w:type="dxa" w:w="1728"/>
          </w:tcPr>
          <w:p>
            <w:pPr/>
            <w:r/>
            <w:r>
              <w:rPr/>
            </w:r>
            <w:r>
              <w:rPr/>
              <w:t>100%</w:t>
            </w:r>
          </w:p>
        </w:tc>
      </w:tr>
      <w:tr>
        <w:tc>
          <w:tcPr>
            <w:tcW w:type="dxa" w:w="1728"/>
          </w:tcPr>
          <w:p>
            <w:pPr/>
            <w:r/>
            <w:r>
              <w:rPr/>
            </w:r>
            <w:r>
              <w:rPr/>
              <w:t>*19</w:t>
            </w:r>
          </w:p>
        </w:tc>
        <w:tc>
          <w:tcPr>
            <w:tcW w:type="dxa" w:w="1728"/>
          </w:tcPr>
          <w:p>
            <w:pPr/>
            <w:r/>
            <w:r>
              <w:rPr/>
            </w:r>
            <w:r>
              <w:rPr/>
              <w:t>Persentase DTPS yang karya ilmiahnya tersitasi pada jurnal/basis data bereputasi (selaras formula PKIB LAM Teknik)</w:t>
            </w:r>
          </w:p>
        </w:tc>
        <w:tc>
          <w:tcPr>
            <w:tcW w:type="dxa" w:w="1728"/>
          </w:tcPr>
          <w:p>
            <w:pPr/>
            <w:r/>
            <w:r>
              <w:rPr/>
            </w:r>
            <w:r>
              <w:rPr/>
              <w:t>15%</w:t>
            </w:r>
          </w:p>
        </w:tc>
        <w:tc>
          <w:tcPr>
            <w:tcW w:type="dxa" w:w="1728"/>
          </w:tcPr>
          <w:p>
            <w:pPr/>
            <w:r/>
            <w:r>
              <w:rPr/>
            </w:r>
            <w:r>
              <w:rPr/>
              <w:t>20%</w:t>
            </w:r>
          </w:p>
        </w:tc>
        <w:tc>
          <w:tcPr>
            <w:tcW w:type="dxa" w:w="1728"/>
          </w:tcPr>
          <w:p>
            <w:pPr/>
            <w:r/>
            <w:r>
              <w:rPr/>
            </w:r>
            <w:r>
              <w:rPr/>
              <w:t>25%</w:t>
            </w:r>
          </w:p>
        </w:tc>
      </w:tr>
      <w:tr>
        <w:tc>
          <w:tcPr>
            <w:tcW w:type="dxa" w:w="1728"/>
          </w:tcPr>
          <w:p>
            <w:pPr/>
            <w:r/>
            <w:r>
              <w:rPr/>
            </w:r>
            <w:r>
              <w:rPr>
                <w:b w:val="0"/>
              </w:rPr>
              <w:t>*15</w:t>
            </w:r>
          </w:p>
        </w:tc>
        <w:tc>
          <w:tcPr>
            <w:tcW w:type="dxa" w:w="1728"/>
          </w:tcPr>
          <w:p>
            <w:pPr/>
            <w:r/>
            <w:r>
              <w:rPr/>
            </w:r>
            <w:r>
              <w:rPr>
                <w:b w:val="0"/>
              </w:rPr>
              <w:t>Pelaksanaan root-cause analysis &amp; SWOT tahunan Standar Dosen dan Tenaga Kependidikan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SARANA DAN PRASARANA PEMBELAJARAN</w:t>
      </w:r>
    </w:p>
    <w:p>
      <w:pPr/>
    </w:p>
    <w:p>
      <w:pPr>
        <w:spacing w:before="200" w:after="100"/>
      </w:pPr>
      <w:r>
        <w:rPr>
          <w:b/>
          <w:sz w:val="25"/>
        </w:rPr>
        <w:t>1. Daftar Istilah</w:t>
      </w:r>
    </w:p>
    <w:p>
      <w:pPr>
        <w:pStyle w:val="ListBullet"/>
        <w:spacing w:after="80"/>
      </w:pPr>
      <w:r>
        <w:rPr/>
        <w:t>Sarana Pembelajaran mencakup paling sedikit: perabot, peralatan pendidikan, media pendidikan, buku dan repositori elektronik, sarana teknologi informasi dan komunikasi, instrumentasi eksperimen, serta sarana pemeliharaan, keselamatan, dan keamanan.</w:t>
      </w:r>
    </w:p>
    <w:p>
      <w:pPr>
        <w:pStyle w:val="ListBullet"/>
        <w:spacing w:after="80"/>
      </w:pPr>
      <w:r>
        <w:rPr/>
        <w:t>Prasarana Pembelajaran mencakup paling sedikit: lahan, ruang kelas, perpustakaan, laboratorium/studio, tempat ibadah, ruang unit kegiatan mahasiswa, ruang dosen, ruang tata usaha, dan fasilitas umum (jalan, air, listrik, jaringan data).</w:t>
      </w:r>
    </w:p>
    <w:p>
      <w:pPr>
        <w:pStyle w:val="ListBullet"/>
        <w:spacing w:after="80"/>
      </w:pPr>
      <w:r>
        <w:rPr/>
        <w:t>Keselamatan, Kesehatan Kerja, dan Lindungan Lingkungan (K3L) adalah sistem yang menjamin keselamatan dan kesehatan seluruh sivitas akademika dalam penggunaan sarana dan prasarana, mencakup SOP penggunaan, pemeliharaan, evaluasi kelayakan berkala, dan sosialisasi.</w:t>
      </w:r>
    </w:p>
    <w:p>
      <w:pPr>
        <w:pStyle w:val="ListBullet"/>
        <w:spacing w:after="80"/>
      </w:pPr>
      <w:r>
        <w:rPr/>
        <w:t>Aksesibilitas adalah kemudahan yang disediakan bagi mahasiswa, dosen, dan tenaga kependidikan berkebutuhan khusus untuk mewujudkan kesamaan kesempatan.</w:t>
      </w:r>
    </w:p>
    <w:p>
      <w:pPr>
        <w:spacing w:before="200" w:after="100"/>
      </w:pPr>
      <w:r>
        <w:rPr>
          <w:b/>
          <w:sz w:val="25"/>
        </w:rPr>
        <w:t>2. Pihak Yang Bertanggung Jawab Untuk Memenuhi Standar</w:t>
      </w:r>
    </w:p>
    <w:p>
      <w:pPr>
        <w:pStyle w:val="ListBullet"/>
        <w:spacing w:after="80"/>
      </w:pPr>
      <w:r>
        <w:rPr/>
        <w:t>Rektor, dalam menetapkan kebijakan pengelolaan sarana dan prasarana.</w:t>
      </w:r>
    </w:p>
    <w:p>
      <w:pPr>
        <w:pStyle w:val="ListBullet"/>
        <w:spacing w:after="80"/>
      </w:pPr>
      <w:r>
        <w:rPr/>
        <w:t>Wakil Rektor Bidang Pengembangan Institusi dan Sumber Daya, dalam perencanaan investasi sarana prasarana.</w:t>
      </w:r>
    </w:p>
    <w:p>
      <w:pPr>
        <w:pStyle w:val="ListBullet"/>
        <w:spacing w:after="80"/>
      </w:pPr>
      <w:r>
        <w:rPr/>
        <w:t>Divisi Pengelolaan Prasarana dan Aset (DPPA), dalam pengadaan, pemeliharaan, dan evaluasi kelayakan sarana prasarana.</w:t>
      </w:r>
    </w:p>
    <w:p>
      <w:pPr>
        <w:pStyle w:val="ListBullet"/>
        <w:spacing w:after="80"/>
      </w:pPr>
      <w:r>
        <w:rPr/>
        <w:t>Divisi Teknologi Sistem Informasi (DTSI), dalam pengelolaan sistem informasi terintegrasi.</w:t>
      </w:r>
    </w:p>
    <w:p>
      <w:pPr>
        <w:pStyle w:val="ListBullet"/>
        <w:spacing w:after="80"/>
      </w:pPr>
      <w:r>
        <w:rPr/>
        <w:t>Dekan FTII dan Ketua Program Studi, dalam verifikasi kecukupan sarana prasarana pembelajaran di tingkat program studi.</w:t>
      </w:r>
    </w:p>
    <w:p>
      <w:pPr>
        <w:spacing w:before="200" w:after="100"/>
      </w:pPr>
      <w:r>
        <w:rPr>
          <w:b/>
          <w:sz w:val="25"/>
        </w:rPr>
        <w:t>3. Pernyataan Isi Standar dan Sasaran Standar</w:t>
      </w:r>
    </w:p>
    <w:p>
      <w:pPr>
        <w:pStyle w:val="ListNumber"/>
        <w:spacing w:after="120"/>
      </w:pPr>
      <w:r>
        <w:rPr/>
        <w:t>Program Studi Teknik Informatika wajib menjamin rasio luas bangunan paling sedikit 2 m² per mahasiswa dan rasio luas ruang dosen paling sedikit 4 m² per dosen dilengkapi jaringan data.</w:t>
      </w:r>
    </w:p>
    <w:p>
      <w:pPr>
        <w:pStyle w:val="ListNumber"/>
        <w:spacing w:after="120"/>
      </w:pPr>
      <w:r>
        <w:rPr/>
        <w:t>*Program Studi Teknik Informatika wajib menjamin kelengkapan isi sarana akademik, mencakup ketersediaan dan kemutakhiran media pembelajaran, perangkat elektronik pendukung perkuliahan, dan koleksi perpustakaan (buku cetak/elektronik paling sedikit 1.000 judul relevan bidang ilmu dan langganan basis data jurnal/e-resources), tidak hanya dinilai dari kecukupan luas ruang.</w:t>
      </w:r>
    </w:p>
    <w:p>
      <w:pPr>
        <w:pStyle w:val="ListNumber"/>
        <w:spacing w:after="120"/>
      </w:pPr>
      <w:r>
        <w:rPr/>
        <w:t>Program Studi Teknik Informatika wajib menjamin kepemilikan lahan dengan status hak yang sah (Hak Milik/HGB/Hak Pakai) untuk jangka waktu paling sedikit 20 tahun, disertai rasio luas lahan paling sedikit 2 m² per mahasiswa.</w:t>
      </w:r>
    </w:p>
    <w:p>
      <w:pPr>
        <w:pStyle w:val="ListNumber"/>
        <w:spacing w:after="120"/>
      </w:pPr>
      <w:r>
        <w:rPr/>
        <w:t>Program Studi Teknik Informatika wajib menyediakan ruang laboratorium pembelajaran yang sesuai dengan panduan asosiasi penyelenggara program studi sejenis (mis. APTIKOM untuk program studi Sistem Informasi dan Informatika), dilengkapi SOP penggunaan, pemeliharaan, evaluasi kelayakan berkala, dan sosialisasi K3L.</w:t>
      </w:r>
    </w:p>
    <w:p>
      <w:pPr>
        <w:pStyle w:val="ListNumber"/>
        <w:spacing w:after="120"/>
      </w:pPr>
      <w:r>
        <w:rPr/>
        <w:t>*Program Studi Teknik Informatika wajib memperluas cakupan kebijakan dan pelaksanaan K3L dari skala laboratorium menjadi skala kampus/institusi, mencakup gedung perkuliahan, area umum, dan fasilitas penunjang, dibuktikan dengan kebijakan K3L tingkat institusi dan laporan pelaksanaan tahunan.</w:t>
      </w:r>
    </w:p>
    <w:p>
      <w:pPr>
        <w:pStyle w:val="ListNumber"/>
        <w:spacing w:after="120"/>
      </w:pPr>
      <w:r>
        <w:rPr/>
        <w:t>*Program Studi Teknik Informatika wajib menyediakan fasilitas ibadah yang memadai bagi sivitas akademika sesuai kebutuhan agama yang dianut, dengan kapasitas dan kelayakan yang dievaluasi berkala setiap tahun.</w:t>
      </w:r>
    </w:p>
    <w:p>
      <w:pPr>
        <w:pStyle w:val="ListNumber"/>
        <w:spacing w:after="120"/>
      </w:pPr>
      <w:r>
        <w:rPr/>
        <w:t>Program Studi Teknik Informatika wajib menyediakan sarana dan prasarana aksesibel bagi mahasiswa berkebutuhan khusus yang mencakup 5 (lima) aspek: pelabelan braille, lerengan/ramp, jalur pemandu (guiding block), peta timbul, dan toilet difabel.</w:t>
      </w:r>
    </w:p>
    <w:p>
      <w:pPr>
        <w:pStyle w:val="ListNumber"/>
        <w:spacing w:after="120"/>
      </w:pPr>
      <w:r>
        <w:rPr/>
        <w:t>Program Studi Teknik Informatika wajib menyediakan sistem informasi terintegrasi (akademik, keuangan, sumber daya manusia, dan aset) yang dapat diakses seluruh sivitas akademika dengan tingkat pemenuhan 100%.</w:t>
      </w:r>
    </w:p>
    <w:p>
      <w:pPr>
        <w:spacing w:before="200" w:after="100"/>
      </w:pPr>
      <w:r>
        <w:rPr>
          <w:b/>
          <w:sz w:val="25"/>
        </w:rPr>
        <w:t>4. Strategi Pencapaian Standar</w:t>
      </w:r>
    </w:p>
    <w:p>
      <w:pPr>
        <w:pStyle w:val="ListNumber"/>
        <w:spacing w:after="120"/>
      </w:pPr>
      <w:r>
        <w:rPr/>
        <w:t>Wakil Rektor Bidang Pengembangan Institusi dan Sumber Daya bersama DPPA menjamin pemenuhan rasio 2 m²/mahasiswa (bangunan) dan 4 m²/dosen (ruang dosen) pada setiap pengembangan gedung baru.</w:t>
      </w:r>
    </w:p>
    <w:p>
      <w:pPr>
        <w:pStyle w:val="ListNumber"/>
        <w:spacing w:after="120"/>
      </w:pPr>
      <w:r>
        <w:rPr/>
        <w:t>DPPA bersama Perpustakaan menyusun rencana pengadaan dan pemutakhiran koleksi buku/e-resources serta media pembelajaran secara bertahap menuju target kecukupan isi sarana akademik.</w:t>
      </w:r>
    </w:p>
    <w:p>
      <w:pPr>
        <w:pStyle w:val="ListNumber"/>
        <w:spacing w:after="120"/>
      </w:pPr>
      <w:r>
        <w:rPr/>
        <w:t>DPPA menyusun dan menerapkan kebijakan K3L tingkat institusi yang memperluas cakupan dari laboratorium menjadi seluruh area kampus, disosialisasikan kepada seluruh sivitas akademika.</w:t>
      </w:r>
    </w:p>
    <w:p>
      <w:pPr>
        <w:pStyle w:val="ListNumber"/>
        <w:spacing w:after="120"/>
      </w:pPr>
      <w:r>
        <w:rPr/>
        <w:t>Universitas menyediakan dan memelihara fasilitas ibadah representatif di lingkungan kampus FTII, dievaluasi kelayakannya setiap tahun.</w:t>
      </w:r>
    </w:p>
    <w:p>
      <w:pPr>
        <w:pStyle w:val="ListNumber"/>
        <w:spacing w:after="120"/>
      </w:pPr>
      <w:r>
        <w:rPr/>
        <w:t>DPPA melengkapi sarana aksesibilitas difabel sesuai 5 aspek Peraturan Dirjen Belmawa secara bertahap pada seluruh gedung FTII.</w:t>
      </w:r>
    </w:p>
    <w:p>
      <w:pPr>
        <w:pStyle w:val="ListNumber"/>
        <w:spacing w:after="120"/>
      </w:pPr>
      <w:r>
        <w:rPr/>
        <w:t>DTSI mengembangkan dan memelihara sistem informasi terintegrasi (akademik, keuangan, SDM, aset) yang mudah diakses dan andal.</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Rasio luas bangunan per mahasiswa</w:t>
            </w:r>
          </w:p>
        </w:tc>
        <w:tc>
          <w:tcPr>
            <w:tcW w:type="dxa" w:w="1728"/>
          </w:tcPr>
          <w:p>
            <w:pPr/>
            <w:r/>
            <w:r>
              <w:rPr/>
            </w:r>
            <w:r>
              <w:rPr>
                <w:b w:val="0"/>
              </w:rPr>
              <w:t>2 m²</w:t>
            </w:r>
          </w:p>
        </w:tc>
        <w:tc>
          <w:tcPr>
            <w:tcW w:type="dxa" w:w="1728"/>
          </w:tcPr>
          <w:p>
            <w:pPr/>
            <w:r/>
            <w:r>
              <w:rPr/>
            </w:r>
            <w:r>
              <w:rPr>
                <w:b w:val="0"/>
              </w:rPr>
              <w:t>2 m²</w:t>
            </w:r>
          </w:p>
        </w:tc>
        <w:tc>
          <w:tcPr>
            <w:tcW w:type="dxa" w:w="1728"/>
          </w:tcPr>
          <w:p>
            <w:pPr/>
            <w:r/>
            <w:r>
              <w:rPr/>
            </w:r>
            <w:r>
              <w:rPr>
                <w:b w:val="0"/>
              </w:rPr>
              <w:t>2 m²</w:t>
            </w:r>
          </w:p>
        </w:tc>
      </w:tr>
      <w:tr>
        <w:tc>
          <w:tcPr>
            <w:tcW w:type="dxa" w:w="1728"/>
          </w:tcPr>
          <w:p>
            <w:pPr/>
            <w:r/>
            <w:r>
              <w:rPr/>
            </w:r>
            <w:r>
              <w:rPr>
                <w:b w:val="0"/>
              </w:rPr>
              <w:t>2</w:t>
            </w:r>
          </w:p>
        </w:tc>
        <w:tc>
          <w:tcPr>
            <w:tcW w:type="dxa" w:w="1728"/>
          </w:tcPr>
          <w:p>
            <w:pPr/>
            <w:r/>
            <w:r>
              <w:rPr/>
            </w:r>
            <w:r>
              <w:rPr>
                <w:b w:val="0"/>
              </w:rPr>
              <w:t>Rasio luas ruang dosen per dosen</w:t>
            </w:r>
          </w:p>
        </w:tc>
        <w:tc>
          <w:tcPr>
            <w:tcW w:type="dxa" w:w="1728"/>
          </w:tcPr>
          <w:p>
            <w:pPr/>
            <w:r/>
            <w:r>
              <w:rPr/>
            </w:r>
            <w:r>
              <w:rPr>
                <w:b w:val="0"/>
              </w:rPr>
              <w:t>4 m²</w:t>
            </w:r>
          </w:p>
        </w:tc>
        <w:tc>
          <w:tcPr>
            <w:tcW w:type="dxa" w:w="1728"/>
          </w:tcPr>
          <w:p>
            <w:pPr/>
            <w:r/>
            <w:r>
              <w:rPr/>
            </w:r>
            <w:r>
              <w:rPr>
                <w:b w:val="0"/>
              </w:rPr>
              <w:t>4 m²</w:t>
            </w:r>
          </w:p>
        </w:tc>
        <w:tc>
          <w:tcPr>
            <w:tcW w:type="dxa" w:w="1728"/>
          </w:tcPr>
          <w:p>
            <w:pPr/>
            <w:r/>
            <w:r>
              <w:rPr/>
            </w:r>
            <w:r>
              <w:rPr>
                <w:b w:val="0"/>
              </w:rPr>
              <w:t>4 m²</w:t>
            </w:r>
          </w:p>
        </w:tc>
      </w:tr>
      <w:tr>
        <w:tc>
          <w:tcPr>
            <w:tcW w:type="dxa" w:w="1728"/>
          </w:tcPr>
          <w:p>
            <w:pPr/>
            <w:r/>
            <w:r>
              <w:rPr/>
            </w:r>
            <w:r>
              <w:rPr>
                <w:b w:val="0"/>
              </w:rPr>
              <w:t>*3</w:t>
            </w:r>
          </w:p>
        </w:tc>
        <w:tc>
          <w:tcPr>
            <w:tcW w:type="dxa" w:w="1728"/>
          </w:tcPr>
          <w:p>
            <w:pPr/>
            <w:r/>
            <w:r>
              <w:rPr/>
            </w:r>
            <w:r>
              <w:rPr>
                <w:b w:val="0"/>
              </w:rPr>
              <w:t>Kelengkapan isi sarana akademik (media pembelajaran, perangkat elektronik, koleksi perpustakaan)</w:t>
            </w:r>
          </w:p>
        </w:tc>
        <w:tc>
          <w:tcPr>
            <w:tcW w:type="dxa" w:w="1728"/>
          </w:tcPr>
          <w:p>
            <w:pPr/>
            <w:r/>
            <w:r>
              <w:rPr/>
            </w:r>
            <w:r>
              <w:rPr>
                <w:b w:val="0"/>
              </w:rPr>
              <w:t>80%</w:t>
            </w:r>
          </w:p>
        </w:tc>
        <w:tc>
          <w:tcPr>
            <w:tcW w:type="dxa" w:w="1728"/>
          </w:tcPr>
          <w:p>
            <w:pPr/>
            <w:r/>
            <w:r>
              <w:rPr/>
            </w:r>
            <w:r>
              <w:rPr>
                <w:b w:val="0"/>
              </w:rPr>
              <w:t>90%</w:t>
            </w:r>
          </w:p>
        </w:tc>
        <w:tc>
          <w:tcPr>
            <w:tcW w:type="dxa" w:w="1728"/>
          </w:tcPr>
          <w:p>
            <w:pPr/>
            <w:r/>
            <w:r>
              <w:rPr/>
            </w:r>
            <w:r>
              <w:rPr>
                <w:b w:val="0"/>
              </w:rPr>
              <w:t>100%</w:t>
            </w:r>
          </w:p>
        </w:tc>
      </w:tr>
      <w:tr>
        <w:tc>
          <w:tcPr>
            <w:tcW w:type="dxa" w:w="1728"/>
          </w:tcPr>
          <w:p>
            <w:pPr/>
            <w:r/>
            <w:r>
              <w:rPr/>
            </w:r>
            <w:r>
              <w:rPr>
                <w:b w:val="0"/>
              </w:rPr>
              <w:t>4</w:t>
            </w:r>
          </w:p>
        </w:tc>
        <w:tc>
          <w:tcPr>
            <w:tcW w:type="dxa" w:w="1728"/>
          </w:tcPr>
          <w:p>
            <w:pPr/>
            <w:r/>
            <w:r>
              <w:rPr/>
            </w:r>
            <w:r>
              <w:rPr>
                <w:b w:val="0"/>
              </w:rPr>
              <w:t>Pemenuhan aspek aksesibilitas difabel (5 aspek Belmawa)</w:t>
            </w:r>
          </w:p>
        </w:tc>
        <w:tc>
          <w:tcPr>
            <w:tcW w:type="dxa" w:w="1728"/>
          </w:tcPr>
          <w:p>
            <w:pPr/>
            <w:r/>
            <w:r>
              <w:rPr/>
            </w:r>
            <w:r>
              <w:rPr>
                <w:b w:val="0"/>
              </w:rPr>
              <w:t>5 aspek</w:t>
            </w:r>
          </w:p>
        </w:tc>
        <w:tc>
          <w:tcPr>
            <w:tcW w:type="dxa" w:w="1728"/>
          </w:tcPr>
          <w:p>
            <w:pPr/>
            <w:r/>
            <w:r>
              <w:rPr/>
            </w:r>
            <w:r>
              <w:rPr>
                <w:b w:val="0"/>
              </w:rPr>
              <w:t>5 aspek</w:t>
            </w:r>
          </w:p>
        </w:tc>
        <w:tc>
          <w:tcPr>
            <w:tcW w:type="dxa" w:w="1728"/>
          </w:tcPr>
          <w:p>
            <w:pPr/>
            <w:r/>
            <w:r>
              <w:rPr/>
            </w:r>
            <w:r>
              <w:rPr>
                <w:b w:val="0"/>
              </w:rPr>
              <w:t>5 aspek</w:t>
            </w:r>
          </w:p>
        </w:tc>
      </w:tr>
      <w:tr>
        <w:tc>
          <w:tcPr>
            <w:tcW w:type="dxa" w:w="1728"/>
          </w:tcPr>
          <w:p>
            <w:pPr/>
            <w:r/>
            <w:r>
              <w:rPr/>
            </w:r>
            <w:r>
              <w:rPr>
                <w:b w:val="0"/>
              </w:rPr>
              <w:t>5</w:t>
            </w:r>
          </w:p>
        </w:tc>
        <w:tc>
          <w:tcPr>
            <w:tcW w:type="dxa" w:w="1728"/>
          </w:tcPr>
          <w:p>
            <w:pPr/>
            <w:r/>
            <w:r>
              <w:rPr/>
            </w:r>
            <w:r>
              <w:rPr>
                <w:b w:val="0"/>
              </w:rPr>
              <w:t>Ketersediaan SOP K3L laboratorium</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*6</w:t>
            </w:r>
          </w:p>
        </w:tc>
        <w:tc>
          <w:tcPr>
            <w:tcW w:type="dxa" w:w="1728"/>
          </w:tcPr>
          <w:p>
            <w:pPr/>
            <w:r/>
            <w:r>
              <w:rPr/>
            </w:r>
            <w:r>
              <w:rPr>
                <w:b w:val="0"/>
              </w:rPr>
              <w:t>Ketersediaan kebijakan dan pelaksanaan K3L skala kampus/institusi</w:t>
            </w:r>
          </w:p>
        </w:tc>
        <w:tc>
          <w:tcPr>
            <w:tcW w:type="dxa" w:w="1728"/>
          </w:tcPr>
          <w:p>
            <w:pPr/>
            <w:r/>
            <w:r>
              <w:rPr/>
            </w:r>
            <w:r>
              <w:rPr>
                <w:b w:val="0"/>
              </w:rPr>
              <w:t>Persiapan</w:t>
            </w:r>
          </w:p>
        </w:tc>
        <w:tc>
          <w:tcPr>
            <w:tcW w:type="dxa" w:w="1728"/>
          </w:tcPr>
          <w:p>
            <w:pPr/>
            <w:r/>
            <w:r>
              <w:rPr/>
            </w:r>
            <w:r>
              <w:rPr>
                <w:b w:val="0"/>
              </w:rPr>
              <w:t>Tersedia</w:t>
            </w:r>
          </w:p>
        </w:tc>
        <w:tc>
          <w:tcPr>
            <w:tcW w:type="dxa" w:w="1728"/>
          </w:tcPr>
          <w:p>
            <w:pPr/>
            <w:r/>
            <w:r>
              <w:rPr/>
            </w:r>
            <w:r>
              <w:rPr>
                <w:b w:val="0"/>
              </w:rPr>
              <w:t>Terlaksana</w:t>
            </w:r>
          </w:p>
        </w:tc>
      </w:tr>
      <w:tr>
        <w:tc>
          <w:tcPr>
            <w:tcW w:type="dxa" w:w="1728"/>
          </w:tcPr>
          <w:p>
            <w:pPr/>
            <w:r/>
            <w:r>
              <w:rPr/>
            </w:r>
            <w:r>
              <w:rPr>
                <w:b w:val="0"/>
              </w:rPr>
              <w:t>*7</w:t>
            </w:r>
          </w:p>
        </w:tc>
        <w:tc>
          <w:tcPr>
            <w:tcW w:type="dxa" w:w="1728"/>
          </w:tcPr>
          <w:p>
            <w:pPr/>
            <w:r/>
            <w:r>
              <w:rPr/>
            </w:r>
            <w:r>
              <w:rPr>
                <w:b w:val="0"/>
              </w:rPr>
              <w:t>Ketersediaan dan kelayakan fasilitas ibadah</w:t>
            </w:r>
          </w:p>
        </w:tc>
        <w:tc>
          <w:tcPr>
            <w:tcW w:type="dxa" w:w="1728"/>
          </w:tcPr>
          <w:p>
            <w:pPr/>
            <w:r/>
            <w:r>
              <w:rPr/>
            </w:r>
            <w:r>
              <w:rPr>
                <w:b w:val="0"/>
              </w:rPr>
              <w:t>Tersedia</w:t>
            </w:r>
          </w:p>
        </w:tc>
        <w:tc>
          <w:tcPr>
            <w:tcW w:type="dxa" w:w="1728"/>
          </w:tcPr>
          <w:p>
            <w:pPr/>
            <w:r/>
            <w:r>
              <w:rPr/>
            </w:r>
            <w:r>
              <w:rPr>
                <w:b w:val="0"/>
              </w:rPr>
              <w:t>Tersedia &amp; layak</w:t>
            </w:r>
          </w:p>
        </w:tc>
        <w:tc>
          <w:tcPr>
            <w:tcW w:type="dxa" w:w="1728"/>
          </w:tcPr>
          <w:p>
            <w:pPr/>
            <w:r/>
            <w:r>
              <w:rPr/>
            </w:r>
            <w:r>
              <w:rPr>
                <w:b w:val="0"/>
              </w:rPr>
              <w:t>Tersedia &amp; layak</w:t>
            </w:r>
          </w:p>
        </w:tc>
      </w:tr>
      <w:tr>
        <w:tc>
          <w:tcPr>
            <w:tcW w:type="dxa" w:w="1728"/>
          </w:tcPr>
          <w:p>
            <w:pPr/>
            <w:r/>
            <w:r>
              <w:rPr/>
            </w:r>
            <w:r>
              <w:rPr>
                <w:b w:val="0"/>
              </w:rPr>
              <w:t>8</w:t>
            </w:r>
          </w:p>
        </w:tc>
        <w:tc>
          <w:tcPr>
            <w:tcW w:type="dxa" w:w="1728"/>
          </w:tcPr>
          <w:p>
            <w:pPr/>
            <w:r/>
            <w:r>
              <w:rPr/>
            </w:r>
            <w:r>
              <w:rPr>
                <w:b w:val="0"/>
              </w:rPr>
              <w:t>Pemenuhan sistem informasi terintegrasi</w:t>
            </w:r>
          </w:p>
        </w:tc>
        <w:tc>
          <w:tcPr>
            <w:tcW w:type="dxa" w:w="1728"/>
          </w:tcPr>
          <w:p>
            <w:pPr/>
            <w:r/>
            <w:r>
              <w:rPr/>
            </w:r>
            <w:r>
              <w:rPr>
                <w:b w:val="0"/>
              </w:rPr>
              <w:t>100%</w:t>
            </w:r>
          </w:p>
        </w:tc>
        <w:tc>
          <w:tcPr>
            <w:tcW w:type="dxa" w:w="1728"/>
          </w:tcPr>
          <w:p>
            <w:pPr/>
            <w:r/>
            <w:r>
              <w:rPr/>
            </w:r>
            <w:r>
              <w:rPr>
                <w:b w:val="0"/>
              </w:rPr>
              <w:t>100%</w:t>
            </w:r>
          </w:p>
        </w:tc>
        <w:tc>
          <w:tcPr>
            <w:tcW w:type="dxa" w:w="1728"/>
          </w:tcPr>
          <w:p>
            <w:pPr/>
            <w:r/>
            <w:r>
              <w:rPr/>
            </w:r>
            <w:r>
              <w:rPr>
                <w:b w:val="0"/>
              </w:rPr>
              <w:t>100%</w:t>
            </w:r>
          </w:p>
        </w:tc>
      </w:tr>
      <w:tr>
        <w:tc>
          <w:tcPr>
            <w:tcW w:type="dxa" w:w="1728"/>
          </w:tcPr>
          <w:p>
            <w:pPr/>
            <w:r/>
            <w:r>
              <w:rPr/>
            </w:r>
            <w:r>
              <w:rPr>
                <w:b w:val="0"/>
              </w:rPr>
              <w:t>*9</w:t>
            </w:r>
          </w:p>
        </w:tc>
        <w:tc>
          <w:tcPr>
            <w:tcW w:type="dxa" w:w="1728"/>
          </w:tcPr>
          <w:p>
            <w:pPr/>
            <w:r/>
            <w:r>
              <w:rPr/>
            </w:r>
            <w:r>
              <w:rPr>
                <w:b w:val="0"/>
              </w:rPr>
              <w:t>Pelaksanaan root-cause analysis &amp; SWOT tahunan Standar Sarana dan Prasarana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jc w:val="center"/>
      </w:pPr>
      <w:r>
        <w:rPr>
          <w:b/>
          <w:sz w:val="28"/>
        </w:rPr>
        <w:t>STANDAR PEMBIAYAAN PEMBELAJARAN</w:t>
      </w:r>
    </w:p>
    <w:p>
      <w:pPr/>
    </w:p>
    <w:p>
      <w:pPr>
        <w:spacing w:before="200" w:after="100"/>
      </w:pPr>
      <w:r>
        <w:rPr>
          <w:b/>
          <w:sz w:val="25"/>
        </w:rPr>
        <w:t>1. Daftar Istilah</w:t>
      </w:r>
    </w:p>
    <w:p>
      <w:pPr>
        <w:pStyle w:val="ListBullet"/>
        <w:spacing w:after="80"/>
      </w:pPr>
      <w:r>
        <w:rPr/>
        <w:t>Biaya Investasi Pendidikan Tinggi adalah bagian biaya pendidikan tinggi untuk pengadaan sarana dan prasarana, pengembangan dosen, dan tenaga kependidikan.</w:t>
      </w:r>
    </w:p>
    <w:p>
      <w:pPr>
        <w:pStyle w:val="ListBullet"/>
        <w:spacing w:after="80"/>
      </w:pPr>
      <w:r>
        <w:rPr/>
        <w:t>Biaya Operasional Pendidikan Tinggi adalah bagian biaya pendidikan tinggi yang diperlukan untuk melaksanakan kegiatan pendidikan mencakup biaya dosen dan tenaga kependidikan.</w:t>
      </w:r>
    </w:p>
    <w:p>
      <w:pPr>
        <w:pStyle w:val="ListBullet"/>
        <w:spacing w:after="80"/>
      </w:pPr>
      <w:r>
        <w:rPr/>
        <w:t>Dana Operasional Pendidikan (DOP) adalah biaya operasional pendidikan tinggi yang ditetapkan per mahasiswa per tahun.</w:t>
      </w:r>
    </w:p>
    <w:p>
      <w:pPr>
        <w:pStyle w:val="ListBullet"/>
        <w:spacing w:after="80"/>
      </w:pPr>
      <w:r>
        <w:rPr/>
        <w:t>Komponen Biaya Lain adalah pembiayaan di luar biaya pendidikan mahasiswa, antara lain hibah, jasa layanan profesi/keahlian, dan kerja sama kelembagaan pemerintah/swasta.</w:t>
      </w:r>
    </w:p>
    <w:p>
      <w:pPr>
        <w:pStyle w:val="ListBullet"/>
        <w:spacing w:after="80"/>
      </w:pPr>
      <w:r>
        <w:rPr/>
        <w:t>E-Budgeting adalah sistem perencanaan dan pelaporan anggaran berbasis elektronik yang menjamin transparansi dan akuntabilitas pengelolaan keuangan.</w:t>
      </w:r>
    </w:p>
    <w:p>
      <w:pPr>
        <w:spacing w:before="200" w:after="100"/>
      </w:pPr>
      <w:r>
        <w:rPr>
          <w:b/>
          <w:sz w:val="25"/>
        </w:rPr>
        <w:t>2. Pihak Yang Bertanggung Jawab Untuk Memenuhi Standar</w:t>
      </w:r>
    </w:p>
    <w:p>
      <w:pPr>
        <w:pStyle w:val="ListBullet"/>
        <w:spacing w:after="80"/>
      </w:pPr>
      <w:r>
        <w:rPr/>
        <w:t>Rektor, dalam menetapkan kebijakan pembiayaan pembelajaran.</w:t>
      </w:r>
    </w:p>
    <w:p>
      <w:pPr>
        <w:pStyle w:val="ListBullet"/>
        <w:spacing w:after="80"/>
      </w:pPr>
      <w:r>
        <w:rPr/>
        <w:t>Wakil Rektor Bidang Keuangan, dalam perencanaan dan pengendalian anggaran.</w:t>
      </w:r>
    </w:p>
    <w:p>
      <w:pPr>
        <w:pStyle w:val="ListBullet"/>
        <w:spacing w:after="80"/>
      </w:pPr>
      <w:r>
        <w:rPr/>
        <w:t>Direktorat Keuangan, dalam pencatatan, pelaporan, dan audit biaya operasional pendidikan.</w:t>
      </w:r>
    </w:p>
    <w:p>
      <w:pPr>
        <w:pStyle w:val="ListBullet"/>
        <w:spacing w:after="80"/>
      </w:pPr>
      <w:r>
        <w:rPr/>
        <w:t>Dekan FTII dan Ketua Program Studi, dalam pengusulan kebutuhan anggaran program studi.</w:t>
      </w:r>
    </w:p>
    <w:p>
      <w:pPr>
        <w:spacing w:before="200" w:after="100"/>
      </w:pPr>
      <w:r>
        <w:rPr>
          <w:b/>
          <w:sz w:val="25"/>
        </w:rPr>
        <w:t>3. Pernyataan Isi Standar Pembiayaan Pembelajaran</w:t>
      </w:r>
    </w:p>
    <w:p>
      <w:pPr>
        <w:pStyle w:val="ListNumber"/>
        <w:spacing w:after="120"/>
      </w:pPr>
      <w:r>
        <w:rPr/>
        <w:t>Program Studi Teknik Informatika wajib meningkatkan rata-rata dana operasional proses pembelajaran per mahasiswa per tahun secara bertahap dari paling sedikit Rp18.000.000 pada tahun pertama, mencapai paling sedikit Rp20.000.000 pada tahun kedua, dan Rp22.000.000 pada tahun ketiga, sehingga sejak tahun kedua mencapai dan pada tahun-tahun berikutnya melampaui ambang skor sempurna yang konsisten pada Panduan SPMI Program Sarjana, LAM Teknik, dan praktik baik SPMI perguruan tinggi sejenis.</w:t>
      </w:r>
    </w:p>
    <w:p>
      <w:pPr>
        <w:pStyle w:val="ListNumber"/>
        <w:spacing w:after="120"/>
      </w:pPr>
      <w:r>
        <w:rPr/>
        <w:t>Program Studi Teknik Informatika wajib menjaga persentase dana yang bersumber dari mahasiswa terhadap total perolehan dana perguruan tinggi paling banyak 40%.</w:t>
      </w:r>
    </w:p>
    <w:p>
      <w:pPr>
        <w:pStyle w:val="ListNumber"/>
        <w:spacing w:after="120"/>
      </w:pPr>
      <w:r>
        <w:rPr/>
        <w:t>Program Studi Teknik Informatika wajib meningkatkan diversifikasi sumber pendanaan non-mahasiswa dan non-kementerian/lembaga menuju paling sedikit 5% dalam jangka menengah dan paling sedikit 10% dalam jangka panjang.</w:t>
      </w:r>
    </w:p>
    <w:p>
      <w:pPr>
        <w:pStyle w:val="ListNumber"/>
        <w:spacing w:after="120"/>
      </w:pPr>
      <w:r>
        <w:rPr/>
        <w:t>Universitas wajib menetapkan sistem pencatatan biaya yang transparan, akurat, dan cepat, dapat diakses sampai level program studi setiap tahunnya.</w:t>
      </w:r>
    </w:p>
    <w:p>
      <w:pPr>
        <w:pStyle w:val="ListNumber"/>
        <w:spacing w:after="120"/>
      </w:pPr>
      <w:r>
        <w:rPr/>
        <w:t>Program Studi Teknik Informatika wajib menyediakan laporan keuangan perguruan tinggi secara komprehensif, transparan, dan akuntabel setiap tahun melalui sistem e-budgeting.</w:t>
      </w:r>
    </w:p>
    <w:p>
      <w:pPr>
        <w:pStyle w:val="ListNumber"/>
        <w:spacing w:after="120"/>
      </w:pPr>
      <w:r>
        <w:rPr/>
        <w:t>Universitas wajib melakukan evaluasi tingkat ketercapaian standar satuan biaya pendidikan tinggi pada setiap akhir tahun anggaran.</w:t>
      </w:r>
    </w:p>
    <w:p>
      <w:pPr>
        <w:spacing w:before="200" w:after="100"/>
      </w:pPr>
      <w:r>
        <w:rPr>
          <w:b/>
          <w:sz w:val="25"/>
        </w:rPr>
        <w:t>4. Strategi Pencapaian Standar</w:t>
      </w:r>
    </w:p>
    <w:p>
      <w:pPr>
        <w:pStyle w:val="ListNumber"/>
        <w:spacing w:after="120"/>
      </w:pPr>
      <w:r>
        <w:rPr/>
        <w:t>Rektor melalui Wakil Rektor Bidang Keuangan menetapkan Surat Keputusan tentang pedoman pembiayaan pembelajaran.</w:t>
      </w:r>
    </w:p>
    <w:p>
      <w:pPr>
        <w:pStyle w:val="ListNumber"/>
        <w:spacing w:after="120"/>
      </w:pPr>
      <w:r>
        <w:rPr/>
        <w:t>Direktorat Keuangan menyusun rencana anggaran bertahap untuk mencapai dana operasional pembelajaran minimal Rp20 juta/mahasiswa/tahun pada 2025/26, melalui optimalisasi alokasi anggaran fakultas dan universitas.</w:t>
      </w:r>
    </w:p>
    <w:p>
      <w:pPr>
        <w:pStyle w:val="ListNumber"/>
        <w:spacing w:after="120"/>
      </w:pPr>
      <w:r>
        <w:rPr/>
        <w:t>Universitas dan fakultas meningkatkan diversifikasi sumber pendanaan non-mahasiswa melalui kerja sama, hibah, layanan profesional, penelitian terapan, pelatihan bersertifikat, dan unit bisnis, menuju kontribusi minimal 10% pada 2026/27.</w:t>
      </w:r>
    </w:p>
    <w:p>
      <w:pPr>
        <w:pStyle w:val="ListNumber"/>
        <w:spacing w:after="120"/>
      </w:pPr>
      <w:r>
        <w:rPr/>
        <w:t>Direktorat Keuangan mengimplementasikan dan memutakhirkan sistem e-budgeting agar pencatatan biaya dapat diakses sampai level program studi.</w:t>
      </w:r>
    </w:p>
    <w:p>
      <w:pPr>
        <w:pStyle w:val="ListNumber"/>
        <w:spacing w:after="120"/>
      </w:pPr>
      <w:r>
        <w:rPr/>
        <w:t>Direktorat Keuangan melaksanakan evaluasi ketercapaian standar satuan biaya pendidikan tinggi setiap akhir tahun anggaran, dilaporkan kepada Rektor.</w:t>
      </w:r>
    </w:p>
    <w:p>
      <w:pPr>
        <w:spacing w:before="200" w:after="100"/>
      </w:pPr>
      <w:r>
        <w:rPr>
          <w:b/>
          <w:sz w:val="25"/>
        </w:rP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
              <w:rPr/>
            </w:r>
            <w:r>
              <w:rPr>
                <w:b/>
              </w:rPr>
              <w:t>No</w:t>
            </w:r>
          </w:p>
        </w:tc>
        <w:tc>
          <w:tcPr>
            <w:tcW w:type="dxa" w:w="1728"/>
          </w:tcPr>
          <w:p>
            <w:pPr/>
            <w:r/>
            <w:r>
              <w:rPr/>
            </w:r>
            <w:r>
              <w:rPr>
                <w:b/>
              </w:rPr>
              <w:t>Indikator Kinerja Utama (IKU) / Tambahan (IKT)</w:t>
            </w:r>
          </w:p>
        </w:tc>
        <w:tc>
          <w:tcPr>
            <w:tcW w:type="dxa" w:w="1728"/>
          </w:tcPr>
          <w:p>
            <w:pPr/>
            <w:r/>
            <w:r>
              <w:rPr/>
            </w:r>
            <w:r>
              <w:rPr/>
              <w:t>2024/2025</w:t>
            </w:r>
          </w:p>
        </w:tc>
        <w:tc>
          <w:tcPr>
            <w:tcW w:type="dxa" w:w="1728"/>
          </w:tcPr>
          <w:p>
            <w:pPr/>
            <w:r/>
            <w:r>
              <w:rPr/>
            </w:r>
            <w:r>
              <w:rPr/>
              <w:t>2025/2026</w:t>
            </w:r>
          </w:p>
        </w:tc>
        <w:tc>
          <w:tcPr>
            <w:tcW w:type="dxa" w:w="1728"/>
          </w:tcPr>
          <w:p>
            <w:pPr/>
            <w:r/>
            <w:r>
              <w:rPr/>
            </w:r>
            <w:r>
              <w:rPr/>
              <w:t>2026/2027</w:t>
            </w:r>
          </w:p>
        </w:tc>
      </w:tr>
      <w:tr>
        <w:tc>
          <w:tcPr>
            <w:tcW w:type="dxa" w:w="1728"/>
          </w:tcPr>
          <w:p>
            <w:pPr/>
            <w:r/>
            <w:r>
              <w:rPr/>
            </w:r>
            <w:r>
              <w:rPr>
                <w:b w:val="0"/>
              </w:rPr>
              <w:t>1</w:t>
            </w:r>
          </w:p>
        </w:tc>
        <w:tc>
          <w:tcPr>
            <w:tcW w:type="dxa" w:w="1728"/>
          </w:tcPr>
          <w:p>
            <w:pPr/>
            <w:r/>
            <w:r>
              <w:rPr/>
            </w:r>
            <w:r>
              <w:rPr>
                <w:b w:val="0"/>
              </w:rPr>
              <w:t>Dana operasional pembelajaran per mahasiswa per tahun</w:t>
            </w:r>
          </w:p>
        </w:tc>
        <w:tc>
          <w:tcPr>
            <w:tcW w:type="dxa" w:w="1728"/>
          </w:tcPr>
          <w:p>
            <w:pPr/>
            <w:r/>
            <w:r>
              <w:rPr/>
            </w:r>
            <w:r>
              <w:rPr>
                <w:b w:val="0"/>
              </w:rPr>
              <w:t>Rp18 juta</w:t>
            </w:r>
          </w:p>
        </w:tc>
        <w:tc>
          <w:tcPr>
            <w:tcW w:type="dxa" w:w="1728"/>
          </w:tcPr>
          <w:p>
            <w:pPr/>
            <w:r/>
            <w:r>
              <w:rPr/>
            </w:r>
            <w:r>
              <w:rPr>
                <w:b w:val="0"/>
              </w:rPr>
              <w:t>Rp20 juta</w:t>
            </w:r>
          </w:p>
        </w:tc>
        <w:tc>
          <w:tcPr>
            <w:tcW w:type="dxa" w:w="1728"/>
          </w:tcPr>
          <w:p>
            <w:pPr/>
            <w:r/>
            <w:r>
              <w:rPr/>
            </w:r>
            <w:r>
              <w:rPr>
                <w:b w:val="0"/>
              </w:rPr>
              <w:t>Rp22 juta</w:t>
            </w:r>
          </w:p>
        </w:tc>
      </w:tr>
      <w:tr>
        <w:tc>
          <w:tcPr>
            <w:tcW w:type="dxa" w:w="1728"/>
          </w:tcPr>
          <w:p>
            <w:pPr/>
            <w:r/>
            <w:r>
              <w:rPr/>
            </w:r>
            <w:r>
              <w:rPr>
                <w:b w:val="0"/>
              </w:rPr>
              <w:t>2</w:t>
            </w:r>
          </w:p>
        </w:tc>
        <w:tc>
          <w:tcPr>
            <w:tcW w:type="dxa" w:w="1728"/>
          </w:tcPr>
          <w:p>
            <w:pPr/>
            <w:r/>
            <w:r>
              <w:rPr/>
            </w:r>
            <w:r>
              <w:rPr>
                <w:b w:val="0"/>
              </w:rPr>
              <w:t>Persentase dana dari mahasiswa terhadap total dana</w:t>
            </w:r>
          </w:p>
        </w:tc>
        <w:tc>
          <w:tcPr>
            <w:tcW w:type="dxa" w:w="1728"/>
          </w:tcPr>
          <w:p>
            <w:pPr/>
            <w:r/>
            <w:r>
              <w:rPr/>
            </w:r>
            <w:r>
              <w:rPr>
                <w:b w:val="0"/>
              </w:rPr>
              <w:t>40%</w:t>
            </w:r>
          </w:p>
        </w:tc>
        <w:tc>
          <w:tcPr>
            <w:tcW w:type="dxa" w:w="1728"/>
          </w:tcPr>
          <w:p>
            <w:pPr/>
            <w:r/>
            <w:r>
              <w:rPr/>
            </w:r>
            <w:r>
              <w:rPr>
                <w:b w:val="0"/>
              </w:rPr>
              <w:t>38%</w:t>
            </w:r>
          </w:p>
        </w:tc>
        <w:tc>
          <w:tcPr>
            <w:tcW w:type="dxa" w:w="1728"/>
          </w:tcPr>
          <w:p>
            <w:pPr/>
            <w:r/>
            <w:r>
              <w:rPr/>
            </w:r>
            <w:r>
              <w:rPr>
                <w:b w:val="0"/>
              </w:rPr>
              <w:t>35%</w:t>
            </w:r>
          </w:p>
        </w:tc>
      </w:tr>
      <w:tr>
        <w:tc>
          <w:tcPr>
            <w:tcW w:type="dxa" w:w="1728"/>
          </w:tcPr>
          <w:p>
            <w:pPr/>
            <w:r/>
            <w:r>
              <w:rPr/>
            </w:r>
            <w:r>
              <w:rPr>
                <w:b w:val="0"/>
              </w:rPr>
              <w:t>3</w:t>
            </w:r>
          </w:p>
        </w:tc>
        <w:tc>
          <w:tcPr>
            <w:tcW w:type="dxa" w:w="1728"/>
          </w:tcPr>
          <w:p>
            <w:pPr/>
            <w:r/>
            <w:r>
              <w:rPr/>
            </w:r>
            <w:r>
              <w:rPr>
                <w:b w:val="0"/>
              </w:rPr>
              <w:t>Persentase dana non-mahasiswa/non-kementerian</w:t>
            </w:r>
          </w:p>
        </w:tc>
        <w:tc>
          <w:tcPr>
            <w:tcW w:type="dxa" w:w="1728"/>
          </w:tcPr>
          <w:p>
            <w:pPr/>
            <w:r/>
            <w:r>
              <w:rPr/>
            </w:r>
            <w:r>
              <w:rPr>
                <w:b w:val="0"/>
              </w:rPr>
              <w:t>5%</w:t>
            </w:r>
          </w:p>
        </w:tc>
        <w:tc>
          <w:tcPr>
            <w:tcW w:type="dxa" w:w="1728"/>
          </w:tcPr>
          <w:p>
            <w:pPr/>
            <w:r/>
            <w:r>
              <w:rPr/>
            </w:r>
            <w:r>
              <w:rPr>
                <w:b w:val="0"/>
              </w:rPr>
              <w:t>7%</w:t>
            </w:r>
          </w:p>
        </w:tc>
        <w:tc>
          <w:tcPr>
            <w:tcW w:type="dxa" w:w="1728"/>
          </w:tcPr>
          <w:p>
            <w:pPr/>
            <w:r/>
            <w:r>
              <w:rPr/>
            </w:r>
            <w:r>
              <w:rPr>
                <w:b w:val="0"/>
              </w:rPr>
              <w:t>10%</w:t>
            </w:r>
          </w:p>
        </w:tc>
      </w:tr>
      <w:tr>
        <w:tc>
          <w:tcPr>
            <w:tcW w:type="dxa" w:w="1728"/>
          </w:tcPr>
          <w:p>
            <w:pPr/>
            <w:r/>
            <w:r>
              <w:rPr/>
            </w:r>
            <w:r>
              <w:rPr>
                <w:b w:val="0"/>
              </w:rPr>
              <w:t>4</w:t>
            </w:r>
          </w:p>
        </w:tc>
        <w:tc>
          <w:tcPr>
            <w:tcW w:type="dxa" w:w="1728"/>
          </w:tcPr>
          <w:p>
            <w:pPr/>
            <w:r/>
            <w:r>
              <w:rPr/>
            </w:r>
            <w:r>
              <w:rPr>
                <w:b w:val="0"/>
              </w:rPr>
              <w:t>Ketersediaan laporan keuangan komprehensif (e-budgeting)</w:t>
            </w:r>
          </w:p>
        </w:tc>
        <w:tc>
          <w:tcPr>
            <w:tcW w:type="dxa" w:w="1728"/>
          </w:tcPr>
          <w:p>
            <w:pPr/>
            <w:r/>
            <w:r>
              <w:rPr/>
            </w:r>
            <w:r>
              <w:rPr>
                <w:b w:val="0"/>
              </w:rPr>
              <w:t>Tersedia</w:t>
            </w:r>
          </w:p>
        </w:tc>
        <w:tc>
          <w:tcPr>
            <w:tcW w:type="dxa" w:w="1728"/>
          </w:tcPr>
          <w:p>
            <w:pPr/>
            <w:r/>
            <w:r>
              <w:rPr/>
            </w:r>
            <w:r>
              <w:rPr>
                <w:b w:val="0"/>
              </w:rPr>
              <w:t>Tersedia</w:t>
            </w:r>
          </w:p>
        </w:tc>
        <w:tc>
          <w:tcPr>
            <w:tcW w:type="dxa" w:w="1728"/>
          </w:tcPr>
          <w:p>
            <w:pPr/>
            <w:r/>
            <w:r>
              <w:rPr/>
            </w:r>
            <w:r>
              <w:rPr>
                <w:b w:val="0"/>
              </w:rPr>
              <w:t>Tersedia</w:t>
            </w:r>
          </w:p>
        </w:tc>
      </w:tr>
      <w:tr>
        <w:tc>
          <w:tcPr>
            <w:tcW w:type="dxa" w:w="1728"/>
          </w:tcPr>
          <w:p>
            <w:pPr/>
            <w:r/>
            <w:r>
              <w:rPr/>
            </w:r>
            <w:r>
              <w:rPr>
                <w:b w:val="0"/>
              </w:rPr>
              <w:t>5</w:t>
            </w:r>
          </w:p>
        </w:tc>
        <w:tc>
          <w:tcPr>
            <w:tcW w:type="dxa" w:w="1728"/>
          </w:tcPr>
          <w:p>
            <w:pPr/>
            <w:r/>
            <w:r>
              <w:rPr/>
            </w:r>
            <w:r>
              <w:rPr>
                <w:b w:val="0"/>
              </w:rPr>
              <w:t>Evaluasi ketercapaian standar satuan biaya pendidikan tinggi</w:t>
            </w:r>
          </w:p>
        </w:tc>
        <w:tc>
          <w:tcPr>
            <w:tcW w:type="dxa" w:w="1728"/>
          </w:tcPr>
          <w:p>
            <w:pPr/>
            <w:r/>
            <w:r>
              <w:rPr/>
            </w:r>
            <w:r>
              <w:rPr>
                <w:b w:val="0"/>
              </w:rPr>
              <w:t>1 kali/tahun</w:t>
            </w:r>
          </w:p>
        </w:tc>
        <w:tc>
          <w:tcPr>
            <w:tcW w:type="dxa" w:w="1728"/>
          </w:tcPr>
          <w:p>
            <w:pPr/>
            <w:r/>
            <w:r>
              <w:rPr/>
            </w:r>
            <w:r>
              <w:rPr>
                <w:b w:val="0"/>
              </w:rPr>
              <w:t>1 kali/tahun</w:t>
            </w:r>
          </w:p>
        </w:tc>
        <w:tc>
          <w:tcPr>
            <w:tcW w:type="dxa" w:w="1728"/>
          </w:tcPr>
          <w:p>
            <w:pPr/>
            <w:r/>
            <w:r>
              <w:rPr/>
            </w:r>
            <w:r>
              <w:rPr>
                <w:b w:val="0"/>
              </w:rPr>
              <w:t>1 kali/tahun</w:t>
            </w:r>
          </w:p>
        </w:tc>
      </w:tr>
      <w:tr>
        <w:tc>
          <w:tcPr>
            <w:tcW w:type="dxa" w:w="1728"/>
          </w:tcPr>
          <w:p>
            <w:pPr/>
            <w:r/>
            <w:r>
              <w:rPr/>
            </w:r>
            <w:r>
              <w:rPr>
                <w:b w:val="0"/>
              </w:rPr>
              <w:t>*6</w:t>
            </w:r>
          </w:p>
        </w:tc>
        <w:tc>
          <w:tcPr>
            <w:tcW w:type="dxa" w:w="1728"/>
          </w:tcPr>
          <w:p>
            <w:pPr/>
            <w:r/>
            <w:r>
              <w:rPr/>
            </w:r>
            <w:r>
              <w:rPr>
                <w:b w:val="0"/>
              </w:rPr>
              <w:t>Pelaksanaan root-cause analysis &amp; SWOT tahunan Standar Pembiayaan (sesuai Standar SPMI)</w:t>
            </w:r>
          </w:p>
        </w:tc>
        <w:tc>
          <w:tcPr>
            <w:tcW w:type="dxa" w:w="1728"/>
          </w:tcPr>
          <w:p>
            <w:pPr/>
            <w:r/>
            <w:r>
              <w:rPr/>
            </w:r>
            <w:r>
              <w:rPr>
                <w:b w:val="0"/>
              </w:rPr>
              <w:t>Terlaksana</w:t>
            </w:r>
          </w:p>
        </w:tc>
        <w:tc>
          <w:tcPr>
            <w:tcW w:type="dxa" w:w="1728"/>
          </w:tcPr>
          <w:p>
            <w:pPr/>
            <w:r/>
            <w:r>
              <w:rPr/>
            </w:r>
            <w:r>
              <w:rPr>
                <w:b w:val="0"/>
              </w:rPr>
              <w:t>Terlaksana</w:t>
            </w:r>
          </w:p>
        </w:tc>
        <w:tc>
          <w:tcPr>
            <w:tcW w:type="dxa" w:w="1728"/>
          </w:tcPr>
          <w:p>
            <w:pPr/>
            <w:r/>
            <w:r>
              <w:rPr/>
            </w:r>
            <w:r>
              <w:rPr>
                <w:b w:val="0"/>
              </w:rPr>
              <w:t>Terlaksana</w:t>
            </w:r>
          </w:p>
        </w:tc>
      </w:tr>
    </w:tbl>
    <w:p>
      <w:pPr/>
    </w:p>
    <w:p>
      <w:pPr>
        <w:spacing w:before="320" w:after="160"/>
      </w:pPr>
      <w:r>
        <w:rPr>
          <w:b/>
          <w:sz w:val="28"/>
        </w:rPr>
        <w:t>DOKUMEN TERKAIT PELAKSANAAN STANDAR</w:t>
      </w:r>
    </w:p>
    <w:p>
      <w:pPr>
        <w:pStyle w:val="ListNumber"/>
        <w:spacing w:after="120"/>
      </w:pPr>
      <w:r>
        <w:rPr/>
        <w:t>Keputusan Rektor tentang penetapan Standar Masukan Pendidikan Program Studi Teknik Informatika.</w:t>
      </w:r>
    </w:p>
    <w:p>
      <w:pPr>
        <w:pStyle w:val="ListNumber"/>
        <w:spacing w:after="120"/>
      </w:pPr>
      <w:r>
        <w:rPr/>
        <w:t>Dokumen kurikulum tiap program studi berbasis OBE beserta berita acara tinjauan kurikulum dan pelibatan pemangku kepentingan.</w:t>
      </w:r>
    </w:p>
    <w:p>
      <w:pPr>
        <w:pStyle w:val="ListNumber"/>
        <w:spacing w:after="120"/>
      </w:pPr>
      <w:r>
        <w:rPr/>
        <w:t>Daftar mata kuliah dan RPS yang memanfaatkan hasil penelitian, PkM, proyek, dan studi kasus.</w:t>
      </w:r>
    </w:p>
    <w:p>
      <w:pPr>
        <w:pStyle w:val="ListNumber"/>
        <w:spacing w:after="120"/>
      </w:pPr>
      <w:r>
        <w:rPr/>
        <w:t>Data PDDikti: rasio dosen tetap:mahasiswa (DTPS/DTPR), kualifikasi akademik, jabatan fungsional, dan sertifikasi pendidik dosen per program studi.</w:t>
      </w:r>
    </w:p>
    <w:p>
      <w:pPr>
        <w:pStyle w:val="ListNumber"/>
        <w:spacing w:after="120"/>
      </w:pPr>
      <w:r>
        <w:rPr/>
        <w:t>Dokumen sertifikat kompetensi/profesi/industri dosen dan bukti penugasan dosen industri/praktisi pada mata kuliah kompetensi.</w:t>
      </w:r>
    </w:p>
    <w:p>
      <w:pPr>
        <w:pStyle w:val="ListNumber"/>
        <w:spacing w:after="120"/>
      </w:pPr>
      <w:r>
        <w:rPr/>
        <w:t>Laporan Kinerja Dosen (LKD) dan Beban Kerja Dosen (BKD) yang memuat aktivitas penelitian, PkM, publikasi, rekognisi, dan sitasi.</w:t>
      </w:r>
    </w:p>
    <w:p>
      <w:pPr>
        <w:pStyle w:val="ListNumber"/>
        <w:spacing w:after="120"/>
      </w:pPr>
      <w:r>
        <w:rPr/>
        <w:t>Dokumen hibah penelitian dan PkM internal/eksternal beserta rekapitulasi dana per dosen per tahun.</w:t>
      </w:r>
    </w:p>
    <w:p>
      <w:pPr>
        <w:pStyle w:val="ListNumber"/>
        <w:spacing w:after="120"/>
      </w:pPr>
      <w:r>
        <w:rPr/>
        <w:t>Dokumentasi dan surat keterangan adopsi/pemanfaatan produk/jasa karya dosen oleh industri/masyarakat.</w:t>
      </w:r>
    </w:p>
    <w:p>
      <w:pPr>
        <w:pStyle w:val="ListNumber"/>
        <w:spacing w:after="120"/>
      </w:pPr>
      <w:r>
        <w:rPr/>
        <w:t>Dokumen kepemilikan lahan dan bangunan, data rasio luas bangunan dan ruang dosen, serta dokumentasi kelengkapan sarana akademik (media pembelajaran, perangkat elektronik, koleksi perpustakaan).</w:t>
      </w:r>
    </w:p>
    <w:p>
      <w:pPr>
        <w:pStyle w:val="ListNumber"/>
        <w:spacing w:after="120"/>
      </w:pPr>
      <w:r>
        <w:rPr/>
        <w:t>Dokumen kebijakan dan laporan pelaksanaan K3L skala kampus, serta dokumentasi fasilitas ibadah.</w:t>
      </w:r>
    </w:p>
    <w:p>
      <w:pPr>
        <w:pStyle w:val="ListNumber"/>
        <w:spacing w:after="120"/>
      </w:pPr>
      <w:r>
        <w:rPr/>
        <w:t>Dokumentasi sarana aksesibilitas difabel (5 aspek) dan bukti operasional sistem informasi terintegrasi.</w:t>
      </w:r>
    </w:p>
    <w:p>
      <w:pPr>
        <w:pStyle w:val="ListNumber"/>
        <w:spacing w:after="120"/>
      </w:pPr>
      <w:r>
        <w:rPr/>
        <w:t>Laporan keuangan tahunan (e-budgeting) yang memuat realisasi dana operasional per mahasiswa, proporsi dana dari mahasiswa, dan diversifikasi sumber pendanaan.</w:t>
      </w:r>
    </w:p>
    <w:p>
      <w:pPr>
        <w:pStyle w:val="ListNumber"/>
        <w:spacing w:after="120"/>
      </w:pPr>
      <w:r>
        <w:rPr/>
        <w:t>Dokumen root-cause analysis dan SWOT tahunan atas keempat sub-standar Masukan Pendidikan, sesuai template Standar Penjaminan Mutu Internal FTII, beserta berita acara pembahasannya dalam RTM.</w:t>
      </w:r>
    </w:p>
    <w:p>
      <w:pPr>
        <w:pStyle w:val="ListNumber"/>
        <w:spacing w:after="120"/>
      </w:pPr>
      <w:r>
        <w:rPr/>
        <w:t>Laporan Audit Mutu Internal (AMI) dan Berita Acara Rapat Tinjauan Manajemen (RTM) atas Standar Masukan Pendidikan.</w:t>
      </w:r>
    </w:p>
    <w:p>
      <w:pPr>
        <w:pStyle w:val="ListNumber"/>
        <w:spacing w:after="120"/>
      </w:pPr>
      <w:r>
        <w:rPr/>
        <w:t>Rencana Tindak Lanjut (RTL) hasil evaluasi dan AMI periode berjalan.</w:t>
      </w:r>
    </w:p>
    <w:p>
      <w:pPr>
        <w:pStyle w:val="ListNumber"/>
        <w:spacing w:after="120"/>
      </w:pPr>
      <w:r>
        <w:rPr/>
        <w:t>Dokumen pemetaan gap Standar Masukan Pendidikan terhadap dokumen rujukan (standarmasukanpendidikan.docx) dan terhadap Kriteria C.4/C.5 LEDPS LAM Teknik 2025.</w:t>
      </w:r>
    </w:p>
    <w:p>
      <w:pPr>
        <w:spacing w:before="320" w:after="16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Presiden Republik Indonesia Nomor 8 Tahun 2012 tentang Kerangka Kualifikasi Nasional Indonesia (KKNI).</w:t>
      </w:r>
    </w:p>
    <w:p>
      <w:pPr>
        <w:pStyle w:val="ListNumber"/>
        <w:spacing w:after="120"/>
      </w:pPr>
      <w:r>
        <w:rPr/>
        <w:t>Peraturan Menteri Pendidikan, Kebudayaan, Riset, dan Teknologi Republik Indonesia Nomor 53 Tahun 2023 tentang Penjaminan Mutu Pendidikan Tinggi, khususnya Pasal 40-51.</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06/PERLAM/MA/LAM-INFOKOM/VI/2025 tentang Instrumen Akreditasi Program Studi 2.0 pada Program Sarjana Lingkup Informatika dan Komputer, April 2025 (S1-Matriks Penilaian.pdf dan S1-LED.pdf).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Dokumen pemetaan gap Standar Masukan Pendidikan Program Studi Teknik Informatika (standarmasukanpendidikan.docx).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