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MASUKAN PENELITIAN</w:t>
      </w:r>
    </w:p>
    <w:p>
      <w:pPr>
        <w:jc w:val="center"/>
      </w:pPr>
      <w:r>
        <w:rPr>
          <w:b/>
          <w:sz w:val="26"/>
        </w:rPr>
        <w:t>PROGRAM STUDI TEKNIK INDUSTRI</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Pr/>
    </w:p>
    <w:p>
      <w:pPr>
        <w:spacing w:after="120"/>
      </w:pPr>
      <w:r>
        <w:rPr>
          <w:b w:val="0"/>
          <w:i w:val="0"/>
        </w:rPr>
        <w:t>Dokumen ini merupakan revisi ke-2 dari Standar Masukan Penelitian Program Studi Teknik Industri UNISBANK. Revisi pertama disusun berdasarkan hasil pemetaan gap terhadap Panduan SPMI Program Sarjana dan Sarjana Terapan, Matriks Penilaian LAM Teknik APS-AV 2025 1.0, dan Kriteria Terakreditasi Unggul 2.1 LAM INFOKOM (Instrumen 1.0), didokumentasikan pada standarmasukanpenelitian.docx. Revisi ke-2 ini melakukan tiga penyempurnaan: (1) SUSUNAN BAGIAN direstrukturisasi mengikuti pola yang telah diterapkan pada Standar Masukan Pendidikan dan Standar Proses Pendidikan Program Studi Teknik Industri versi Unggul, yang memecah Standar Masukan Penelitian menjadi 4 (empat) sub-standar mandiri (Peneliti; Sarana dan Prasarana Penelitian; Pengelolaan Penelitian; Pendanaan dan Pembiayaan Penelitian), masing-masing dengan 5 komponen baku: Daftar Istilah, Pihak Yang Bertanggung Jawab, Pernyataan Isi Standar, Strategi Pencapaian Standar, dan Indikator Capaian Standar; (2) ISI diverifikasi terhadap Instrumen Akreditasi Program Studi 2.1 LAM INFOKOM (Peraturan LAM-INFOKOM Nomor 11/PERLAM/MA/LAM-INFOKOM/X/2025, November 2025) — instrumen LAM INFOKOM PALING MUTAKHIR — yang mengonfirmasi dokumen ini SELARAS dan pada sejumlah indikator MELAMPAUI cakupan minimal Kriteria 3 Relevansi Penelitian instrumen tersebut, karena instrumen 2.1 menilai unsur peta jalan penelitian, DTPR, sarana-prasarana, pembiayaan, dan kepuasan layanan penelitian melalui rubrik kualitatif berbobot skor tanpa ambang numerik eksplisit, sehingga seluruh ambang kuantitatif yang telah dikalibrasi terhadap LAM Teknik dan Kriteria Unggul 2.1 LAM INFOKOM (Instrumen 1.0) PADA REVISI PERTAMA DIPERTAHANKAN; dan (3) kolom tahun target diselaraskan menjadi 2024/2025-2026/2027. Instrumen 2.1 menegaskan istilah DTPR (Dosen Tetap Penghitung Rasio) sebagai padanan DTPS pada LAM Teknik; kedua istilah dipakai berdampingan pada dokumen ini.</w:t>
      </w:r>
    </w:p>
    <w:p>
      <w:pPr/>
    </w:p>
    <w:p>
      <w:pPr>
        <w:spacing w:before="280" w:after="120"/>
      </w:pPr>
      <w:r>
        <w:rPr>
          <w:b/>
          <w:sz w:val="26"/>
        </w:rPr>
        <w:t>1. VISI, MISI, DAN TUJUAN FTII</w:t>
      </w:r>
    </w:p>
    <w:p>
      <w:pPr>
        <w:spacing w:after="120"/>
      </w:pPr>
      <w:r>
        <w:rPr>
          <w:b w:val="0"/>
          <w:i w:val="0"/>
        </w:rPr>
        <w:t>Visi Fakultas Teknologi Informasi dan Industri (FTII) Universitas Stikubank (UNISBANK) Semarang: "Pada tahun 2035 menjadi Fakultas Teknologi Informasi dan Industri yang unggul, inovatif, adaptif dalam penerapan ilmu komputer, informatika dan industri yang berjiwa kewirausahaan dan berdaya saing internasional."</w:t>
      </w:r>
    </w:p>
    <w:p>
      <w:pPr>
        <w:spacing w:after="120"/>
      </w:pPr>
      <w:r>
        <w:rPr>
          <w:b w:val="0"/>
          <w:i w:val="0"/>
        </w:rPr>
        <w:t>Misi FTII mencakup: (1) menyelenggarakan pendidikan yang menghasilkan sarjana dan magister di bidang Teknologi Informasi dan Industri yang kompeten, unggul, dan mandiri; (2) melaksanakan penelitian dan pengkajian rekayasa yang inovatif dan berkontribusi pada pengembangan ilmu; (3) melaksanakan pengabdian kepada masyarakat yang bermanfaat bagi kesejahteraan masyarakat; (4) mengembangkan kerja sama pendidikan, penelitian, pengabdian, dan kerja praktik dengan industri pada tingkat lokal, nasional, dan internasional; dan (5) membentuk lulusan berkarakter mandiri, beretika, dan berjiwa wirausaha.</w:t>
      </w:r>
    </w:p>
    <w:p>
      <w:pPr>
        <w:spacing w:after="120"/>
      </w:pPr>
      <w:r>
        <w:rPr>
          <w:b w:val="0"/>
          <w:i w:val="0"/>
        </w:rPr>
        <w:t>Tujuan FTII mencakup terwujudnya organisasi yang transparan dan akuntabel berbasis TIK, lulusan yang kompeten dan berjiwa wirausaha, SDM yang produktif dalam penelitian dan menghasilkan karya ilmiah, serta jaringan kerja sama yang berkelanjutan — sebagaimana ditetapkan pada Standar Visi Misi FTII versi Unggul (Standar_Visi_Misi_Unggul_FTII.docx). Standar Masukan Penelitian ini menjadi salah satu prasyarat utama pencapaian visi, misi, dan tujuan tersebut melalui penyediaan sumber daya penelitian (peneliti, sarana-prasarana, pengelolaan, dan pendanaan) yang bermutu dan terukur.</w:t>
      </w:r>
    </w:p>
    <w:p>
      <w:pPr>
        <w:spacing w:before="280" w:after="120"/>
      </w:pPr>
      <w:r>
        <w:rPr>
          <w:b/>
          <w:sz w:val="26"/>
        </w:rPr>
        <w:t>2. RASIONAL</w:t>
      </w:r>
    </w:p>
    <w:p>
      <w:pPr>
        <w:spacing w:after="120"/>
      </w:pPr>
      <w:r>
        <w:rPr>
          <w:b w:val="0"/>
          <w:i w:val="0"/>
        </w:rPr>
        <w:t>Fakultas Teknologi Informasi dan Industri (FTII) UNISBANK menetapkan Standar Masukan Penelitian sebagai landasan penyediaan sumber daya penelitian — Rencana Strategis (Renstra) dan roadmap penelitian, sumber daya manusia peneliti, sarana dan prasarana, sistem informasi, serta pembiayaan — yang menjamin terselenggaranya penelitian bermutu sesuai Visi FTII 2035 dan Peraturan Menteri Pendidikan, Kebudayaan, Riset, dan Teknologi Nomor 53 Tahun 2023 tentang Penjaminan Mutu Pendidikan Tinggi.</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 mencakup produktivitas dan sebaran tingkat penelitian, dana penelitian per dosen, serta diversifikasi sumber pendanaan — dan memenuhi deskriptor tertinggi Kriteria 3 (Sumber Daya) Butir 3.1.A Kriteria Unggul 2.1 LAM INFOKOM (Instrumen 1.0: peta jalan penelitian, DTPR, sarana-prasarana, dan pembiayaan), serta selaras dengan Kriteria 3 Relevansi Penelitian pada Instrumen Akreditasi Program Studi 2.1 LAM INFOKOM (November 2025) untuk status Terakreditasi Unggul.</w:t>
      </w:r>
    </w:p>
    <w:p>
      <w:pPr>
        <w:spacing w:after="120"/>
      </w:pPr>
      <w:r>
        <w:rPr>
          <w:b w:val="0"/>
          <w:i w:val="0"/>
        </w:rPr>
        <w:t>Penyusunan standar ini didasarkan pada hasil analisis kesenjangan (gap analysis) terhadap dokumen Standar Masukan Penelitian Program Studi Teknik Industri sebelumnya, yang mengidentifikasi empat area prioritas penyesuaian: (a) penambahan indikator penghargaan/rekognisi peneliti dan mobilitas akademik (sabbatical/post-doc); (b) penambahan indikator persentase dana penelitian terhadap total dana perguruan tinggi; (c) perincian indikator roadmap penelitian dan sarana-prasarana penelitian yang sebelumnya bersifat sangat umum ("Tersedia") menjadi unsur-unsur konkret dan terukur; dan (d) konversi indikator yang bersifat flat/datar menjadi tren peningkatan bertahap. Keterlibatan mahasiswa dalam penelitian dosen diatur secara terukur pada Standar Proses Penelitian Program Studi Teknik Industri versi Unggul agar tidak terjadi duplikasi indikator antar-standar. Verifikasi terhadap Instrumen Akreditasi Program Studi 2.1 LAM INFOKOM mengonfirmasi bahwa instrumen ini memakai rubrik skor berbobot kualitatif (bukan ambang kuantitatif eksplisit), sehingga TIDAK mengubah kalibrasi angka yang sudah ditetapkan pada revisi sebelumnya — seluruh ambang dipertahankan, termasuk capaian yang sudah melampaui ambang rujukan: dana penelitian per dosen Rp20 juta/tahun (dua kali lipat ambang skor sempurna LAM Teknik) dan cakupan survei kepuasan dosen/mahasiswa/mitra penelitian yang melampaui cakupan responden minimal instrumen 2.1 (hanya dosen).</w:t>
      </w:r>
    </w:p>
    <w:p>
      <w:pPr>
        <w:spacing w:before="200" w:after="80"/>
      </w:pPr>
      <w:r>
        <w:rPr>
          <w:b/>
          <w:sz w:val="23"/>
        </w:rPr>
        <w:t>Ketentuan Lintas Sub-Standar: Root-Cause Analysis dan SWOT Tahunan</w:t>
      </w:r>
    </w:p>
    <w:p>
      <w:pPr>
        <w:spacing w:after="120"/>
      </w:pPr>
      <w:r>
        <w:rPr>
          <w:b w:val="0"/>
          <w:i w:val="0"/>
        </w:rPr>
        <w:t>*Sesuai kewajiban lintas-standar yang ditetapkan Standar Penjaminan Mutu Internal FTII versi Unggul (Standar_Penjaminan_Mutu_Internal_Unggul_FTII.docx), Program Studi Teknik Industri wajib melaksanakan Analisis Faktor Keberhasilan dan Penghambat (root-cause analysis) serta analisis SWOT atas ketercapaian SELURUH sub-standar Masukan Penelitian (Peneliti, Sarana dan Prasarana Penelitian, Pengelolaan Penelitian, Pendanaan dan Pembiayaan Penelitian) paling sedikit 1 (satu) kali setiap tahun akademik, sebagai bagian wajib pembahasan Rapat Tinjauan Manajemen (RTM) dan dasar penyusunan Rencana Tindak Lanjut (RTL). Ketentuan ini berlaku satu kali untuk keempat sub-standar di bawah dan tidak diulang pada masing-masing sub-standar.</w:t>
      </w:r>
    </w:p>
    <w:p>
      <w:pPr>
        <w:spacing w:after="120"/>
      </w:pPr>
      <w:r>
        <w:rPr>
          <w:b w:val="0"/>
          <w:i w:val="0"/>
        </w:rPr>
        <w:t>Melalui penerapan Standar Masukan Penelitian versi Unggul yang telah direstrukturisasi ini, Program Studi Teknik Industri FTII UNISBANK diharapkan memiliki basis sumber daya penelitian yang setara dengan program studi berakreditasi Unggul, sekaligus berfungsi ganda sebagai instrumen penjaminan mutu internal (SPMI) dan instrumen kesiapan akreditasi eksternal LAM Teknik dan LAM INFOKOM (Instrumen 1.0 dan 2.1).</w:t>
      </w:r>
    </w:p>
    <w:p>
      <w:pPr>
        <w:spacing w:before="280" w:after="120"/>
      </w:pPr>
      <w:r>
        <w:rPr>
          <w:b/>
          <w:sz w:val="28"/>
        </w:rPr>
        <w:t>STANDAR ISI PENELITIAN</w:t>
      </w:r>
    </w:p>
    <w:p>
      <w:pPr>
        <w:spacing w:before="160" w:after="80"/>
      </w:pPr>
      <w:r>
        <w:rPr>
          <w:b/>
          <w:sz w:val="23"/>
        </w:rPr>
        <w:t>1. Daftar Istilah</w:t>
      </w:r>
    </w:p>
    <w:p>
      <w:pPr>
        <w:spacing w:after="120"/>
      </w:pPr>
      <w:r>
        <w:rPr>
          <w:b w:val="0"/>
          <w:i w:val="0"/>
        </w:rPr>
        <w:t>Rencana Induk Penelitian (RIP) adalah dokumen perencanaan strategis penelitian jangka panjang yang menjadi acuan arah, fokus, dan pengembangan penelitian institusi.</w:t>
      </w:r>
    </w:p>
    <w:p>
      <w:pPr>
        <w:spacing w:after="120"/>
      </w:pPr>
      <w:r>
        <w:rPr>
          <w:b w:val="0"/>
          <w:i w:val="0"/>
        </w:rPr>
        <w:t>Roadmap Penelitian adalah peta jalan penelitian yang memuat tema, tahapan, dan target capaian penelitian dosen dan mahasiswa, selaras dengan Visi, Misi, Tujuan, dan Strategi (VMTS) serta RIP.</w:t>
      </w:r>
    </w:p>
    <w:p>
      <w:pPr>
        <w:spacing w:after="120"/>
      </w:pPr>
      <w:r>
        <w:rPr>
          <w:b w:val="0"/>
          <w:i w:val="0"/>
        </w:rPr>
        <w:t>VMTS adalah Visi, Misi, Tujuan, dan Strategi Fakultas/Universitas yang menjadi dasar penyusunan arah dan fokus penelitian.</w:t>
      </w:r>
    </w:p>
    <w:p>
      <w:pPr>
        <w:spacing w:after="120"/>
      </w:pPr>
      <w:r>
        <w:rPr>
          <w:b w:val="0"/>
          <w:i w:val="0"/>
        </w:rPr>
        <w:t>Kesesuaian Roadmap adalah keselarasan antara judul/topik penelitian dosen dengan tema dan fokus yang ditetapkan dalam roadmap penelitian.</w:t>
      </w:r>
    </w:p>
    <w:p>
      <w:pPr>
        <w:spacing w:before="160" w:after="80"/>
      </w:pPr>
      <w:r>
        <w:rPr>
          <w:b/>
          <w:sz w:val="23"/>
        </w:rPr>
        <w:t>2. Pihak Yang Bertanggung Jawab Untuk Memenuhi Standar</w:t>
      </w:r>
    </w:p>
    <w:p>
      <w:pPr>
        <w:pStyle w:val="ListNumber"/>
        <w:spacing w:after="120"/>
      </w:pPr>
      <w:r>
        <w:rPr/>
        <w:t>Rektor, dalam menetapkan kebijakan Standar Perencanaan Penelitian atas usulan Dekan FTII.</w:t>
      </w:r>
    </w:p>
    <w:p>
      <w:pPr>
        <w:pStyle w:val="ListNumber"/>
        <w:spacing w:after="120"/>
      </w:pPr>
      <w:r>
        <w:rPr/>
        <w:t>Direktorat Penelitian, Pengabdian kepada Masyarakat dan Publikasi (DPPMP) bersama Dekan FTII, dalam penyusunan dan pemutakhiran RIP/roadmap penelitian fakultas dan program studi.</w:t>
      </w:r>
    </w:p>
    <w:p>
      <w:pPr>
        <w:pStyle w:val="ListNumber"/>
        <w:spacing w:after="120"/>
      </w:pPr>
      <w:r>
        <w:rPr/>
        <w:t>Ketua Program Studi, dalam pemetaan dan pemastian kesesuaian penelitian dosen terhadap roadmap/RIP.</w:t>
      </w:r>
    </w:p>
    <w:p>
      <w:pPr>
        <w:pStyle w:val="ListNumber"/>
        <w:spacing w:after="120"/>
      </w:pPr>
      <w:r>
        <w:rPr/>
        <w:t>Gugus Kendali Mutu (GKM) Program Studi, dalam verifikasi kesesuaian roadmap sebelum penelitian dilaksanakan.</w:t>
      </w:r>
    </w:p>
    <w:p>
      <w:pPr>
        <w:spacing w:before="160" w:after="80"/>
      </w:pPr>
      <w:r>
        <w:rPr>
          <w:b/>
          <w:sz w:val="23"/>
        </w:rPr>
        <w:t>3. Pernyataan Isi Standar Isi Penelitian</w:t>
      </w:r>
    </w:p>
    <w:p>
      <w:pPr>
        <w:pStyle w:val="ListNumber"/>
        <w:spacing w:after="120"/>
      </w:pPr>
      <w:r>
        <w:rPr/>
        <w:t>Program Studi Teknik Industri wajib memiliki dan menerapkan Standar Proses Penelitian yang ditetapkan melalui keputusan Rektor dan ditinjau paling sedikit satu kali dalam satu siklus Renstra.</w:t>
      </w:r>
    </w:p>
    <w:p>
      <w:pPr>
        <w:pStyle w:val="ListNumber"/>
        <w:spacing w:after="120"/>
      </w:pPr>
      <w:r>
        <w:rPr/>
        <w:t>Program Studi Teknik Industri wajib memiliki Rencana Induk Penelitian (RIP)/roadmap penelitian fakultas dan program studi yang selaras dengan VMTS, digunakan sebagai acuan seluruh kegiatan penelitian dosen dan mahasiswa.</w:t>
      </w:r>
    </w:p>
    <w:p>
      <w:pPr>
        <w:pStyle w:val="ListNumber"/>
        <w:spacing w:after="120"/>
      </w:pPr>
      <w:r>
        <w:rPr/>
        <w:t>Program Studi Teknik Industri wajib menjamin persentase penelitian dosen yang selaras dengan roadmap/RIP paling sedikit 90% pada tahun pertama penerapan standar, meningkat menjadi 100% pada tahun ketiga.</w:t>
      </w:r>
    </w:p>
    <w:p>
      <w:pPr>
        <w:pStyle w:val="ListNumber"/>
        <w:spacing w:after="120"/>
      </w:pPr>
      <w:r>
        <w:rPr/>
        <w:t>Program Studi Teknik Industri wajib melaksanakan sosialisasi RIP/roadmap penelitian kepada dosen dan mahasiswa paling sedikit satu kali per tahun.</w:t>
      </w:r>
    </w:p>
    <w:p>
      <w:pPr>
        <w:spacing w:before="160" w:after="80"/>
      </w:pPr>
      <w:r>
        <w:rPr>
          <w:b/>
          <w:sz w:val="23"/>
        </w:rPr>
        <w:t>4. Strategi Pencapaian Standar</w:t>
      </w:r>
    </w:p>
    <w:p>
      <w:pPr>
        <w:pStyle w:val="ListNumber"/>
        <w:spacing w:after="120"/>
      </w:pPr>
      <w:r>
        <w:rPr/>
        <w:t>Rektor menetapkan kebijakan Standar Perencanaan Penelitian FTII sebagai bagian dari SPMI Universitas, dengan ambang indikator disetarakan pada skor tertinggi instrumen LAM Teknik dan kriteria Unggul LAM INFOKOM.</w:t>
      </w:r>
    </w:p>
    <w:p>
      <w:pPr>
        <w:pStyle w:val="ListNumber"/>
        <w:spacing w:after="120"/>
      </w:pPr>
      <w:r>
        <w:rPr/>
        <w:t>DPPMP bersama Dekan FTII menyusun dan memutakhirkan RIP/roadmap penelitian fakultas dan program studi, serta melaksanakan sosialisasi kepada dosen dan mahasiswa paling sedikit satu kali per tahun.</w:t>
      </w:r>
    </w:p>
    <w:p>
      <w:pPr>
        <w:pStyle w:val="ListNumber"/>
        <w:spacing w:after="120"/>
      </w:pPr>
      <w:r>
        <w:rPr/>
        <w:t>Ketua Program Studi memastikan setiap judul penelitian dosen dipetakan terhadap roadmap/RIP, dengan verifikasi kesesuaian dilakukan oleh GKM Program Studi sebelum penelitian dilaksanakan.</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Ketersediaan RIP/roadmap penelitian fakultas dan prodi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2</w:t>
            </w:r>
          </w:p>
        </w:tc>
        <w:tc>
          <w:tcPr>
            <w:tcW w:type="dxa" w:w="1234"/>
          </w:tcPr>
          <w:p>
            <w:pPr/>
            <w:r/>
            <w:r>
              <w:rPr/>
            </w:r>
            <w:r>
              <w:rPr>
                <w:b w:val="0"/>
              </w:rPr>
              <w:t>Penelitian dosen selaras roadmap/RIP [IKU - baru]</w:t>
            </w:r>
          </w:p>
        </w:tc>
        <w:tc>
          <w:tcPr>
            <w:tcW w:type="dxa" w:w="1234"/>
          </w:tcPr>
          <w:p>
            <w:pPr/>
            <w:r/>
            <w:r>
              <w:rPr/>
            </w:r>
            <w:r>
              <w:rPr>
                <w:b w:val="0"/>
              </w:rPr>
              <w:t>%</w:t>
            </w:r>
          </w:p>
        </w:tc>
        <w:tc>
          <w:tcPr>
            <w:tcW w:type="dxa" w:w="1234"/>
          </w:tcPr>
          <w:p>
            <w:pPr/>
            <w:r/>
            <w:r>
              <w:rPr/>
            </w:r>
            <w:r>
              <w:rPr>
                <w:b w:val="0"/>
              </w:rPr>
              <w:t>≥90-100 (R4)</w:t>
            </w:r>
          </w:p>
        </w:tc>
        <w:tc>
          <w:tcPr>
            <w:tcW w:type="dxa" w:w="1234"/>
          </w:tcPr>
          <w:p>
            <w:pPr/>
            <w:r/>
            <w:r>
              <w:rPr/>
            </w:r>
            <w:r>
              <w:rPr>
                <w:b w:val="0"/>
              </w:rPr>
              <w:t>90</w:t>
            </w:r>
          </w:p>
        </w:tc>
        <w:tc>
          <w:tcPr>
            <w:tcW w:type="dxa" w:w="1234"/>
          </w:tcPr>
          <w:p>
            <w:pPr/>
            <w:r/>
            <w:r>
              <w:rPr/>
            </w:r>
            <w:r>
              <w:rPr>
                <w:b w:val="0"/>
              </w:rPr>
              <w:t>95</w:t>
            </w:r>
          </w:p>
        </w:tc>
        <w:tc>
          <w:tcPr>
            <w:tcW w:type="dxa" w:w="1234"/>
          </w:tcPr>
          <w:p>
            <w:pPr/>
            <w:r/>
            <w:r>
              <w:rPr/>
            </w:r>
            <w:r>
              <w:rPr>
                <w:b w:val="0"/>
              </w:rPr>
              <w:t>100</w:t>
            </w:r>
          </w:p>
        </w:tc>
      </w:tr>
      <w:tr>
        <w:tc>
          <w:tcPr>
            <w:tcW w:type="dxa" w:w="1234"/>
          </w:tcPr>
          <w:p>
            <w:pPr/>
            <w:r/>
            <w:r>
              <w:rPr/>
            </w:r>
            <w:r>
              <w:rPr>
                <w:b w:val="0"/>
              </w:rPr>
              <w:t>3</w:t>
            </w:r>
          </w:p>
        </w:tc>
        <w:tc>
          <w:tcPr>
            <w:tcW w:type="dxa" w:w="1234"/>
          </w:tcPr>
          <w:p>
            <w:pPr/>
            <w:r/>
            <w:r>
              <w:rPr/>
            </w:r>
            <w:r>
              <w:rPr>
                <w:b w:val="0"/>
              </w:rPr>
              <w:t>Sosialisasi RIP/roadmap penelitian [IKT - baru]</w:t>
            </w:r>
          </w:p>
        </w:tc>
        <w:tc>
          <w:tcPr>
            <w:tcW w:type="dxa" w:w="1234"/>
          </w:tcPr>
          <w:p>
            <w:pPr/>
            <w:r/>
            <w:r>
              <w:rPr/>
            </w:r>
            <w:r>
              <w:rPr>
                <w:b w:val="0"/>
              </w:rPr>
              <w:t>Kali/tahun (min)</w:t>
            </w:r>
          </w:p>
        </w:tc>
        <w:tc>
          <w:tcPr>
            <w:tcW w:type="dxa" w:w="1234"/>
          </w:tcPr>
          <w:p>
            <w:pPr/>
            <w:r/>
            <w:r>
              <w:rPr/>
            </w:r>
            <w:r>
              <w:rPr>
                <w:b w:val="0"/>
              </w:rPr>
              <w:t>≥1 (R4)</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bl>
    <w:p>
      <w:pPr/>
    </w:p>
    <w:p>
      <w:pPr>
        <w:spacing w:before="280" w:after="120"/>
      </w:pPr>
      <w:r>
        <w:rPr>
          <w:b/>
          <w:sz w:val="28"/>
        </w:rPr>
        <w:t>STANDAR PENELITI</w:t>
      </w:r>
    </w:p>
    <w:p>
      <w:pPr>
        <w:spacing w:before="200" w:after="80"/>
      </w:pPr>
      <w:r>
        <w:rPr>
          <w:b/>
          <w:sz w:val="23"/>
        </w:rPr>
        <w:t>1. Daftar Istilah</w:t>
      </w:r>
    </w:p>
    <w:p>
      <w:pPr>
        <w:spacing w:after="120"/>
      </w:pPr>
      <w:r>
        <w:rPr>
          <w:b w:val="0"/>
          <w:i w:val="0"/>
        </w:rPr>
        <w:t>Dosen Tetap Penghitung Rasio (DTPR) adalah dosen tetap institusi dengan keahlian bidang informatika dan komputer yang ditugaskan melaksanakan penelitian pada program studi yang diakreditasi, dipakai berdampingan dengan istilah DTPS (Dosen Tetap Program Studi) pada LAM Teknik.</w:t>
      </w:r>
    </w:p>
    <w:p>
      <w:pPr>
        <w:spacing w:after="120"/>
      </w:pPr>
      <w:r>
        <w:rPr>
          <w:b w:val="0"/>
          <w:i w:val="0"/>
        </w:rPr>
        <w:t>Ketua Peneliti adalah dosen yang bertanggung jawab memimpin pelaksanaan suatu penelitian, memenuhi kualifikasi dan persyaratan sesuai skema penelitian yang berlaku.</w:t>
      </w:r>
    </w:p>
    <w:p>
      <w:pPr>
        <w:spacing w:after="120"/>
      </w:pPr>
      <w:r>
        <w:rPr>
          <w:b w:val="0"/>
          <w:i w:val="0"/>
        </w:rPr>
        <w:t>Anggota Peneliti adalah dosen dan/atau mahasiswa yang terlibat dalam pelaksanaan penelitian di bawah koordinasi ketua peneliti.</w:t>
      </w:r>
    </w:p>
    <w:p>
      <w:pPr>
        <w:spacing w:after="120"/>
      </w:pPr>
      <w:r>
        <w:rPr>
          <w:b w:val="0"/>
          <w:i w:val="0"/>
        </w:rPr>
        <w:t>Tenaga Bantu Penelitian adalah tenaga kependidikan, laboran, atau mahasiswa yang mendukung pelaksanaan teknis kegiatan penelitian.</w:t>
      </w:r>
    </w:p>
    <w:p>
      <w:pPr>
        <w:spacing w:after="120"/>
      </w:pPr>
      <w:r>
        <w:rPr>
          <w:b w:val="0"/>
          <w:i w:val="0"/>
        </w:rPr>
        <w:t>Sabbatical adalah cuti akademik yang diberikan kepada dosen untuk melaksanakan penelitian, penulisan karya ilmiah, atau pengembangan keilmuan pada institusi lain dalam jangka waktu tertentu.</w:t>
      </w:r>
    </w:p>
    <w:p>
      <w:pPr>
        <w:spacing w:after="120"/>
      </w:pPr>
      <w:r>
        <w:rPr>
          <w:b w:val="0"/>
          <w:i w:val="0"/>
        </w:rPr>
        <w:t>Post-Doctoral adalah program penelitian lanjutan yang diikuti dosen bergelar Doktor pada institusi riset dalam atau luar negeri untuk memperdalam kompetensi keilmuan.</w:t>
      </w:r>
    </w:p>
    <w:p>
      <w:pPr>
        <w:spacing w:after="120"/>
      </w:pPr>
      <w:r>
        <w:rPr>
          <w:b w:val="0"/>
          <w:i w:val="0"/>
        </w:rPr>
        <w:t>Rekognisi/Penghargaan Penelitian adalah pengakuan formal atas kualitas dan kontribusi hasil penelitian dosen, diberikan oleh lembaga/asosiasi tingkat nasional maupun internasional.</w:t>
      </w:r>
    </w:p>
    <w:p>
      <w:pPr>
        <w:spacing w:before="200" w:after="80"/>
      </w:pPr>
      <w:r>
        <w:rPr>
          <w:b/>
          <w:sz w:val="23"/>
        </w:rPr>
        <w:t>2. Pihak Yang Bertanggung Jawab Untuk Memenuhi Standar</w:t>
      </w:r>
    </w:p>
    <w:p>
      <w:pPr>
        <w:pStyle w:val="ListBullet"/>
        <w:spacing w:after="80"/>
      </w:pPr>
      <w:r>
        <w:rPr/>
        <w:t>Rektor, dalam menetapkan kebijakan pengelolaan sumber daya manusia peneliti.</w:t>
      </w:r>
    </w:p>
    <w:p>
      <w:pPr>
        <w:pStyle w:val="ListBullet"/>
        <w:spacing w:after="80"/>
      </w:pPr>
      <w:r>
        <w:rPr/>
        <w:t>Direktorat Penelitian, Pengabdian kepada Masyarakat dan Publikasi (DPPMP), dalam penyelenggaraan kegiatan pengembangan kompetensi peneliti, fasilitasi penghargaan, dan mobilitas akademik.</w:t>
      </w:r>
    </w:p>
    <w:p>
      <w:pPr>
        <w:pStyle w:val="ListBullet"/>
        <w:spacing w:after="80"/>
      </w:pPr>
      <w:r>
        <w:rPr/>
        <w:t>Dekan FTII, dalam pemantauan produktivitas dan sebaran tingkat penelitian dosen tingkat program studi.</w:t>
      </w:r>
    </w:p>
    <w:p>
      <w:pPr>
        <w:pStyle w:val="ListBullet"/>
        <w:spacing w:after="80"/>
      </w:pPr>
      <w:r>
        <w:rPr/>
        <w:t>Ketua Program Studi, dalam verifikasi jumlah penelitian per dosen dan kualifikasi ketua/anggota peneliti.</w:t>
      </w:r>
    </w:p>
    <w:p>
      <w:pPr>
        <w:pStyle w:val="ListBullet"/>
        <w:spacing w:after="80"/>
      </w:pPr>
      <w:r>
        <w:rPr/>
        <w:t>Direktorat Sumber Daya Manusia, dalam pengelolaan tenaga kependidikan dan laboran pendukung penelitian.</w:t>
      </w:r>
    </w:p>
    <w:p>
      <w:pPr>
        <w:pStyle w:val="ListBullet"/>
        <w:spacing w:after="80"/>
      </w:pPr>
      <w:r>
        <w:rPr/>
        <w:t>Gugus Kendali Mutu (GKM) Program Studi, dalam validasi data partisipasi dan kinerja peneliti setiap semester.</w:t>
      </w:r>
    </w:p>
    <w:p>
      <w:pPr>
        <w:spacing w:before="200" w:after="80"/>
      </w:pPr>
      <w:r>
        <w:rPr>
          <w:b/>
          <w:sz w:val="23"/>
        </w:rPr>
        <w:t>3. Pernyataan Isi Standar Peneliti</w:t>
      </w:r>
    </w:p>
    <w:p>
      <w:pPr>
        <w:pStyle w:val="ListNumber"/>
        <w:spacing w:after="120"/>
      </w:pPr>
      <w:r>
        <w:rPr/>
        <w:t>Program Studi Teknik Industri wajib menjamin setiap dosen memiliki paling sedikit satu penelitian per tahun, dengan pemilahan proporsi tingkat penelitian (internasional, nasional, lokal/PT-mandiri) yang dilaporkan per dosen per tahun untuk mendukung penilaian akreditasi berbasis rasio.</w:t>
      </w:r>
    </w:p>
    <w:p>
      <w:pPr>
        <w:pStyle w:val="ListNumber"/>
        <w:spacing w:after="120"/>
      </w:pPr>
      <w:r>
        <w:rPr/>
        <w:t>Program Studi Teknik Industri wajib menetapkan persyaratan dan kualifikasi ketua peneliti, anggota peneliti, dan tenaga bantu penelitian sesuai skema penelitian yang berlaku.</w:t>
      </w:r>
    </w:p>
    <w:p>
      <w:pPr>
        <w:pStyle w:val="ListNumber"/>
        <w:spacing w:after="120"/>
      </w:pPr>
      <w:r>
        <w:rPr/>
        <w:t>Program Studi Teknik Industri wajib menyelenggarakan paling sedikit 3 (tiga) kegiatan pengembangan kompetensi peneliti per tahun (pelatihan, workshop, seminar, sertifikasi, pendampingan), dengan target partisipasi paling sedikit 95% dosen mengikuti minimal satu kegiatan per tahun.</w:t>
      </w:r>
    </w:p>
    <w:p>
      <w:pPr>
        <w:pStyle w:val="ListNumber"/>
        <w:spacing w:after="120"/>
      </w:pPr>
      <w:r>
        <w:rPr/>
        <w:t>Program Studi Teknik Industri wajib mendorong perolehan penghargaan/rekognisi penelitian oleh dosen, dengan target paling sedikit 1 (satu) penghargaan tingkat nasional dan paling sedikit 1 (satu) penghargaan tingkat internasional per program studi setiap 3 (tiga) tahun.</w:t>
      </w:r>
    </w:p>
    <w:p>
      <w:pPr>
        <w:pStyle w:val="ListNumber"/>
        <w:spacing w:after="120"/>
      </w:pPr>
      <w:r>
        <w:rPr/>
        <w:t>Program Studi Teknik Industri wajib mendorong mobilitas akademik dosen melalui program cuti sabbatical, post-doctoral, atau kerja sama penelitian luar negeri, dengan target paling sedikit 1% dari jumlah dosen tetap per tahun, meningkat secara bertahap.</w:t>
      </w:r>
    </w:p>
    <w:p>
      <w:pPr>
        <w:pStyle w:val="ListNumber"/>
        <w:spacing w:after="120"/>
      </w:pPr>
      <w:r>
        <w:rPr/>
        <w:t>Program Studi Teknik Industri wajib menyediakan tenaga kependidikan dan laboran yang kompeten untuk mendukung pelaksanaan penelitian sesuai kebutuhan program studi.</w:t>
      </w:r>
    </w:p>
    <w:p>
      <w:pPr>
        <w:spacing w:before="200" w:after="80"/>
      </w:pPr>
      <w:r>
        <w:rPr>
          <w:b/>
          <w:sz w:val="23"/>
        </w:rPr>
        <w:t>4. Strategi Pencapaian Standar</w:t>
      </w:r>
    </w:p>
    <w:p>
      <w:pPr>
        <w:pStyle w:val="ListNumber"/>
        <w:spacing w:after="120"/>
      </w:pPr>
      <w:r>
        <w:rPr/>
        <w:t>Rektor menetapkan kebijakan Standar Peneliti sebagai bagian dari SPMI Universitas, dengan ambang indikator disetarakan pada skor tertinggi instrumen LAM Teknik dan kriteria Unggul LAM INFOKOM.</w:t>
      </w:r>
    </w:p>
    <w:p>
      <w:pPr>
        <w:pStyle w:val="ListNumber"/>
        <w:spacing w:after="120"/>
      </w:pPr>
      <w:r>
        <w:rPr/>
        <w:t>DPPMP mengembangkan sistem pelaporan penelitian yang memilah tingkat penelitian (internasional/nasional/lokal) per dosen untuk mendukung konversi langsung ke rumus skor akreditasi LAM Teknik.</w:t>
      </w:r>
    </w:p>
    <w:p>
      <w:pPr>
        <w:pStyle w:val="ListNumber"/>
        <w:spacing w:after="120"/>
      </w:pPr>
      <w:r>
        <w:rPr/>
        <w:t>DPPMP menyelenggarakan paling sedikit 3 kegiatan pengembangan kompetensi peneliti per tahun serta memantau tingkat partisipasi dosen menuju ambang 95%.</w:t>
      </w:r>
    </w:p>
    <w:p>
      <w:pPr>
        <w:pStyle w:val="ListNumber"/>
        <w:spacing w:after="120"/>
      </w:pPr>
      <w:r>
        <w:rPr/>
        <w:t>Fakultas memberikan insentif dan pendampingan bagi dosen untuk meraih penghargaan penelitian nasional/internasional serta mengikuti program sabbatical/post-doc/kerja sama penelitian luar negeri.</w:t>
      </w:r>
    </w:p>
    <w:p>
      <w:pPr>
        <w:pStyle w:val="ListNumber"/>
        <w:spacing w:after="120"/>
      </w:pPr>
      <w:r>
        <w:rPr/>
        <w:t>Dekan dan Ketua Program Studi menjamin ketersediaan tenaga kependidikan dan laboran penelitian sesuai kebutuhan bidang keilmuan program studi.</w:t>
      </w:r>
    </w:p>
    <w:p>
      <w:pPr>
        <w:pStyle w:val="ListNumber"/>
        <w:spacing w:after="120"/>
      </w:pPr>
      <w:r>
        <w:rPr/>
        <w:t>Ketua Program Studi memverifikasi kesesuaian kualifikasi ketua peneliti, anggota peneliti, dan tenaga bantu penelitian dengan skema penelitian yang berlaku setiap pengusulan kegiatan, mengacu Buku Panduan Penelitian.</w:t>
      </w:r>
    </w:p>
    <w:p>
      <w:pPr>
        <w:spacing w:before="20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Rata-rata jumlah penelitian per dosen per tahun [IKU]</w:t>
            </w:r>
          </w:p>
        </w:tc>
        <w:tc>
          <w:tcPr>
            <w:tcW w:type="dxa" w:w="1234"/>
          </w:tcPr>
          <w:p>
            <w:pPr/>
            <w:r/>
            <w:r>
              <w:rPr/>
            </w:r>
            <w:r>
              <w:rPr>
                <w:b w:val="0"/>
              </w:rPr>
              <w:t>Judul</w:t>
            </w:r>
          </w:p>
        </w:tc>
        <w:tc>
          <w:tcPr>
            <w:tcW w:type="dxa" w:w="1234"/>
          </w:tcPr>
          <w:p>
            <w:pPr/>
            <w:r/>
            <w:r>
              <w:rPr/>
            </w:r>
            <w:r>
              <w:rPr>
                <w:b w:val="0"/>
              </w:rPr>
              <w:t>≥1 (praktik baik referensi)</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2</w:t>
            </w:r>
          </w:p>
        </w:tc>
        <w:tc>
          <w:tcPr>
            <w:tcW w:type="dxa" w:w="1234"/>
          </w:tcPr>
          <w:p>
            <w:pPr/>
            <w:r/>
            <w:r>
              <w:rPr/>
            </w:r>
            <w:r>
              <w:rPr>
                <w:b w:val="0"/>
              </w:rPr>
              <w:t>Pelaporan proporsi tingkat penelitian (internasional/nasional/lokal) per dosen [IKT]</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3</w:t>
            </w:r>
          </w:p>
        </w:tc>
        <w:tc>
          <w:tcPr>
            <w:tcW w:type="dxa" w:w="1234"/>
          </w:tcPr>
          <w:p>
            <w:pPr/>
            <w:r/>
            <w:r>
              <w:rPr/>
            </w:r>
            <w:r>
              <w:rPr>
                <w:b w:val="0"/>
              </w:rPr>
              <w:t>Jumlah kegiatan pengembangan kompetensi peneliti per tahun [IKU]</w:t>
            </w:r>
          </w:p>
        </w:tc>
        <w:tc>
          <w:tcPr>
            <w:tcW w:type="dxa" w:w="1234"/>
          </w:tcPr>
          <w:p>
            <w:pPr/>
            <w:r/>
            <w:r>
              <w:rPr/>
            </w:r>
            <w:r>
              <w:rPr>
                <w:b w:val="0"/>
              </w:rPr>
              <w:t>Kegiatan</w:t>
            </w:r>
          </w:p>
        </w:tc>
        <w:tc>
          <w:tcPr>
            <w:tcW w:type="dxa" w:w="1234"/>
          </w:tcPr>
          <w:p>
            <w:pPr/>
            <w:r/>
            <w:r>
              <w:rPr/>
            </w:r>
            <w:r>
              <w:rPr>
                <w:b w:val="0"/>
              </w:rPr>
              <w:t>≥2 (praktik baik referensi)</w:t>
            </w:r>
          </w:p>
        </w:tc>
        <w:tc>
          <w:tcPr>
            <w:tcW w:type="dxa" w:w="1234"/>
          </w:tcPr>
          <w:p>
            <w:pPr/>
            <w:r/>
            <w:r>
              <w:rPr/>
            </w:r>
            <w:r>
              <w:rPr>
                <w:b w:val="0"/>
              </w:rPr>
              <w:t>3</w:t>
            </w:r>
          </w:p>
        </w:tc>
        <w:tc>
          <w:tcPr>
            <w:tcW w:type="dxa" w:w="1234"/>
          </w:tcPr>
          <w:p>
            <w:pPr/>
            <w:r/>
            <w:r>
              <w:rPr/>
            </w:r>
            <w:r>
              <w:rPr>
                <w:b w:val="0"/>
              </w:rPr>
              <w:t>3</w:t>
            </w:r>
          </w:p>
        </w:tc>
        <w:tc>
          <w:tcPr>
            <w:tcW w:type="dxa" w:w="1234"/>
          </w:tcPr>
          <w:p>
            <w:pPr/>
            <w:r/>
            <w:r>
              <w:rPr/>
            </w:r>
            <w:r>
              <w:rPr>
                <w:b w:val="0"/>
              </w:rPr>
              <w:t>3</w:t>
            </w:r>
          </w:p>
        </w:tc>
      </w:tr>
      <w:tr>
        <w:tc>
          <w:tcPr>
            <w:tcW w:type="dxa" w:w="1234"/>
          </w:tcPr>
          <w:p>
            <w:pPr/>
            <w:r/>
            <w:r>
              <w:rPr/>
            </w:r>
            <w:r>
              <w:rPr>
                <w:b w:val="0"/>
              </w:rPr>
              <w:t>4</w:t>
            </w:r>
          </w:p>
        </w:tc>
        <w:tc>
          <w:tcPr>
            <w:tcW w:type="dxa" w:w="1234"/>
          </w:tcPr>
          <w:p>
            <w:pPr/>
            <w:r/>
            <w:r>
              <w:rPr/>
            </w:r>
            <w:r>
              <w:rPr>
                <w:b w:val="0"/>
              </w:rPr>
              <w:t>Persentase dosen mengikuti minimal 1 kegiatan pengembangan kompetensi peneliti [IKU]</w:t>
            </w:r>
          </w:p>
        </w:tc>
        <w:tc>
          <w:tcPr>
            <w:tcW w:type="dxa" w:w="1234"/>
          </w:tcPr>
          <w:p>
            <w:pPr/>
            <w:r/>
            <w:r>
              <w:rPr/>
            </w:r>
            <w:r>
              <w:rPr>
                <w:b w:val="0"/>
              </w:rPr>
              <w:t>%</w:t>
            </w:r>
          </w:p>
        </w:tc>
        <w:tc>
          <w:tcPr>
            <w:tcW w:type="dxa" w:w="1234"/>
          </w:tcPr>
          <w:p>
            <w:pPr/>
            <w:r/>
            <w:r>
              <w:rPr/>
            </w:r>
            <w:r>
              <w:rPr>
                <w:b w:val="0"/>
              </w:rPr>
              <w:t>≥95 (praktik baik referensi)</w:t>
            </w:r>
          </w:p>
        </w:tc>
        <w:tc>
          <w:tcPr>
            <w:tcW w:type="dxa" w:w="1234"/>
          </w:tcPr>
          <w:p>
            <w:pPr/>
            <w:r/>
            <w:r>
              <w:rPr/>
            </w:r>
            <w:r>
              <w:rPr>
                <w:b w:val="0"/>
              </w:rPr>
              <w:t>90</w:t>
            </w:r>
          </w:p>
        </w:tc>
        <w:tc>
          <w:tcPr>
            <w:tcW w:type="dxa" w:w="1234"/>
          </w:tcPr>
          <w:p>
            <w:pPr/>
            <w:r/>
            <w:r>
              <w:rPr/>
            </w:r>
            <w:r>
              <w:rPr>
                <w:b w:val="0"/>
              </w:rPr>
              <w:t>93</w:t>
            </w:r>
          </w:p>
        </w:tc>
        <w:tc>
          <w:tcPr>
            <w:tcW w:type="dxa" w:w="1234"/>
          </w:tcPr>
          <w:p>
            <w:pPr/>
            <w:r/>
            <w:r>
              <w:rPr/>
            </w:r>
            <w:r>
              <w:rPr>
                <w:b w:val="0"/>
              </w:rPr>
              <w:t>95</w:t>
            </w:r>
          </w:p>
        </w:tc>
      </w:tr>
      <w:tr>
        <w:tc>
          <w:tcPr>
            <w:tcW w:type="dxa" w:w="1234"/>
          </w:tcPr>
          <w:p>
            <w:pPr/>
            <w:r/>
            <w:r>
              <w:rPr/>
            </w:r>
            <w:r>
              <w:rPr>
                <w:b w:val="0"/>
              </w:rPr>
              <w:t>5</w:t>
            </w:r>
          </w:p>
        </w:tc>
        <w:tc>
          <w:tcPr>
            <w:tcW w:type="dxa" w:w="1234"/>
          </w:tcPr>
          <w:p>
            <w:pPr/>
            <w:r/>
            <w:r>
              <w:rPr/>
            </w:r>
            <w:r>
              <w:rPr>
                <w:b w:val="0"/>
              </w:rPr>
              <w:t>Jumlah penghargaan penelitian nasional per program studi per 3 tahun [IKT]</w:t>
            </w:r>
          </w:p>
        </w:tc>
        <w:tc>
          <w:tcPr>
            <w:tcW w:type="dxa" w:w="1234"/>
          </w:tcPr>
          <w:p>
            <w:pPr/>
            <w:r/>
            <w:r>
              <w:rPr/>
            </w:r>
            <w:r>
              <w:rPr>
                <w:b w:val="0"/>
              </w:rPr>
              <w:t>Jumlah</w:t>
            </w:r>
          </w:p>
        </w:tc>
        <w:tc>
          <w:tcPr>
            <w:tcW w:type="dxa" w:w="1234"/>
          </w:tcPr>
          <w:p>
            <w:pPr/>
            <w:r/>
            <w:r>
              <w:rPr/>
            </w:r>
            <w:r>
              <w:rPr>
                <w:b w:val="0"/>
              </w:rPr>
              <w:t>≥1 (praktik baik referensi)</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6</w:t>
            </w:r>
          </w:p>
        </w:tc>
        <w:tc>
          <w:tcPr>
            <w:tcW w:type="dxa" w:w="1234"/>
          </w:tcPr>
          <w:p>
            <w:pPr/>
            <w:r/>
            <w:r>
              <w:rPr/>
            </w:r>
            <w:r>
              <w:rPr>
                <w:b w:val="0"/>
              </w:rPr>
              <w:t>Jumlah penghargaan penelitian internasional per program studi per 3 tahun [IKT]</w:t>
            </w:r>
          </w:p>
        </w:tc>
        <w:tc>
          <w:tcPr>
            <w:tcW w:type="dxa" w:w="1234"/>
          </w:tcPr>
          <w:p>
            <w:pPr/>
            <w:r/>
            <w:r>
              <w:rPr/>
            </w:r>
            <w:r>
              <w:rPr>
                <w:b w:val="0"/>
              </w:rPr>
              <w:t>Jumlah</w:t>
            </w:r>
          </w:p>
        </w:tc>
        <w:tc>
          <w:tcPr>
            <w:tcW w:type="dxa" w:w="1234"/>
          </w:tcPr>
          <w:p>
            <w:pPr/>
            <w:r/>
            <w:r>
              <w:rPr/>
            </w:r>
            <w:r>
              <w:rPr>
                <w:b w:val="0"/>
              </w:rPr>
              <w:t>≥1 (praktik baik referensi)</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7</w:t>
            </w:r>
          </w:p>
        </w:tc>
        <w:tc>
          <w:tcPr>
            <w:tcW w:type="dxa" w:w="1234"/>
          </w:tcPr>
          <w:p>
            <w:pPr/>
            <w:r/>
            <w:r>
              <w:rPr/>
            </w:r>
            <w:r>
              <w:rPr>
                <w:b w:val="0"/>
              </w:rPr>
              <w:t>Persentase dosen mengikuti sabbatical/post-doc/kerja sama penelitian luar negeri [IKT]</w:t>
            </w:r>
          </w:p>
        </w:tc>
        <w:tc>
          <w:tcPr>
            <w:tcW w:type="dxa" w:w="1234"/>
          </w:tcPr>
          <w:p>
            <w:pPr/>
            <w:r/>
            <w:r>
              <w:rPr/>
            </w:r>
            <w:r>
              <w:rPr>
                <w:b w:val="0"/>
              </w:rPr>
              <w:t>%</w:t>
            </w:r>
          </w:p>
        </w:tc>
        <w:tc>
          <w:tcPr>
            <w:tcW w:type="dxa" w:w="1234"/>
          </w:tcPr>
          <w:p>
            <w:pPr/>
            <w:r/>
            <w:r>
              <w:rPr/>
            </w:r>
            <w:r>
              <w:rPr>
                <w:b w:val="0"/>
              </w:rPr>
              <w:t>&gt;1 (praktik baik referensi)</w:t>
            </w:r>
          </w:p>
        </w:tc>
        <w:tc>
          <w:tcPr>
            <w:tcW w:type="dxa" w:w="1234"/>
          </w:tcPr>
          <w:p>
            <w:pPr/>
            <w:r/>
            <w:r>
              <w:rPr/>
            </w:r>
            <w:r>
              <w:rPr>
                <w:b w:val="0"/>
              </w:rPr>
              <w:t>1</w:t>
            </w:r>
          </w:p>
        </w:tc>
        <w:tc>
          <w:tcPr>
            <w:tcW w:type="dxa" w:w="1234"/>
          </w:tcPr>
          <w:p>
            <w:pPr/>
            <w:r/>
            <w:r>
              <w:rPr/>
            </w:r>
            <w:r>
              <w:rPr>
                <w:b w:val="0"/>
              </w:rPr>
              <w:t>1.5</w:t>
            </w:r>
          </w:p>
        </w:tc>
        <w:tc>
          <w:tcPr>
            <w:tcW w:type="dxa" w:w="1234"/>
          </w:tcPr>
          <w:p>
            <w:pPr/>
            <w:r/>
            <w:r>
              <w:rPr/>
            </w:r>
            <w:r>
              <w:rPr>
                <w:b w:val="0"/>
              </w:rPr>
              <w:t>2</w:t>
            </w:r>
          </w:p>
        </w:tc>
      </w:tr>
      <w:tr>
        <w:tc>
          <w:tcPr>
            <w:tcW w:type="dxa" w:w="1234"/>
          </w:tcPr>
          <w:p>
            <w:pPr/>
            <w:r/>
            <w:r>
              <w:rPr/>
            </w:r>
            <w:r>
              <w:rPr>
                <w:b w:val="0"/>
              </w:rPr>
              <w:t>8</w:t>
            </w:r>
          </w:p>
        </w:tc>
        <w:tc>
          <w:tcPr>
            <w:tcW w:type="dxa" w:w="1234"/>
          </w:tcPr>
          <w:p>
            <w:pPr/>
            <w:r/>
            <w:r>
              <w:rPr/>
            </w:r>
            <w:r>
              <w:rPr>
                <w:b w:val="0"/>
              </w:rPr>
              <w:t>Ketersediaan tenaga kependidikan dan laboran penelitian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t>*9</w:t>
            </w:r>
          </w:p>
        </w:tc>
        <w:tc>
          <w:tcPr>
            <w:tcW w:type="dxa" w:w="1234"/>
          </w:tcPr>
          <w:p>
            <w:pPr/>
            <w:r/>
            <w:r>
              <w:rPr/>
            </w:r>
            <w:r>
              <w:rPr/>
              <w:t>Kesesuaian kualifikasi ketua/anggota/tenaga bantu penelitian dengan skema [IKU]</w:t>
            </w:r>
          </w:p>
        </w:tc>
        <w:tc>
          <w:tcPr>
            <w:tcW w:type="dxa" w:w="1234"/>
          </w:tcPr>
          <w:p>
            <w:pPr/>
            <w:r/>
            <w:r>
              <w:rPr/>
            </w:r>
            <w:r>
              <w:rPr/>
              <w:t>Status</w:t>
            </w:r>
          </w:p>
        </w:tc>
        <w:tc>
          <w:tcPr>
            <w:tcW w:type="dxa" w:w="1234"/>
          </w:tcPr>
          <w:p>
            <w:pPr/>
            <w:r/>
            <w:r>
              <w:rPr/>
            </w:r>
            <w:r>
              <w:rPr/>
              <w:t>- (praktik baik referensi)</w:t>
            </w:r>
          </w:p>
        </w:tc>
        <w:tc>
          <w:tcPr>
            <w:tcW w:type="dxa" w:w="1234"/>
          </w:tcPr>
          <w:p>
            <w:pPr/>
            <w:r/>
            <w:r>
              <w:rPr/>
            </w:r>
            <w:r>
              <w:rPr/>
              <w:t>Sesuai</w:t>
            </w:r>
          </w:p>
        </w:tc>
        <w:tc>
          <w:tcPr>
            <w:tcW w:type="dxa" w:w="1234"/>
          </w:tcPr>
          <w:p>
            <w:pPr/>
            <w:r/>
            <w:r>
              <w:rPr/>
            </w:r>
            <w:r>
              <w:rPr/>
              <w:t>Sesuai</w:t>
            </w:r>
          </w:p>
        </w:tc>
        <w:tc>
          <w:tcPr>
            <w:tcW w:type="dxa" w:w="1234"/>
          </w:tcPr>
          <w:p>
            <w:pPr/>
            <w:r/>
            <w:r>
              <w:rPr/>
            </w:r>
            <w:r>
              <w:rPr/>
              <w:t>Sesuai</w:t>
            </w:r>
          </w:p>
        </w:tc>
      </w:tr>
    </w:tbl>
    <w:p>
      <w:pPr/>
    </w:p>
    <w:p>
      <w:pPr>
        <w:spacing w:before="280" w:after="120"/>
      </w:pPr>
      <w:r>
        <w:rPr>
          <w:b/>
          <w:sz w:val="28"/>
        </w:rPr>
        <w:t>STANDAR SARANA DAN PRASARANA PENELITIAN</w:t>
      </w:r>
    </w:p>
    <w:p>
      <w:pPr>
        <w:spacing w:before="200" w:after="80"/>
      </w:pPr>
      <w:r>
        <w:rPr>
          <w:b/>
          <w:sz w:val="23"/>
        </w:rPr>
        <w:t>1. Daftar Istilah</w:t>
      </w:r>
    </w:p>
    <w:p>
      <w:pPr>
        <w:spacing w:after="120"/>
      </w:pPr>
      <w:r>
        <w:rPr>
          <w:b w:val="0"/>
          <w:i w:val="0"/>
        </w:rPr>
        <w:t>Lembaga Penelitian dan Pengabdian kepada Masyarakat (LPPM)/Direktorat Penelitian, Pengabdian kepada Masyarakat dan Publikasi (DPPMP) adalah unit pengelola penelitian tingkat universitas/fakultas yang mengoordinasikan perencanaan, pelaksanaan, dan pelaporan penelitian.</w:t>
      </w:r>
    </w:p>
    <w:p>
      <w:pPr>
        <w:spacing w:after="120"/>
      </w:pPr>
      <w:r>
        <w:rPr>
          <w:b w:val="0"/>
          <w:i w:val="0"/>
        </w:rPr>
        <w:t>Sarana Penelitian mencakup peralatan, instrumen, dan perangkat pendukung pelaksanaan penelitian sesuai bidang keilmuan program studi.</w:t>
      </w:r>
    </w:p>
    <w:p>
      <w:pPr>
        <w:spacing w:after="120"/>
      </w:pPr>
      <w:r>
        <w:rPr>
          <w:b w:val="0"/>
          <w:i w:val="0"/>
        </w:rPr>
        <w:t>Prasarana Penelitian mencakup ruang unit pengelola penelitian, laboratorium riset, dan fasilitas pendukung lain yang diperlukan pelaksanaan penelitian.</w:t>
      </w:r>
    </w:p>
    <w:p>
      <w:pPr>
        <w:spacing w:after="120"/>
      </w:pPr>
      <w:r>
        <w:rPr>
          <w:b w:val="0"/>
          <w:i w:val="0"/>
        </w:rPr>
        <w:t>Keselamatan, Kesehatan, Kenyamanan, dan Keamanan (K3) Laboratorium Riset adalah sistem yang menjamin keselamatan dan kesehatan pengguna laboratorium riset, mencakup SOP penggunaan, pemeliharaan, evaluasi kelayakan berkala, dan sosialisasi.</w:t>
      </w:r>
    </w:p>
    <w:p>
      <w:pPr>
        <w:spacing w:after="120"/>
      </w:pPr>
      <w:r>
        <w:rPr>
          <w:b w:val="0"/>
          <w:i w:val="0"/>
        </w:rPr>
        <w:t>Sistem Informasi Penelitian (SIRISBANK) adalah sistem informasi terintegrasi yang mendukung perencanaan, pengusulan, pelaksanaan, dan pelaporan penelitian di lingkungan Universitas Stikubank.</w:t>
      </w:r>
    </w:p>
    <w:p>
      <w:pPr>
        <w:spacing w:after="120"/>
      </w:pPr>
      <w:r>
        <w:rPr>
          <w:b w:val="0"/>
          <w:i w:val="0"/>
        </w:rPr>
        <w:t>Aksesibilitas adalah kemudahan yang disediakan bagi pengguna sarana-prasarana penelitian berkebutuhan khusus untuk mewujudkan kesamaan kesempatan.</w:t>
      </w:r>
    </w:p>
    <w:p>
      <w:pPr>
        <w:spacing w:before="200" w:after="80"/>
      </w:pPr>
      <w:r>
        <w:rPr>
          <w:b/>
          <w:sz w:val="23"/>
        </w:rPr>
        <w:t>2. Pihak Yang Bertanggung Jawab Untuk Memenuhi Standar</w:t>
      </w:r>
    </w:p>
    <w:p>
      <w:pPr>
        <w:pStyle w:val="ListBullet"/>
        <w:spacing w:after="80"/>
      </w:pPr>
      <w:r>
        <w:rPr/>
        <w:t>Wakil Rektor Bidang Pengembangan Institusi dan Sumber Daya, dalam perencanaan investasi sarana-prasarana penelitian.</w:t>
      </w:r>
    </w:p>
    <w:p>
      <w:pPr>
        <w:pStyle w:val="ListBullet"/>
        <w:spacing w:after="80"/>
      </w:pPr>
      <w:r>
        <w:rPr/>
        <w:t>Divisi Pengelolaan Prasarana dan Aset (DPPA), dalam pengadaan, pemeliharaan, dan evaluasi kelayakan sarana-prasarana penelitian.</w:t>
      </w:r>
    </w:p>
    <w:p>
      <w:pPr>
        <w:pStyle w:val="ListBullet"/>
        <w:spacing w:after="80"/>
      </w:pPr>
      <w:r>
        <w:rPr/>
        <w:t>Divisi Teknologi Sistem Informasi (DTSI), dalam pengelolaan jaringan internet dan Sistem Informasi Penelitian (SIRISBANK).</w:t>
      </w:r>
    </w:p>
    <w:p>
      <w:pPr>
        <w:pStyle w:val="ListBullet"/>
        <w:spacing w:after="80"/>
      </w:pPr>
      <w:r>
        <w:rPr/>
        <w:t>Dekan FTII dan Ketua Program Studi, dalam verifikasi kecukupan sarana-prasarana penelitian di tingkat program studi.</w:t>
      </w:r>
    </w:p>
    <w:p>
      <w:pPr>
        <w:spacing w:before="200" w:after="80"/>
      </w:pPr>
      <w:r>
        <w:rPr>
          <w:b/>
          <w:sz w:val="23"/>
        </w:rPr>
        <w:t>3. Pernyataan Isi Standar Sarana dan Prasarana Penelitian</w:t>
      </w:r>
    </w:p>
    <w:p>
      <w:pPr>
        <w:pStyle w:val="ListNumber"/>
        <w:spacing w:after="120"/>
      </w:pPr>
      <w:r>
        <w:rPr/>
        <w:t>Program Studi Teknik Industri wajib menjamin ketersediaan sarana dan prasarana penelitian yang mencakup sekurang-kurangnya: ruang unit pengelola penelitian (LPPM/DPPMP tingkat program studi), daftar sarana pendukung penelitian sesuai bidang keilmuan, daftar prasarana pendukung penelitian, dan pemenuhan 4 (empat) aspek keselamatan, kesehatan, kenyamanan, dan keamanan (K3) laboratorium riset.</w:t>
      </w:r>
    </w:p>
    <w:p>
      <w:pPr>
        <w:pStyle w:val="ListNumber"/>
        <w:spacing w:after="120"/>
      </w:pPr>
      <w:r>
        <w:rPr/>
        <w:t>Program Studi Teknik Industri wajib menjamin tingkat pemanfaatan dan kemutakhiran sarana-prasarana penelitian serta aksesibilitas bagi pengguna berkebutuhan khusus paling sedikit 85%, meningkat menuju 100%.</w:t>
      </w:r>
    </w:p>
    <w:p>
      <w:pPr>
        <w:pStyle w:val="ListNumber"/>
        <w:spacing w:after="120"/>
      </w:pPr>
      <w:r>
        <w:rPr/>
        <w:t>Program Studi Teknik Industri wajib menjamin ketersediaan jaringan internet yang andal dengan bandwidth memadai untuk mendukung pelaksanaan penelitian secara efektif dan berkelanjutan.</w:t>
      </w:r>
    </w:p>
    <w:p>
      <w:pPr>
        <w:pStyle w:val="ListNumber"/>
        <w:spacing w:after="120"/>
      </w:pPr>
      <w:r>
        <w:rPr/>
        <w:t>Program Studi Teknik Industri wajib menyediakan Sistem Informasi Penelitian (SIRISBANK) terintegrasi, dengan target cakupan program studi/unit yang aktif menggunakan sistem tersebut paling sedikit 85% pada 2024/25, meningkat menuju 100% pada 2026/27.</w:t>
      </w:r>
    </w:p>
    <w:p>
      <w:pPr>
        <w:spacing w:before="200" w:after="80"/>
      </w:pPr>
      <w:r>
        <w:rPr>
          <w:b/>
          <w:sz w:val="23"/>
        </w:rPr>
        <w:t>4. Strategi Pencapaian Standar</w:t>
      </w:r>
    </w:p>
    <w:p>
      <w:pPr>
        <w:pStyle w:val="ListNumber"/>
        <w:spacing w:after="120"/>
      </w:pPr>
      <w:r>
        <w:rPr/>
        <w:t>Rektor menetapkan kebijakan Standar Sarana dan Prasarana Penelitian sebagai bagian dari SPMI Universitas, dengan ambang indikator disetarakan pada skor tertinggi instrumen LAM Teknik dan kriteria Unggul LAM INFOKOM.</w:t>
      </w:r>
    </w:p>
    <w:p>
      <w:pPr>
        <w:pStyle w:val="ListNumber"/>
        <w:spacing w:after="120"/>
      </w:pPr>
      <w:r>
        <w:rPr/>
        <w:t>Wakil Rektor Bidang Pengembangan Institusi dan Sumber Daya bersama DPPA melengkapi checklist sarana-prasarana penelitian (ruang LPPM, sarana, prasarana, 4 aspek K3) dan meningkatkan pemanfaatan/kemutakhiran serta aksesibilitas menuju 100%.</w:t>
      </w:r>
    </w:p>
    <w:p>
      <w:pPr>
        <w:pStyle w:val="ListNumber"/>
        <w:spacing w:after="120"/>
      </w:pPr>
      <w:r>
        <w:rPr/>
        <w:t>DTSI menjamin ketersediaan jaringan internet andal dan mengembangkan Sistem Informasi Penelitian (SIRISBANK) hingga tercapai cakupan penggunaan aktif 100% pada seluruh program studi/unit.</w:t>
      </w:r>
    </w:p>
    <w:p>
      <w:pPr>
        <w:spacing w:before="20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Pemenuhan checklist sarana-prasarana penelitian (ruang LPPM, sarana, prasarana, 4 aspek K3) [IKU]</w:t>
            </w:r>
          </w:p>
        </w:tc>
        <w:tc>
          <w:tcPr>
            <w:tcW w:type="dxa" w:w="1234"/>
          </w:tcPr>
          <w:p>
            <w:pPr/>
            <w:r/>
            <w:r>
              <w:rPr/>
            </w:r>
            <w:r>
              <w:rPr>
                <w:b w:val="0"/>
              </w:rPr>
              <w:t>Jumlah unsur</w:t>
            </w:r>
          </w:p>
        </w:tc>
        <w:tc>
          <w:tcPr>
            <w:tcW w:type="dxa" w:w="1234"/>
          </w:tcPr>
          <w:p>
            <w:pPr/>
            <w:r/>
            <w:r>
              <w:rPr/>
            </w:r>
            <w:r>
              <w:rPr>
                <w:b w:val="0"/>
              </w:rPr>
              <w:t>4 unsur (praktik baik referensi)</w:t>
            </w:r>
          </w:p>
        </w:tc>
        <w:tc>
          <w:tcPr>
            <w:tcW w:type="dxa" w:w="1234"/>
          </w:tcPr>
          <w:p>
            <w:pPr/>
            <w:r/>
            <w:r>
              <w:rPr/>
            </w:r>
            <w:r>
              <w:rPr>
                <w:b w:val="0"/>
              </w:rPr>
              <w:t>4</w:t>
            </w:r>
          </w:p>
        </w:tc>
        <w:tc>
          <w:tcPr>
            <w:tcW w:type="dxa" w:w="1234"/>
          </w:tcPr>
          <w:p>
            <w:pPr/>
            <w:r/>
            <w:r>
              <w:rPr/>
            </w:r>
            <w:r>
              <w:rPr>
                <w:b w:val="0"/>
              </w:rPr>
              <w:t>4</w:t>
            </w:r>
          </w:p>
        </w:tc>
        <w:tc>
          <w:tcPr>
            <w:tcW w:type="dxa" w:w="1234"/>
          </w:tcPr>
          <w:p>
            <w:pPr/>
            <w:r/>
            <w:r>
              <w:rPr/>
            </w:r>
            <w:r>
              <w:rPr>
                <w:b w:val="0"/>
              </w:rPr>
              <w:t>4</w:t>
            </w:r>
          </w:p>
        </w:tc>
      </w:tr>
      <w:tr>
        <w:tc>
          <w:tcPr>
            <w:tcW w:type="dxa" w:w="1234"/>
          </w:tcPr>
          <w:p>
            <w:pPr/>
            <w:r/>
            <w:r>
              <w:rPr/>
            </w:r>
            <w:r>
              <w:rPr>
                <w:b w:val="0"/>
              </w:rPr>
              <w:t>2</w:t>
            </w:r>
          </w:p>
        </w:tc>
        <w:tc>
          <w:tcPr>
            <w:tcW w:type="dxa" w:w="1234"/>
          </w:tcPr>
          <w:p>
            <w:pPr/>
            <w:r/>
            <w:r>
              <w:rPr/>
            </w:r>
            <w:r>
              <w:rPr>
                <w:b w:val="0"/>
              </w:rPr>
              <w:t>Persentase pemanfaatan/kemutakhiran dan aksesibilitas sarana-prasarana penelitian [IKU]</w:t>
            </w:r>
          </w:p>
        </w:tc>
        <w:tc>
          <w:tcPr>
            <w:tcW w:type="dxa" w:w="1234"/>
          </w:tcPr>
          <w:p>
            <w:pPr/>
            <w:r/>
            <w:r>
              <w:rPr/>
            </w:r>
            <w:r>
              <w:rPr>
                <w:b w:val="0"/>
              </w:rPr>
              <w:t>%</w:t>
            </w:r>
          </w:p>
        </w:tc>
        <w:tc>
          <w:tcPr>
            <w:tcW w:type="dxa" w:w="1234"/>
          </w:tcPr>
          <w:p>
            <w:pPr/>
            <w:r/>
            <w:r>
              <w:rPr/>
            </w:r>
            <w:r>
              <w:rPr>
                <w:b w:val="0"/>
              </w:rPr>
              <w:t>≥85→100 (R4)</w:t>
            </w:r>
          </w:p>
        </w:tc>
        <w:tc>
          <w:tcPr>
            <w:tcW w:type="dxa" w:w="1234"/>
          </w:tcPr>
          <w:p>
            <w:pPr/>
            <w:r/>
            <w:r>
              <w:rPr/>
            </w:r>
            <w:r>
              <w:rPr>
                <w:b w:val="0"/>
              </w:rPr>
              <w:t>85</w:t>
            </w:r>
          </w:p>
        </w:tc>
        <w:tc>
          <w:tcPr>
            <w:tcW w:type="dxa" w:w="1234"/>
          </w:tcPr>
          <w:p>
            <w:pPr/>
            <w:r/>
            <w:r>
              <w:rPr/>
            </w:r>
            <w:r>
              <w:rPr>
                <w:b w:val="0"/>
              </w:rPr>
              <w:t>90</w:t>
            </w:r>
          </w:p>
        </w:tc>
        <w:tc>
          <w:tcPr>
            <w:tcW w:type="dxa" w:w="1234"/>
          </w:tcPr>
          <w:p>
            <w:pPr/>
            <w:r/>
            <w:r>
              <w:rPr/>
            </w:r>
            <w:r>
              <w:rPr>
                <w:b w:val="0"/>
              </w:rPr>
              <w:t>100</w:t>
            </w:r>
          </w:p>
        </w:tc>
      </w:tr>
      <w:tr>
        <w:tc>
          <w:tcPr>
            <w:tcW w:type="dxa" w:w="1234"/>
          </w:tcPr>
          <w:p>
            <w:pPr/>
            <w:r/>
            <w:r>
              <w:rPr/>
            </w:r>
            <w:r>
              <w:rPr>
                <w:b w:val="0"/>
              </w:rPr>
              <w:t>3</w:t>
            </w:r>
          </w:p>
        </w:tc>
        <w:tc>
          <w:tcPr>
            <w:tcW w:type="dxa" w:w="1234"/>
          </w:tcPr>
          <w:p>
            <w:pPr/>
            <w:r/>
            <w:r>
              <w:rPr/>
            </w:r>
            <w:r>
              <w:rPr>
                <w:b w:val="0"/>
              </w:rPr>
              <w:t>Ketersediaan jaringan internet penelitian andal [IKT]</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4</w:t>
            </w:r>
          </w:p>
        </w:tc>
        <w:tc>
          <w:tcPr>
            <w:tcW w:type="dxa" w:w="1234"/>
          </w:tcPr>
          <w:p>
            <w:pPr/>
            <w:r/>
            <w:r>
              <w:rPr/>
            </w:r>
            <w:r>
              <w:rPr>
                <w:b w:val="0"/>
              </w:rPr>
              <w:t>Persentase cakupan unit/prodi aktif menggunakan Sistem Informasi Penelitian (SIRISBANK) [IKU]</w:t>
            </w:r>
          </w:p>
        </w:tc>
        <w:tc>
          <w:tcPr>
            <w:tcW w:type="dxa" w:w="1234"/>
          </w:tcPr>
          <w:p>
            <w:pPr/>
            <w:r/>
            <w:r>
              <w:rPr/>
            </w:r>
            <w:r>
              <w:rPr>
                <w:b w:val="0"/>
              </w:rPr>
              <w:t>%</w:t>
            </w:r>
          </w:p>
        </w:tc>
        <w:tc>
          <w:tcPr>
            <w:tcW w:type="dxa" w:w="1234"/>
          </w:tcPr>
          <w:p>
            <w:pPr/>
            <w:r/>
            <w:r>
              <w:rPr/>
            </w:r>
            <w:r>
              <w:rPr>
                <w:b w:val="0"/>
              </w:rPr>
              <w:t>≥85→100 (R4)</w:t>
            </w:r>
          </w:p>
        </w:tc>
        <w:tc>
          <w:tcPr>
            <w:tcW w:type="dxa" w:w="1234"/>
          </w:tcPr>
          <w:p>
            <w:pPr/>
            <w:r/>
            <w:r>
              <w:rPr/>
            </w:r>
            <w:r>
              <w:rPr>
                <w:b w:val="0"/>
              </w:rPr>
              <w:t>85</w:t>
            </w:r>
          </w:p>
        </w:tc>
        <w:tc>
          <w:tcPr>
            <w:tcW w:type="dxa" w:w="1234"/>
          </w:tcPr>
          <w:p>
            <w:pPr/>
            <w:r/>
            <w:r>
              <w:rPr/>
            </w:r>
            <w:r>
              <w:rPr>
                <w:b w:val="0"/>
              </w:rPr>
              <w:t>92</w:t>
            </w:r>
          </w:p>
        </w:tc>
        <w:tc>
          <w:tcPr>
            <w:tcW w:type="dxa" w:w="1234"/>
          </w:tcPr>
          <w:p>
            <w:pPr/>
            <w:r/>
            <w:r>
              <w:rPr/>
            </w:r>
            <w:r>
              <w:rPr>
                <w:b w:val="0"/>
              </w:rPr>
              <w:t>100</w:t>
            </w:r>
          </w:p>
        </w:tc>
      </w:tr>
    </w:tbl>
    <w:p>
      <w:pPr/>
    </w:p>
    <w:p>
      <w:pPr>
        <w:spacing w:before="280" w:after="120"/>
      </w:pPr>
      <w:r>
        <w:rPr>
          <w:b/>
          <w:sz w:val="28"/>
        </w:rPr>
        <w:t>STANDAR PENDANAAN DAN PEMBIAYAAN PENELITIAN</w:t>
      </w:r>
    </w:p>
    <w:p>
      <w:pPr>
        <w:spacing w:before="200" w:after="80"/>
      </w:pPr>
      <w:r>
        <w:rPr>
          <w:b/>
          <w:sz w:val="23"/>
        </w:rPr>
        <w:t>1. Daftar Istilah</w:t>
      </w:r>
    </w:p>
    <w:p>
      <w:pPr>
        <w:spacing w:after="120"/>
      </w:pPr>
      <w:r>
        <w:rPr>
          <w:b w:val="0"/>
          <w:i w:val="0"/>
        </w:rPr>
        <w:t>Dana Penelitian adalah seluruh sumber daya keuangan yang dialokasikan untuk perencanaan, pelaksanaan, dan pelaporan kegiatan penelitian dosen dan mahasiswa.</w:t>
      </w:r>
    </w:p>
    <w:p>
      <w:pPr>
        <w:spacing w:after="120"/>
      </w:pPr>
      <w:r>
        <w:rPr>
          <w:b w:val="0"/>
          <w:i w:val="0"/>
        </w:rPr>
        <w:t>Diversifikasi Sumber Pendanaan adalah upaya memperluas sumber pembiayaan penelitian di luar dana internal perguruan tinggi, mencakup pendanaan luar negeri, dalam negeri, dan kerja sama DUDIKA/pemerintah.</w:t>
      </w:r>
    </w:p>
    <w:p>
      <w:pPr>
        <w:spacing w:after="120"/>
      </w:pPr>
      <w:r>
        <w:rPr>
          <w:b w:val="0"/>
          <w:i w:val="0"/>
        </w:rPr>
        <w:t>Hibah Penelitian Internal adalah dana penelitian yang bersumber dari anggaran Universitas/Fakultas, disalurkan melalui skema kompetitif kepada dosen.</w:t>
      </w:r>
    </w:p>
    <w:p>
      <w:pPr>
        <w:spacing w:after="120"/>
      </w:pPr>
      <w:r>
        <w:rPr>
          <w:b w:val="0"/>
          <w:i w:val="0"/>
        </w:rPr>
        <w:t>Hibah Penelitian Eksternal adalah dana penelitian yang bersumber dari lembaga di luar Universitas (pemerintah, swasta, mitra luar negeri) yang diperoleh dosen melalui skema kompetitif.</w:t>
      </w:r>
    </w:p>
    <w:p>
      <w:pPr>
        <w:spacing w:before="200" w:after="80"/>
      </w:pPr>
      <w:r>
        <w:rPr>
          <w:b/>
          <w:sz w:val="23"/>
        </w:rPr>
        <w:t>2. Pihak Yang Bertanggung Jawab Untuk Memenuhi Standar</w:t>
      </w:r>
    </w:p>
    <w:p>
      <w:pPr>
        <w:pStyle w:val="ListBullet"/>
        <w:spacing w:after="80"/>
      </w:pPr>
      <w:r>
        <w:rPr/>
        <w:t>Wakil Rektor Bidang Pengembangan Institusi dan Sumber Daya, dalam perencanaan alokasi dana penelitian.</w:t>
      </w:r>
    </w:p>
    <w:p>
      <w:pPr>
        <w:pStyle w:val="ListBullet"/>
        <w:spacing w:after="80"/>
      </w:pPr>
      <w:r>
        <w:rPr/>
        <w:t>Direktorat Keuangan (DKEU), dalam pencatatan, pelaporan, dan pertanggungjawaban dana penelitian.</w:t>
      </w:r>
    </w:p>
    <w:p>
      <w:pPr>
        <w:pStyle w:val="ListBullet"/>
        <w:spacing w:after="80"/>
      </w:pPr>
      <w:r>
        <w:rPr/>
        <w:t>Direktorat Penelitian, Pengabdian kepada Masyarakat dan Publikasi (DPPMP), dalam pengelolaan skema hibah penelitian internal dan pendampingan hibah eksternal.</w:t>
      </w:r>
    </w:p>
    <w:p>
      <w:pPr>
        <w:pStyle w:val="ListBullet"/>
        <w:spacing w:after="80"/>
      </w:pPr>
      <w:r>
        <w:rPr/>
        <w:t>Dekan FTII dan Ketua Program Studi, dalam pengusulan kebutuhan pendanaan penelitian program studi.</w:t>
      </w:r>
    </w:p>
    <w:p>
      <w:pPr>
        <w:spacing w:before="200" w:after="80"/>
      </w:pPr>
      <w:r>
        <w:rPr>
          <w:b/>
          <w:sz w:val="23"/>
        </w:rPr>
        <w:t>3. Pernyataan Isi Standar Pendanaan dan Pembiayaan Penelitian</w:t>
      </w:r>
    </w:p>
    <w:p>
      <w:pPr>
        <w:pStyle w:val="ListNumber"/>
        <w:spacing w:after="120"/>
      </w:pPr>
      <w:r>
        <w:rPr/>
        <w:t>Program Studi Teknik Industri wajib menjamin dana penelitian per dosen per tahun paling sedikit Rp20.000.000, meningkat secara bertahap menuju Rp25.000.000, tetap melampaui ambang skor sempurna LAM Teknik (≥Rp10.000.000).</w:t>
      </w:r>
    </w:p>
    <w:p>
      <w:pPr>
        <w:pStyle w:val="ListNumber"/>
        <w:spacing w:after="120"/>
      </w:pPr>
      <w:r>
        <w:rPr/>
        <w:t>Program Studi Teknik Industri wajib menjamin persentase dana penelitian terhadap total dana perguruan tinggi paling sedikit 5%, meningkat secara bertahap.</w:t>
      </w:r>
    </w:p>
    <w:p>
      <w:pPr>
        <w:pStyle w:val="ListNumber"/>
        <w:spacing w:after="120"/>
      </w:pPr>
      <w:r>
        <w:rPr/>
        <w:t>Program Studi Teknik Industri wajib memiliki mekanisme pengelolaan, penggunaan, dan pertanggungjawaban dana penelitian yang transparan, akuntabel, efektif, dan efisien.</w:t>
      </w:r>
    </w:p>
    <w:p>
      <w:pPr>
        <w:pStyle w:val="ListNumber"/>
        <w:spacing w:after="120"/>
      </w:pPr>
      <w:r>
        <w:rPr/>
        <w:t>Program Studi Teknik Industri wajib mengembangkan diversifikasi sumber pendanaan penelitian eksternal (luar negeri, dalam negeri, kerja sama DUDIKA/pemerintah) dengan proporsi per dosen per tahun yang dilaporkan secara terukur, guna mendukung penilaian akreditasi berbasis rasio sumber pembiayaan.</w:t>
      </w:r>
    </w:p>
    <w:p>
      <w:pPr>
        <w:spacing w:before="200" w:after="80"/>
      </w:pPr>
      <w:r>
        <w:rPr>
          <w:b/>
          <w:sz w:val="23"/>
        </w:rPr>
        <w:t>4. Strategi Pencapaian Standar</w:t>
      </w:r>
    </w:p>
    <w:p>
      <w:pPr>
        <w:pStyle w:val="ListNumber"/>
        <w:spacing w:after="120"/>
      </w:pPr>
      <w:r>
        <w:rPr/>
        <w:t>Rektor menetapkan kebijakan Standar Pendanaan dan Pembiayaan Penelitian sebagai bagian dari SPMI Universitas, dengan ambang indikator disetarakan pada skor tertinggi instrumen LAM Teknik dan kriteria Unggul LAM INFOKOM.</w:t>
      </w:r>
    </w:p>
    <w:p>
      <w:pPr>
        <w:pStyle w:val="ListNumber"/>
        <w:spacing w:after="120"/>
      </w:pPr>
      <w:r>
        <w:rPr/>
        <w:t>Wakil Rektor Bidang Pengembangan Institusi dan Sumber Daya bersama Direktorat Keuangan menjamin dana penelitian per dosen meningkat dari Rp20 juta menuju Rp25 juta per tahun, tetap melampaui ambang LAM Teknik.</w:t>
      </w:r>
    </w:p>
    <w:p>
      <w:pPr>
        <w:pStyle w:val="ListNumber"/>
        <w:spacing w:after="120"/>
      </w:pPr>
      <w:r>
        <w:rPr/>
        <w:t>Direktorat Keuangan bersama DPPMP menyusun mekanisme pelaporan persentase dana penelitian terhadap total dana perguruan tinggi, ditargetkan meningkat dari 5% menuju 7%.</w:t>
      </w:r>
    </w:p>
    <w:p>
      <w:pPr>
        <w:pStyle w:val="ListNumber"/>
        <w:spacing w:after="120"/>
      </w:pPr>
      <w:r>
        <w:rPr/>
        <w:t>DPPMP meningkatkan diversifikasi sumber pendanaan penelitian eksternal (luar negeri, dalam negeri, kerja sama DUDIKA/pemerintah) dengan pelaporan proporsi per dosen per tahun.</w:t>
      </w:r>
    </w:p>
    <w:p>
      <w:pPr>
        <w:pStyle w:val="ListNumber"/>
        <w:spacing w:after="120"/>
      </w:pPr>
      <w:r>
        <w:rPr/>
        <w:t>*Direktorat Keuangan (DKEU) menerapkan pengelolaan dana penelitian yang memenuhi 5 (lima) aspek sesuai ambang skor sempurna LAM Teknik: transparansi, kepatuhan terhadap regulasi, efisiensi dan efektivitas, pengelolaan risiko, serta audit internal dan eksternal, dibuktikan melalui sistem pencatatan dan pelaporan keuangan terstandar.</w:t>
      </w:r>
    </w:p>
    <w:p>
      <w:pPr>
        <w:spacing w:before="20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Dana penelitian per dosen per tahun [IKU]</w:t>
            </w:r>
          </w:p>
        </w:tc>
        <w:tc>
          <w:tcPr>
            <w:tcW w:type="dxa" w:w="1234"/>
          </w:tcPr>
          <w:p>
            <w:pPr/>
            <w:r/>
            <w:r>
              <w:rPr/>
            </w:r>
            <w:r>
              <w:rPr>
                <w:b w:val="0"/>
              </w:rPr>
              <w:t>Rp juta</w:t>
            </w:r>
          </w:p>
        </w:tc>
        <w:tc>
          <w:tcPr>
            <w:tcW w:type="dxa" w:w="1234"/>
          </w:tcPr>
          <w:p>
            <w:pPr/>
            <w:r/>
            <w:r>
              <w:rPr/>
            </w:r>
            <w:r>
              <w:rPr>
                <w:b w:val="0"/>
              </w:rPr>
              <w:t>≥10 (LAM Teknik)</w:t>
            </w:r>
          </w:p>
        </w:tc>
        <w:tc>
          <w:tcPr>
            <w:tcW w:type="dxa" w:w="1234"/>
          </w:tcPr>
          <w:p>
            <w:pPr/>
            <w:r/>
            <w:r>
              <w:rPr/>
            </w:r>
            <w:r>
              <w:rPr>
                <w:b w:val="0"/>
              </w:rPr>
              <w:t>20</w:t>
            </w:r>
          </w:p>
        </w:tc>
        <w:tc>
          <w:tcPr>
            <w:tcW w:type="dxa" w:w="1234"/>
          </w:tcPr>
          <w:p>
            <w:pPr/>
            <w:r/>
            <w:r>
              <w:rPr/>
            </w:r>
            <w:r>
              <w:rPr>
                <w:b w:val="0"/>
              </w:rPr>
              <w:t>22</w:t>
            </w:r>
          </w:p>
        </w:tc>
        <w:tc>
          <w:tcPr>
            <w:tcW w:type="dxa" w:w="1234"/>
          </w:tcPr>
          <w:p>
            <w:pPr/>
            <w:r/>
            <w:r>
              <w:rPr/>
            </w:r>
            <w:r>
              <w:rPr>
                <w:b w:val="0"/>
              </w:rPr>
              <w:t>25</w:t>
            </w:r>
          </w:p>
        </w:tc>
      </w:tr>
      <w:tr>
        <w:tc>
          <w:tcPr>
            <w:tcW w:type="dxa" w:w="1234"/>
          </w:tcPr>
          <w:p>
            <w:pPr/>
            <w:r/>
            <w:r>
              <w:rPr/>
            </w:r>
            <w:r>
              <w:rPr>
                <w:b w:val="0"/>
              </w:rPr>
              <w:t>2</w:t>
            </w:r>
          </w:p>
        </w:tc>
        <w:tc>
          <w:tcPr>
            <w:tcW w:type="dxa" w:w="1234"/>
          </w:tcPr>
          <w:p>
            <w:pPr/>
            <w:r/>
            <w:r>
              <w:rPr/>
            </w:r>
            <w:r>
              <w:rPr>
                <w:b w:val="0"/>
              </w:rPr>
              <w:t>Persentase dana penelitian terhadap total dana perguruan tinggi [IKU]</w:t>
            </w:r>
          </w:p>
        </w:tc>
        <w:tc>
          <w:tcPr>
            <w:tcW w:type="dxa" w:w="1234"/>
          </w:tcPr>
          <w:p>
            <w:pPr/>
            <w:r/>
            <w:r>
              <w:rPr/>
            </w:r>
            <w:r>
              <w:rPr>
                <w:b w:val="0"/>
              </w:rPr>
              <w:t>%</w:t>
            </w:r>
          </w:p>
        </w:tc>
        <w:tc>
          <w:tcPr>
            <w:tcW w:type="dxa" w:w="1234"/>
          </w:tcPr>
          <w:p>
            <w:pPr/>
            <w:r/>
            <w:r>
              <w:rPr/>
            </w:r>
            <w:r>
              <w:rPr>
                <w:b w:val="0"/>
              </w:rPr>
              <w:t>≥5 (praktik baik referensi)</w:t>
            </w:r>
          </w:p>
        </w:tc>
        <w:tc>
          <w:tcPr>
            <w:tcW w:type="dxa" w:w="1234"/>
          </w:tcPr>
          <w:p>
            <w:pPr/>
            <w:r/>
            <w:r>
              <w:rPr/>
            </w:r>
            <w:r>
              <w:rPr>
                <w:b w:val="0"/>
              </w:rPr>
              <w:t>5</w:t>
            </w:r>
          </w:p>
        </w:tc>
        <w:tc>
          <w:tcPr>
            <w:tcW w:type="dxa" w:w="1234"/>
          </w:tcPr>
          <w:p>
            <w:pPr/>
            <w:r/>
            <w:r>
              <w:rPr/>
            </w:r>
            <w:r>
              <w:rPr>
                <w:b w:val="0"/>
              </w:rPr>
              <w:t>6</w:t>
            </w:r>
          </w:p>
        </w:tc>
        <w:tc>
          <w:tcPr>
            <w:tcW w:type="dxa" w:w="1234"/>
          </w:tcPr>
          <w:p>
            <w:pPr/>
            <w:r/>
            <w:r>
              <w:rPr/>
            </w:r>
            <w:r>
              <w:rPr>
                <w:b w:val="0"/>
              </w:rPr>
              <w:t>7</w:t>
            </w:r>
          </w:p>
        </w:tc>
      </w:tr>
      <w:tr>
        <w:tc>
          <w:tcPr>
            <w:tcW w:type="dxa" w:w="1234"/>
          </w:tcPr>
          <w:p>
            <w:pPr/>
            <w:r/>
            <w:r>
              <w:rPr/>
            </w:r>
            <w:r>
              <w:rPr>
                <w:b w:val="0"/>
              </w:rPr>
              <w:t>3</w:t>
            </w:r>
          </w:p>
        </w:tc>
        <w:tc>
          <w:tcPr>
            <w:tcW w:type="dxa" w:w="1234"/>
          </w:tcPr>
          <w:p>
            <w:pPr/>
            <w:r/>
            <w:r>
              <w:rPr/>
            </w:r>
            <w:r>
              <w:rPr>
                <w:b w:val="0"/>
              </w:rPr>
              <w:t>Pelaporan proporsi sumber pendanaan penelitian (luar negeri/dalam negeri/PT-mandiri) per dosen [IKT]</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t>*4</w:t>
            </w:r>
          </w:p>
        </w:tc>
        <w:tc>
          <w:tcPr>
            <w:tcW w:type="dxa" w:w="1234"/>
          </w:tcPr>
          <w:p>
            <w:pPr/>
            <w:r/>
            <w:r>
              <w:rPr/>
            </w:r>
            <w:r>
              <w:rPr/>
              <w:t>Pemenuhan pengelolaan dana penelitian atas 5 aspek (transparansi, kepatuhan regulasi, efisiensi-efektivitas, pengelolaan risiko, audit internal-eksternal) [IKU]</w:t>
            </w:r>
          </w:p>
        </w:tc>
        <w:tc>
          <w:tcPr>
            <w:tcW w:type="dxa" w:w="1234"/>
          </w:tcPr>
          <w:p>
            <w:pPr/>
            <w:r/>
            <w:r>
              <w:rPr/>
            </w:r>
            <w:r>
              <w:rPr/>
              <w:t>Status</w:t>
            </w:r>
          </w:p>
        </w:tc>
        <w:tc>
          <w:tcPr>
            <w:tcW w:type="dxa" w:w="1234"/>
          </w:tcPr>
          <w:p>
            <w:pPr/>
            <w:r/>
            <w:r>
              <w:rPr/>
            </w:r>
            <w:r>
              <w:rPr/>
              <w:t>5 aspek (LAM Teknik Butir 8)</w:t>
            </w:r>
          </w:p>
        </w:tc>
        <w:tc>
          <w:tcPr>
            <w:tcW w:type="dxa" w:w="1234"/>
          </w:tcPr>
          <w:p>
            <w:pPr/>
            <w:r/>
            <w:r>
              <w:rPr/>
            </w:r>
            <w:r>
              <w:rPr/>
              <w:t>5 aspek</w:t>
            </w:r>
          </w:p>
        </w:tc>
        <w:tc>
          <w:tcPr>
            <w:tcW w:type="dxa" w:w="1234"/>
          </w:tcPr>
          <w:p>
            <w:pPr/>
            <w:r/>
            <w:r>
              <w:rPr/>
            </w:r>
            <w:r>
              <w:rPr/>
              <w:t>5 aspek</w:t>
            </w:r>
          </w:p>
        </w:tc>
        <w:tc>
          <w:tcPr>
            <w:tcW w:type="dxa" w:w="1234"/>
          </w:tcPr>
          <w:p>
            <w:pPr/>
            <w:r/>
            <w:r>
              <w:rPr/>
            </w:r>
            <w:r>
              <w:rPr/>
              <w:t>5 aspek</w:t>
            </w:r>
          </w:p>
        </w:tc>
      </w:tr>
    </w:tbl>
    <w:p>
      <w:pPr/>
    </w:p>
    <w:p>
      <w:pPr>
        <w:spacing w:before="280" w:after="120"/>
      </w:pPr>
      <w:r>
        <w:rPr>
          <w:b/>
          <w:sz w:val="28"/>
        </w:rPr>
        <w:t>DOKUMEN TERKAIT PELAKSANAAN STANDAR</w:t>
      </w:r>
    </w:p>
    <w:p>
      <w:pPr>
        <w:pStyle w:val="ListNumber"/>
        <w:spacing w:after="120"/>
      </w:pPr>
      <w:r>
        <w:rPr/>
        <w:t>Dokumen kebijakan dan penetapan Standar Masukan Penelitian Program Studi Teknik Industri (Surat Keputusan Rektor).</w:t>
      </w:r>
    </w:p>
    <w:p>
      <w:pPr>
        <w:pStyle w:val="ListNumber"/>
        <w:spacing w:after="120"/>
      </w:pPr>
      <w:r>
        <w:rPr/>
        <w:t>Dokumen Renstra Penelitian dan roadmap penelitian program studi yang memuat 5 unsur wajib.</w:t>
      </w:r>
    </w:p>
    <w:p>
      <w:pPr>
        <w:pStyle w:val="ListNumber"/>
        <w:spacing w:after="120"/>
      </w:pPr>
      <w:r>
        <w:rPr/>
        <w:t>Buku Panduan Penelitian FTII/Universitas.</w:t>
      </w:r>
    </w:p>
    <w:p>
      <w:pPr>
        <w:pStyle w:val="ListNumber"/>
        <w:spacing w:after="120"/>
      </w:pPr>
      <w:r>
        <w:rPr/>
        <w:t>Data judul penelitian DTPR yang melibatkan mahasiswa, beserta daftar mahasiswa terlibat per program studi per tahun.</w:t>
      </w:r>
    </w:p>
    <w:p>
      <w:pPr>
        <w:pStyle w:val="ListNumber"/>
        <w:spacing w:after="120"/>
      </w:pPr>
      <w:r>
        <w:rPr/>
        <w:t>Laporan penelitian dosen per tahun beserta pemilahan tingkat penelitian (internasional/nasional/lokal).</w:t>
      </w:r>
    </w:p>
    <w:p>
      <w:pPr>
        <w:pStyle w:val="ListNumber"/>
        <w:spacing w:after="120"/>
      </w:pPr>
      <w:r>
        <w:rPr/>
        <w:t>Dokumentasi kegiatan pengembangan kompetensi peneliti (pelatihan, workshop, seminar, sertifikasi) dan daftar hadir/partisipasi dosen.</w:t>
      </w:r>
    </w:p>
    <w:p>
      <w:pPr>
        <w:pStyle w:val="ListNumber"/>
        <w:spacing w:after="120"/>
      </w:pPr>
      <w:r>
        <w:rPr/>
        <w:t>Dokumentasi penghargaan penelitian nasional/internasional dan bukti mobilitas akademik (sabbatical/post-doc/kerja sama luar negeri).</w:t>
      </w:r>
    </w:p>
    <w:p>
      <w:pPr>
        <w:pStyle w:val="ListNumber"/>
        <w:spacing w:after="120"/>
      </w:pPr>
      <w:r>
        <w:rPr/>
        <w:t>Daftar tenaga kependidikan dan laboran penelitian.</w:t>
      </w:r>
    </w:p>
    <w:p>
      <w:pPr>
        <w:pStyle w:val="ListNumber"/>
        <w:spacing w:after="120"/>
      </w:pPr>
      <w:r>
        <w:rPr/>
        <w:t>Dokumen inventarisasi sarana-prasarana penelitian (ruang LPPM, sarana, prasarana, K3) dan laporan audit fasilitas.</w:t>
      </w:r>
    </w:p>
    <w:p>
      <w:pPr>
        <w:pStyle w:val="ListNumber"/>
        <w:spacing w:after="120"/>
      </w:pPr>
      <w:r>
        <w:rPr/>
        <w:t>Data log aktivitas dan cakupan penggunaan Sistem Informasi Penelitian (SIRISBANK).</w:t>
      </w:r>
    </w:p>
    <w:p>
      <w:pPr>
        <w:pStyle w:val="ListNumber"/>
        <w:spacing w:after="120"/>
      </w:pPr>
      <w:r>
        <w:rPr/>
        <w:t>Laporan realisasi dana penelitian per dosen dan persentase dana penelitian terhadap total dana perguruan tinggi.</w:t>
      </w:r>
    </w:p>
    <w:p>
      <w:pPr>
        <w:pStyle w:val="ListNumber"/>
        <w:spacing w:after="120"/>
      </w:pPr>
      <w:r>
        <w:rPr/>
        <w:t>Dokumen kerja sama pendanaan penelitian eksternal (MoU/MoA/IA) beserta proporsi sumber pendanaan per dosen.</w:t>
      </w:r>
    </w:p>
    <w:p>
      <w:pPr>
        <w:pStyle w:val="ListNumber"/>
        <w:spacing w:after="120"/>
      </w:pPr>
      <w:r>
        <w:rPr/>
        <w:t>Laporan survei kepuasan dosen, mahasiswa, dan mitra penelitian.</w:t>
      </w:r>
    </w:p>
    <w:p>
      <w:pPr>
        <w:pStyle w:val="ListNumber"/>
        <w:spacing w:after="120"/>
      </w:pPr>
      <w:r>
        <w:rPr/>
        <w:t>Dokumen root-cause analysis dan SWOT tahunan atas keempat sub-standar Masukan Penelitian, sesuai template Standar Penjaminan Mutu Internal FTII, beserta berita acara pembahasannya dalam RTM.</w:t>
      </w:r>
    </w:p>
    <w:p>
      <w:pPr>
        <w:pStyle w:val="ListNumber"/>
        <w:spacing w:after="120"/>
      </w:pPr>
      <w:r>
        <w:rPr/>
        <w:t>Laporan Audit Mutu Internal (AMI) dan Berita Acara Rapat Tinjauan Manajemen (RTM) atas Standar Masukan Penelitian.</w:t>
      </w:r>
    </w:p>
    <w:p>
      <w:pPr>
        <w:pStyle w:val="ListNumber"/>
        <w:spacing w:after="120"/>
      </w:pPr>
      <w:r>
        <w:rPr/>
        <w:t>Rencana Tindak Lanjut (RTL) hasil evaluasi dan AMI periode berjalan.</w:t>
      </w:r>
    </w:p>
    <w:p>
      <w:pPr>
        <w:pStyle w:val="ListNumber"/>
        <w:spacing w:after="120"/>
      </w:pPr>
      <w:r>
        <w:rPr/>
        <w:t>Dokumen pemetaan gap Standar Masukan Penelitian terhadap dokumen rujukan (standarmasukanpenelitian.docx).</w:t>
      </w:r>
    </w:p>
    <w:p>
      <w:pPr>
        <w:spacing w:before="280" w:after="120"/>
      </w:pPr>
      <w:r>
        <w:rPr>
          <w:b/>
          <w:sz w:val="28"/>
        </w:rPr>
        <w:t>REFERENSI</w:t>
      </w:r>
    </w:p>
    <w:p>
      <w:pPr>
        <w:pStyle w:val="ListNumber"/>
        <w:spacing w:after="120"/>
      </w:pPr>
      <w:r>
        <w:rPr/>
        <w:t>Undang-Undang Republik Indonesia Nomor 12 Tahun 2012 tentang Pendidikan Tinggi.</w:t>
      </w:r>
    </w:p>
    <w:p>
      <w:pPr>
        <w:pStyle w:val="ListNumber"/>
        <w:spacing w:after="120"/>
      </w:pPr>
      <w:r>
        <w:rPr/>
        <w:t>Peraturan Pemerintah Republik Indonesia Nomor 4 Tahun 2014 tentang Penyelenggaraan Pendidikan Tinggi dan Pengelolaan Perguruan Tinggi.</w:t>
      </w:r>
    </w:p>
    <w:p>
      <w:pPr>
        <w:pStyle w:val="ListNumber"/>
        <w:spacing w:after="120"/>
      </w:pPr>
      <w:r>
        <w:rPr/>
        <w:t>Peraturan Menteri Pendidikan, Kebudayaan, Riset, dan Teknologi Republik Indonesia Nomor 53 Tahun 2023 tentang Penjaminan Mutu Pendidikan Tinggi.</w:t>
      </w:r>
    </w:p>
    <w:p>
      <w:pPr>
        <w:pStyle w:val="ListNumber"/>
        <w:spacing w:after="120"/>
      </w:pPr>
      <w:r>
        <w:rPr/>
        <w:t>Peraturan Badan Akreditasi Nasional Perguruan Tinggi (BAN-PT) Nomor 13 Tahun 2023 tentang Sistem Akreditasi Nasional (SAN).</w:t>
      </w:r>
    </w:p>
    <w:p>
      <w:pPr>
        <w:pStyle w:val="ListNumber"/>
        <w:spacing w:after="120"/>
      </w:pPr>
      <w:r>
        <w:rPr/>
        <w:t>Peraturan Badan Akreditasi Nasional Perguruan Tinggi (BAN-PT) Nomor 5 Tahun 2024 tentang Pemantauan dan Evaluasi Mutu Perguruan Tinggi (PMPT).</w:t>
      </w:r>
    </w:p>
    <w:p>
      <w:pPr>
        <w:pStyle w:val="ListNumber"/>
        <w:spacing w:after="120"/>
      </w:pPr>
      <w:r>
        <w:rPr/>
        <w:t>Matriks Penilaian LED-LKPS Sarjana APS Akademik dan Vokasi Teknik 2025 untuk Pasca-Akreditasi Pertama dan Unggul, Lembaga Akreditasi Mandiri Teknik (LAM Teknik).</w:t>
      </w:r>
    </w:p>
    <w:p>
      <w:pPr>
        <w:pStyle w:val="ListNumber"/>
        <w:spacing w:after="120"/>
      </w:pPr>
      <w:r>
        <w:rPr/>
        <w:t>Pedoman Penyusunan Laporan Evaluasi Diri (LEDPS) — Lampiran 2 Peraturan LAM Teknik Nomor 5 Tahun 2025.</w:t>
      </w:r>
    </w:p>
    <w:p>
      <w:pPr>
        <w:pStyle w:val="ListNumber"/>
        <w:spacing w:after="120"/>
      </w:pPr>
      <w:r>
        <w:rPr/>
        <w:t>Kriteria Terakreditasi Unggul 2.1, Lembaga Akreditasi Mandiri Informatika dan Komputer (LAM INFOKOM), Instrumen 1.0.</w:t>
      </w:r>
    </w:p>
    <w:p>
      <w:pPr>
        <w:pStyle w:val="ListNumber"/>
        <w:spacing w:after="120"/>
      </w:pPr>
      <w:r>
        <w:rPr/>
        <w:t>Peraturan Lembaga Akreditasi Mandiri Informatika dan Komputer Nomor 11/PERLAM/MA/LAM-INFOKOM/X/2025 tentang Instrumen Akreditasi Program Studi 2.1 pada Program Sarjana Lingkup Informatika dan Komputer, November 2025 (Sarjana - Matriks Penilaian.pdf dan S1-LED Instrumen Unggul.pdf).</w:t>
      </w:r>
    </w:p>
    <w:p>
      <w:pPr>
        <w:pStyle w:val="ListNumber"/>
        <w:spacing w:after="120"/>
      </w:pPr>
      <w:r>
        <w:rPr/>
        <w:t>Statuta Universitas Stikubank (UNISBANK) Semarang Tahun 2020.</w:t>
      </w:r>
    </w:p>
    <w:p>
      <w:pPr>
        <w:pStyle w:val="ListNumber"/>
        <w:spacing w:after="120"/>
      </w:pPr>
      <w:r>
        <w:rPr/>
        <w:t>Rencana Strategis (Renstra) Universitas Stikubank (UNISBANK) Semarang Tahun 2024-2027.</w:t>
      </w:r>
    </w:p>
    <w:p>
      <w:pPr>
        <w:pStyle w:val="ListNumber"/>
        <w:spacing w:after="120"/>
      </w:pPr>
      <w:r>
        <w:rPr/>
        <w:t>Rencana Strategis (Renstra) Penelitian dan Pengabdian kepada Masyarakat Universitas Stikubank Tahun 2021-2025.</w:t>
      </w:r>
    </w:p>
    <w:p>
      <w:pPr>
        <w:pStyle w:val="ListNumber"/>
        <w:spacing w:after="120"/>
      </w:pPr>
      <w:r>
        <w:rPr/>
        <w:t>Rencana Strategis (Renstra) Fakultas Teknologi Informasi dan Industri (FTII) Universitas Stikubank (UNISBANK) Semarang Tahun 2024-2027.</w:t>
      </w:r>
    </w:p>
    <w:p>
      <w:pPr>
        <w:pStyle w:val="ListNumber"/>
        <w:spacing w:after="120"/>
      </w:pPr>
      <w:r>
        <w:rPr/>
        <w:t>Standar Visi Misi FTII versi Unggul (Standar_Visi_Misi_Unggul_FTII.docx).</w:t>
      </w:r>
    </w:p>
    <w:p>
      <w:pPr>
        <w:pStyle w:val="ListNumber"/>
        <w:spacing w:after="120"/>
      </w:pPr>
      <w:r>
        <w:rPr/>
        <w:t>Standar Penjaminan Mutu Internal FTII versi Unggul (Standar_Penjaminan_Mutu_Internal_Unggul_FTII.docx).</w:t>
      </w:r>
    </w:p>
    <w:p>
      <w:pPr>
        <w:pStyle w:val="ListNumber"/>
        <w:spacing w:after="120"/>
      </w:pPr>
      <w:r>
        <w:rPr/>
        <w:t>Standar Proses Penelitian Program Studi Teknik Industri versi Unggul (standarprosespenelitianunggul.docx).</w:t>
      </w:r>
    </w:p>
    <w:p>
      <w:pPr>
        <w:pStyle w:val="ListNumber"/>
        <w:spacing w:after="120"/>
      </w:pPr>
      <w:r>
        <w:rPr/>
        <w:t>Dokumen pemetaan gap Standar Masukan Penelitian Program Studi Teknik Industri (standarmasukanpenelitian.docx).</w:t>
      </w:r>
    </w:p>
    <w:p>
      <w:pPr/>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