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PENELITIAN</w:t>
      </w:r>
    </w:p>
    <w:p>
      <w:pPr>
        <w:jc w:val="center"/>
      </w:pPr>
      <w:r>
        <w:rPr>
          <w:b/>
          <w:sz w:val="26"/>
        </w:rPr>
        <w:t>PROGRAM STUDI TEKNIK INFORMATIKA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Penelitian Program Studi Teknik Informatika UNISBANK. Revisi pertama disusun berdasarkan hasil pemetaan gap terhadap Panduan SPMI Program Sarjana dan Sarjana Terapan, Matriks Penilaian LAM Teknik APS-AV 2025 1.0, dan Kriteria Terakreditasi Unggul 2.1 LAM INFOKOM (Instrumen 1.0), didokumentasikan pada standarmasukanpenelitian.docx. Revisi ke-2 ini melakukan tiga penyempurnaan: (1) SUSUNAN BAGIAN direstrukturisasi mengikuti pola yang telah diterapkan pada Standar Masukan Pendidikan dan Standar Proses Pendidikan Program Studi Teknik Informatika versi Unggul, yang memecah Standar Masukan Penelitian menjadi 4 (empat) sub-standar mandiri (Peneliti; Sarana dan Prasarana Penelitian; Pengelolaan Penelitian; Pendanaan dan Pembiayaan Penelitian), masing-masing dengan 5 komponen baku: Daftar Istilah, Pihak Yang Bertanggung Jawab, Pernyataan Isi Standar, Strategi Pencapaian Standar, dan Indikator Capaian Standar; (2) ISI diverifikasi terhadap Instrumen Akreditasi Program Studi 2.1 LAM INFOKOM (Peraturan LAM-INFOKOM Nomor 11/PERLAM/MA/LAM-INFOKOM/X/2025, November 2025) — instrumen LAM INFOKOM PALING MUTAKHIR — yang mengonfirmasi dokumen ini SELARAS dan pada sejumlah indikator MELAMPAUI cakupan minimal Kriteria 3 Relevansi Penelitian instrumen tersebut, karena instrumen 2.1 menilai unsur peta jalan penelitian, DTPR, sarana-prasarana, pembiayaan, dan kepuasan layanan penelitian melalui rubrik kualitatif berbobot skor tanpa ambang numerik eksplisit, sehingga seluruh ambang kuantitatif yang telah dikalibrasi terhadap LAM Teknik dan Kriteria Unggul 2.1 LAM INFOKOM (Instrumen 1.0) PADA REVISI PERTAMA DIPERTAHANKAN; dan (3) kolom tahun target diselaraskan menjadi 2024/2025-2026/2027. Instrumen 2.1 menegaskan istilah DTPR (Dosen Tetap Penghitung Rasio) sebagai padanan DTPS pada LAM Teknik; kedua istilah dipakai berdampingan pada dokumen ini.</w:t>
      </w:r>
    </w:p>
    <w:p>
      <w:pPr/>
    </w:p>
    <w:p>
      <w:pPr>
        <w:spacing w:before="280" w:after="120"/>
      </w:pPr>
      <w:r>
        <w:rPr>
          <w:b/>
          <w:sz w:val="26"/>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dan berkontribusi pada pengembangan ilmu;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menghasilkan karya ilmiah, serta jaringan kerja sama yang berkelanjutan — sebagaimana ditetapkan pada Standar Visi Misi FTII versi Unggul (Standar_Visi_Misi_Unggul_FTII.docx). Standar Masukan Penelitian ini menjadi salah satu prasyarat utama pencapaian visi, misi, dan tujuan tersebut melalui penyediaan sumber daya penelitian (peneliti, sarana-prasarana, pengelolaan, dan pendanaan) yang bermutu dan terukur.</w:t>
      </w:r>
    </w:p>
    <w:p>
      <w:pPr>
        <w:spacing w:before="280" w:after="120"/>
      </w:pPr>
      <w:r>
        <w:rPr>
          <w:b/>
          <w:sz w:val="26"/>
        </w:rPr>
        <w:t>2. RASIONAL</w:t>
      </w:r>
    </w:p>
    <w:p>
      <w:pPr>
        <w:spacing w:after="120"/>
      </w:pPr>
      <w:r>
        <w:rPr>
          <w:b w:val="0"/>
          <w:i w:val="0"/>
        </w:rPr>
        <w:t>Fakultas Teknologi Informasi dan Industri (FTII) UNISBANK menetapkan Standar Masukan Penelitian sebagai landasan penyediaan sumber daya penelitian — Rencana Strategis (Renstra) dan roadmap penelitian, sumber daya manusia peneliti, sarana dan prasarana, sistem informasi, serta pembiayaan — yang menjamin terselenggaranya penelitian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produktivitas dan sebaran tingkat penelitian, dana penelitian per dosen, serta diversifikasi sumber pendanaan — dan memenuhi deskriptor tertinggi Kriteria 3 (Sumber Daya) Butir 3.1.A Kriteria Unggul 2.1 LAM INFOKOM (Instrumen 1.0: peta jalan penelitian, DTPR, sarana-prasarana, dan pembiayaan), serta selaras dengan Kriteria 3 Relevansi Penelitian pada Instrumen Akreditasi Program Studi 2.1 LAM INFOKOM (November 2025) untuk status Terakreditasi Unggul.</w:t>
      </w:r>
    </w:p>
    <w:p>
      <w:pPr>
        <w:spacing w:after="120"/>
      </w:pPr>
      <w:r>
        <w:rPr>
          <w:b w:val="0"/>
          <w:i w:val="0"/>
        </w:rPr>
        <w:t>Penyusunan standar ini didasarkan pada hasil analisis kesenjangan (gap analysis) terhadap dokumen Standar Masukan Penelitian Program Studi Teknik Informatika sebelumnya, yang mengidentifikasi empat area prioritas penyesuaian: (a) penambahan indikator penghargaan/rekognisi peneliti dan mobilitas akademik (sabbatical/post-doc); (b) penambahan indikator persentase dana penelitian terhadap total dana perguruan tinggi; (c) perincian indikator roadmap penelitian dan sarana-prasarana penelitian yang sebelumnya bersifat sangat umum ("Tersedia") menjadi unsur-unsur konkret dan terukur; dan (d) konversi indikator yang bersifat flat/datar menjadi tren peningkatan bertahap. Keterlibatan mahasiswa dalam penelitian dosen diatur secara terukur pada Standar Proses Penelitian Program Studi Teknik Informatika versi Unggul agar tidak terjadi duplikasi indikator antar-standar. Verifikasi terhadap Instrumen Akreditasi Program Studi 2.1 LAM INFOKOM mengonfirmasi bahwa instrumen ini memakai rubrik skor berbobot kualitatif (bukan ambang kuantitatif eksplisit), sehingga TIDAK mengubah kalibrasi angka yang sudah ditetapkan pada revisi sebelumnya — seluruh ambang dipertahankan, termasuk capaian yang sudah melampaui ambang rujukan: dana penelitian per dosen Rp20 juta/tahun (dua kali lipat ambang skor sempurna LAM Teknik) dan cakupan survei kepuasan dosen/mahasiswa/mitra penelitian yang melampaui cakupan responden minimal instrumen 2.1 (hanya dosen).</w:t>
      </w:r>
    </w:p>
    <w:p>
      <w:pPr>
        <w:spacing w:before="20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Informatika wajib melaksanakan Analisis Faktor Keberhasilan dan Penghambat (root-cause analysis) serta analisis SWOT atas ketercapaian SELURUH sub-standar Masukan Penelitian (Peneliti, Sarana dan Prasarana Penelitian, Pengelolaan Penelitian, Pendanaan dan Pembiayaan Penelitian)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Penelitian versi Unggul yang telah direstrukturisasi ini, Program Studi Teknik Informatika FTII UNISBANK diharapkan memiliki basis sumber daya penelitian yang setara dengan program studi berakreditasi Unggul, sekaligus berfungsi ganda sebagai instrumen penjaminan mutu internal (SPMI) dan instrumen kesiapan akreditasi eksternal LAM Teknik dan LAM INFOKOM (Instrumen 1.0 dan 2.1).</w:t>
      </w:r>
    </w:p>
    <w:p>
      <w:pPr>
        <w:spacing w:before="280" w:after="120"/>
      </w:pPr>
      <w:r>
        <w:rPr>
          <w:b/>
          <w:sz w:val="28"/>
        </w:rPr>
        <w:t>STANDAR ISI PENELITIAN</w:t>
      </w:r>
    </w:p>
    <w:p>
      <w:pPr>
        <w:spacing w:before="160" w:after="80"/>
      </w:pPr>
      <w:r>
        <w:rPr>
          <w:b/>
          <w:sz w:val="23"/>
        </w:rPr>
        <w:t>1. Daftar Istilah</w:t>
      </w:r>
    </w:p>
    <w:p>
      <w:pPr>
        <w:spacing w:after="120"/>
      </w:pPr>
      <w:r>
        <w:rPr>
          <w:b w:val="0"/>
          <w:i w:val="0"/>
        </w:rPr>
        <w:t>Rencana Induk Penelitian (RIP) adalah dokumen perencanaan strategis penelitian jangka panjang yang menjadi acuan arah, fokus, dan pengembangan penelitian institusi.</w:t>
      </w:r>
    </w:p>
    <w:p>
      <w:pPr>
        <w:spacing w:after="120"/>
      </w:pPr>
      <w:r>
        <w:rPr>
          <w:b w:val="0"/>
          <w:i w:val="0"/>
        </w:rPr>
        <w:t>Roadmap Penelitian adalah peta jalan penelitian yang memuat tema, tahapan, dan target capaian penelitian dosen dan mahasiswa, selaras dengan Visi, Misi, Tujuan, dan Strategi (VMTS) serta RIP.</w:t>
      </w:r>
    </w:p>
    <w:p>
      <w:pPr>
        <w:spacing w:after="120"/>
      </w:pPr>
      <w:r>
        <w:rPr>
          <w:b w:val="0"/>
          <w:i w:val="0"/>
        </w:rPr>
        <w:t>VMTS adalah Visi, Misi, Tujuan, dan Strategi Fakultas/Universitas yang menjadi dasar penyusunan arah dan fokus penelitian.</w:t>
      </w:r>
    </w:p>
    <w:p>
      <w:pPr>
        <w:spacing w:after="120"/>
      </w:pPr>
      <w:r>
        <w:rPr>
          <w:b w:val="0"/>
          <w:i w:val="0"/>
        </w:rPr>
        <w:t>Kesesuaian Roadmap adalah keselarasan antara judul/topik penelitian dosen dengan tema dan fokus yang ditetapkan dalam roadmap penelitian.</w:t>
      </w:r>
    </w:p>
    <w:p>
      <w:pPr>
        <w:spacing w:before="160" w:after="80"/>
      </w:pPr>
      <w:r>
        <w:rPr>
          <w:b/>
          <w:sz w:val="23"/>
        </w:rPr>
        <w:t>2. Pihak Yang Bertanggung Jawab Untuk Memenuhi Standar</w:t>
      </w:r>
    </w:p>
    <w:p>
      <w:pPr>
        <w:pStyle w:val="ListNumber"/>
        <w:spacing w:after="120"/>
      </w:pPr>
      <w:r>
        <w:rPr/>
        <w:t>Rektor, dalam menetapkan kebijakan Standar Perencanaan Penelitian atas usulan Dekan FTII.</w:t>
      </w:r>
    </w:p>
    <w:p>
      <w:pPr>
        <w:pStyle w:val="ListNumber"/>
        <w:spacing w:after="120"/>
      </w:pPr>
      <w:r>
        <w:rPr/>
        <w:t>Direktorat Penelitian, Pengabdian kepada Masyarakat dan Publikasi (DPPMP) bersama Dekan FTII, dalam penyusunan dan pemutakhiran RIP/roadmap penelitian fakultas dan program studi.</w:t>
      </w:r>
    </w:p>
    <w:p>
      <w:pPr>
        <w:pStyle w:val="ListNumber"/>
        <w:spacing w:after="120"/>
      </w:pPr>
      <w:r>
        <w:rPr/>
        <w:t>Ketua Program Studi, dalam pemetaan dan pemastian kesesuaian penelitian dosen terhadap roadmap/RIP.</w:t>
      </w:r>
    </w:p>
    <w:p>
      <w:pPr>
        <w:pStyle w:val="ListNumber"/>
        <w:spacing w:after="120"/>
      </w:pPr>
      <w:r>
        <w:rPr/>
        <w:t>Gugus Kendali Mutu (GKM) Program Studi, dalam verifikasi kesesuaian roadmap sebelum penelitian dilaksanakan.</w:t>
      </w:r>
    </w:p>
    <w:p>
      <w:pPr>
        <w:spacing w:before="160" w:after="80"/>
      </w:pPr>
      <w:r>
        <w:rPr>
          <w:b/>
          <w:sz w:val="23"/>
        </w:rPr>
        <w:t>3. Pernyataan Isi Standar Isi Penelitian</w:t>
      </w:r>
    </w:p>
    <w:p>
      <w:pPr>
        <w:pStyle w:val="ListNumber"/>
        <w:spacing w:after="120"/>
      </w:pPr>
      <w:r>
        <w:rPr/>
        <w:t>Program Studi Teknik Informatika wajib memiliki dan menerapkan Standar Proses Penelitian yang ditetapkan melalui keputusan Rektor dan ditinjau paling sedikit satu kali dalam satu siklus Renstra.</w:t>
      </w:r>
    </w:p>
    <w:p>
      <w:pPr>
        <w:pStyle w:val="ListNumber"/>
        <w:spacing w:after="120"/>
      </w:pPr>
      <w:r>
        <w:rPr/>
        <w:t>Program Studi Teknik Informatika wajib memiliki Rencana Induk Penelitian (RIP)/roadmap penelitian fakultas dan program studi yang selaras dengan VMTS, digunakan sebagai acuan seluruh kegiatan penelitian dosen dan mahasiswa.</w:t>
      </w:r>
    </w:p>
    <w:p>
      <w:pPr>
        <w:pStyle w:val="ListNumber"/>
        <w:spacing w:after="120"/>
      </w:pPr>
      <w:r>
        <w:rPr/>
        <w:t>Program Studi Teknik Informatika wajib menjamin persentase penelitian dosen yang selaras dengan roadmap/RIP paling sedikit 90% pada tahun pertama penerapan standar, meningkat menjadi 100% pada tahun ketiga.</w:t>
      </w:r>
    </w:p>
    <w:p>
      <w:pPr>
        <w:pStyle w:val="ListNumber"/>
        <w:spacing w:after="120"/>
      </w:pPr>
      <w:r>
        <w:rPr/>
        <w:t>Program Studi Teknik Informatika wajib melaksanakan sosialisasi RIP/roadmap penelitian kepada dosen dan mahasiswa paling sedikit satu kali per tahun.</w:t>
      </w:r>
    </w:p>
    <w:p>
      <w:pPr>
        <w:spacing w:before="160" w:after="80"/>
      </w:pPr>
      <w:r>
        <w:rPr>
          <w:b/>
          <w:sz w:val="23"/>
        </w:rPr>
        <w:t>4. Strategi Pencapaian Standar</w:t>
      </w:r>
    </w:p>
    <w:p>
      <w:pPr>
        <w:pStyle w:val="ListNumber"/>
        <w:spacing w:after="120"/>
      </w:pPr>
      <w:r>
        <w:rPr/>
        <w:t>Rektor menetapkan kebijakan Standar Perencanaan Penelitian FTII sebagai bagian dari SPMI Universitas, dengan ambang indikator disetarakan pada skor tertinggi instrumen LAM Teknik dan kriteria Unggul LAM INFOKOM.</w:t>
      </w:r>
    </w:p>
    <w:p>
      <w:pPr>
        <w:pStyle w:val="ListNumber"/>
        <w:spacing w:after="120"/>
      </w:pPr>
      <w:r>
        <w:rPr/>
        <w:t>DPPMP bersama Dekan FTII menyusun dan memutakhirkan RIP/roadmap penelitian fakultas dan program studi, serta melaksanakan sosialisasi kepada dosen dan mahasiswa paling sedikit satu kali per tahun.</w:t>
      </w:r>
    </w:p>
    <w:p>
      <w:pPr>
        <w:pStyle w:val="ListNumber"/>
        <w:spacing w:after="120"/>
      </w:pPr>
      <w:r>
        <w:rPr/>
        <w:t>Ketua Program Studi memastikan setiap judul penelitian dosen dipetakan terhadap roadmap/RIP, dengan verifikasi kesesuaian dilakukan oleh GKM Program Studi sebelum penelitian dilaksanakan.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penelitian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Penelitian dosen selaras roadmap/RIP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Sosialisasi RIP/roadmap penelitian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8"/>
        </w:rPr>
        <w:t>STANDAR PENELITI</w:t>
      </w:r>
    </w:p>
    <w:p>
      <w:pPr>
        <w:spacing w:before="200" w:after="80"/>
      </w:pPr>
      <w:r>
        <w:rPr>
          <w:b/>
          <w:sz w:val="23"/>
        </w:rPr>
        <w:t>1. Daftar Istilah</w:t>
      </w:r>
    </w:p>
    <w:p>
      <w:pPr>
        <w:spacing w:after="120"/>
      </w:pPr>
      <w:r>
        <w:rPr>
          <w:b w:val="0"/>
          <w:i w:val="0"/>
        </w:rPr>
        <w:t>Dosen Tetap Penghitung Rasio (DTPR) adalah dosen tetap institusi dengan keahlian bidang informatika dan komputer yang ditugaskan melaksanakan penelitian pada program studi yang diakreditasi, dipakai berdampingan dengan istilah DTPS (Dosen Tetap Program Studi) pada LAM Teknik.</w:t>
      </w:r>
    </w:p>
    <w:p>
      <w:pPr>
        <w:spacing w:after="120"/>
      </w:pPr>
      <w:r>
        <w:rPr>
          <w:b w:val="0"/>
          <w:i w:val="0"/>
        </w:rPr>
        <w:t>Ketua Peneliti adalah dosen yang bertanggung jawab memimpin pelaksanaan suatu penelitian, memenuhi kualifikasi dan persyaratan sesuai skema penelitian yang berlaku.</w:t>
      </w:r>
    </w:p>
    <w:p>
      <w:pPr>
        <w:spacing w:after="120"/>
      </w:pPr>
      <w:r>
        <w:rPr>
          <w:b w:val="0"/>
          <w:i w:val="0"/>
        </w:rPr>
        <w:t>Anggota Peneliti adalah dosen dan/atau mahasiswa yang terlibat dalam pelaksanaan penelitian di bawah koordinasi ketua peneliti.</w:t>
      </w:r>
    </w:p>
    <w:p>
      <w:pPr>
        <w:spacing w:after="120"/>
      </w:pPr>
      <w:r>
        <w:rPr>
          <w:b w:val="0"/>
          <w:i w:val="0"/>
        </w:rPr>
        <w:t>Tenaga Bantu Penelitian adalah tenaga kependidikan, laboran, atau mahasiswa yang mendukung pelaksanaan teknis kegiatan penelitian.</w:t>
      </w:r>
    </w:p>
    <w:p>
      <w:pPr>
        <w:spacing w:after="120"/>
      </w:pPr>
      <w:r>
        <w:rPr>
          <w:b w:val="0"/>
          <w:i w:val="0"/>
        </w:rPr>
        <w:t>Sabbatical adalah cuti akademik yang diberikan kepada dosen untuk melaksanakan penelitian, penulisan karya ilmiah, atau pengembangan keilmuan pada institusi lain dalam jangka waktu tertentu.</w:t>
      </w:r>
    </w:p>
    <w:p>
      <w:pPr>
        <w:spacing w:after="120"/>
      </w:pPr>
      <w:r>
        <w:rPr>
          <w:b w:val="0"/>
          <w:i w:val="0"/>
        </w:rPr>
        <w:t>Post-Doctoral adalah program penelitian lanjutan yang diikuti dosen bergelar Doktor pada institusi riset dalam atau luar negeri untuk memperdalam kompetensi keilmuan.</w:t>
      </w:r>
    </w:p>
    <w:p>
      <w:pPr>
        <w:spacing w:after="120"/>
      </w:pPr>
      <w:r>
        <w:rPr>
          <w:b w:val="0"/>
          <w:i w:val="0"/>
        </w:rPr>
        <w:t>Rekognisi/Penghargaan Penelitian adalah pengakuan formal atas kualitas dan kontribusi hasil penelitian dosen, diberikan oleh lembaga/asosiasi tingkat nasional maupun internasional.</w:t>
      </w:r>
    </w:p>
    <w:p>
      <w:pPr>
        <w:spacing w:before="200" w:after="80"/>
      </w:pPr>
      <w:r>
        <w:rPr>
          <w:b/>
          <w:sz w:val="23"/>
        </w:rPr>
        <w:t>2. Pihak Yang Bertanggung Jawab Untuk Memenuhi Standar</w:t>
      </w:r>
    </w:p>
    <w:p>
      <w:pPr>
        <w:pStyle w:val="ListBullet"/>
        <w:spacing w:after="80"/>
      </w:pPr>
      <w:r>
        <w:rPr/>
        <w:t>Rektor, dalam menetapkan kebijakan pengelolaan sumber daya manusia peneliti.</w:t>
      </w:r>
    </w:p>
    <w:p>
      <w:pPr>
        <w:pStyle w:val="ListBullet"/>
        <w:spacing w:after="80"/>
      </w:pPr>
      <w:r>
        <w:rPr/>
        <w:t>Direktorat Penelitian, Pengabdian kepada Masyarakat dan Publikasi (DPPMP), dalam penyelenggaraan kegiatan pengembangan kompetensi peneliti, fasilitasi penghargaan, dan mobilitas akademik.</w:t>
      </w:r>
    </w:p>
    <w:p>
      <w:pPr>
        <w:pStyle w:val="ListBullet"/>
        <w:spacing w:after="80"/>
      </w:pPr>
      <w:r>
        <w:rPr/>
        <w:t>Dekan FTII, dalam pemantauan produktivitas dan sebaran tingkat penelitian dosen tingkat program studi.</w:t>
      </w:r>
    </w:p>
    <w:p>
      <w:pPr>
        <w:pStyle w:val="ListBullet"/>
        <w:spacing w:after="80"/>
      </w:pPr>
      <w:r>
        <w:rPr/>
        <w:t>Ketua Program Studi, dalam verifikasi jumlah penelitian per dosen dan kualifikasi ketua/anggota peneliti.</w:t>
      </w:r>
    </w:p>
    <w:p>
      <w:pPr>
        <w:pStyle w:val="ListBullet"/>
        <w:spacing w:after="80"/>
      </w:pPr>
      <w:r>
        <w:rPr/>
        <w:t>Direktorat Sumber Daya Manusia, dalam pengelolaan tenaga kependidikan dan laboran pendukung penelitian.</w:t>
      </w:r>
    </w:p>
    <w:p>
      <w:pPr>
        <w:pStyle w:val="ListBullet"/>
        <w:spacing w:after="80"/>
      </w:pPr>
      <w:r>
        <w:rPr/>
        <w:t>Gugus Kendali Mutu (GKM) Program Studi, dalam validasi data partisipasi dan kinerja peneliti setiap semester.</w:t>
      </w:r>
    </w:p>
    <w:p>
      <w:pPr>
        <w:spacing w:before="200" w:after="80"/>
      </w:pPr>
      <w:r>
        <w:rPr>
          <w:b/>
          <w:sz w:val="23"/>
        </w:rPr>
        <w:t>3. Pernyataan Isi Standar Peneliti</w:t>
      </w:r>
    </w:p>
    <w:p>
      <w:pPr>
        <w:pStyle w:val="ListNumber"/>
        <w:spacing w:after="120"/>
      </w:pPr>
      <w:r>
        <w:rPr/>
        <w:t>Program Studi Teknik Informatika wajib menjamin setiap dosen memiliki paling sedikit satu penelitian per tahun, dengan pemilahan proporsi tingkat penelitian (internasional, nasional, lokal/PT-mandiri) yang dilaporkan per dosen per tahun untuk mendukung penilaian akreditasi berbasis rasio.</w:t>
      </w:r>
    </w:p>
    <w:p>
      <w:pPr>
        <w:pStyle w:val="ListNumber"/>
        <w:spacing w:after="120"/>
      </w:pPr>
      <w:r>
        <w:rPr/>
        <w:t>Program Studi Teknik Informatika wajib menetapkan persyaratan dan kualifikasi ketua peneliti, anggota peneliti, dan tenaga bantu penelitian sesuai skema penelitian yang berlaku.</w:t>
      </w:r>
    </w:p>
    <w:p>
      <w:pPr>
        <w:pStyle w:val="ListNumber"/>
        <w:spacing w:after="120"/>
      </w:pPr>
      <w:r>
        <w:rPr/>
        <w:t>Program Studi Teknik Informatika wajib menyelenggarakan paling sedikit 3 (tiga) kegiatan pengembangan kompetensi peneliti per tahun (pelatihan, workshop, seminar, sertifikasi, pendampingan), dengan target partisipasi paling sedikit 95% dosen mengikuti minimal satu kegiatan per tahun.</w:t>
      </w:r>
    </w:p>
    <w:p>
      <w:pPr>
        <w:pStyle w:val="ListNumber"/>
        <w:spacing w:after="120"/>
      </w:pPr>
      <w:r>
        <w:rPr/>
        <w:t>Program Studi Teknik Informatika wajib mendorong perolehan penghargaan/rekognisi penelitian oleh dosen, dengan target paling sedikit 1 (satu) penghargaan tingkat nasional dan paling sedikit 1 (satu) penghargaan tingkat internasional per program studi setiap 3 (tiga) tahun.</w:t>
      </w:r>
    </w:p>
    <w:p>
      <w:pPr>
        <w:pStyle w:val="ListNumber"/>
        <w:spacing w:after="120"/>
      </w:pPr>
      <w:r>
        <w:rPr/>
        <w:t>Program Studi Teknik Informatika wajib mendorong mobilitas akademik dosen melalui program cuti sabbatical, post-doctoral, atau kerja sama penelitian luar negeri, dengan target paling sedikit 1% dari jumlah dosen tetap per tahun, meningkat secara bertahap.</w:t>
      </w:r>
    </w:p>
    <w:p>
      <w:pPr>
        <w:pStyle w:val="ListNumber"/>
        <w:spacing w:after="120"/>
      </w:pPr>
      <w:r>
        <w:rPr/>
        <w:t>Program Studi Teknik Informatika wajib menyediakan tenaga kependidikan dan laboran yang kompeten untuk mendukung pelaksanaan penelitian sesuai kebutuhan program studi.</w:t>
      </w:r>
    </w:p>
    <w:p>
      <w:pPr>
        <w:spacing w:before="200" w:after="80"/>
      </w:pPr>
      <w:r>
        <w:rPr>
          <w:b/>
          <w:sz w:val="23"/>
        </w:rPr>
        <w:t>4. Strategi Pencapaian Standar</w:t>
      </w:r>
    </w:p>
    <w:p>
      <w:pPr>
        <w:pStyle w:val="ListNumber"/>
        <w:spacing w:after="120"/>
      </w:pPr>
      <w:r>
        <w:rPr/>
        <w:t>Rektor menetapkan kebijakan Standar Peneliti sebagai bagian dari SPMI Universitas, dengan ambang indikator disetarakan pada skor tertinggi instrumen LAM Teknik dan kriteria Unggul LAM INFOKOM.</w:t>
      </w:r>
    </w:p>
    <w:p>
      <w:pPr>
        <w:pStyle w:val="ListNumber"/>
        <w:spacing w:after="120"/>
      </w:pPr>
      <w:r>
        <w:rPr/>
        <w:t>DPPMP mengembangkan sistem pelaporan penelitian yang memilah tingkat penelitian (internasional/nasional/lokal) per dosen untuk mendukung konversi langsung ke rumus skor akreditasi LAM Teknik.</w:t>
      </w:r>
    </w:p>
    <w:p>
      <w:pPr>
        <w:pStyle w:val="ListNumber"/>
        <w:spacing w:after="120"/>
      </w:pPr>
      <w:r>
        <w:rPr/>
        <w:t>DPPMP menyelenggarakan paling sedikit 3 kegiatan pengembangan kompetensi peneliti per tahun serta memantau tingkat partisipasi dosen menuju ambang 95%.</w:t>
      </w:r>
    </w:p>
    <w:p>
      <w:pPr>
        <w:pStyle w:val="ListNumber"/>
        <w:spacing w:after="120"/>
      </w:pPr>
      <w:r>
        <w:rPr/>
        <w:t>Fakultas memberikan insentif dan pendampingan bagi dosen untuk meraih penghargaan penelitian nasional/internasional serta mengikuti program sabbatical/post-doc/kerja sama penelitian luar negeri.</w:t>
      </w:r>
    </w:p>
    <w:p>
      <w:pPr>
        <w:pStyle w:val="ListNumber"/>
        <w:spacing w:after="120"/>
      </w:pPr>
      <w:r>
        <w:rPr/>
        <w:t>Dekan dan Ketua Program Studi menjamin ketersediaan tenaga kependidikan dan laboran penelitian sesuai kebutuhan bidang keilmuan program studi.</w:t>
      </w:r>
    </w:p>
    <w:p>
      <w:pPr>
        <w:pStyle w:val="ListNumber"/>
        <w:spacing w:after="120"/>
      </w:pPr>
      <w:r>
        <w:rPr/>
        <w:t>Ketua Program Studi memverifikasi kesesuaian kualifikasi ketua peneliti, anggota peneliti, dan tenaga bantu penelitian dengan skema penelitian yang berlaku setiap pengusulan kegiatan, mengacu Buku Panduan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Rata-rata jumlah penelitian per dosen per tahun [IKU]</w:t>
            </w:r>
          </w:p>
        </w:tc>
        <w:tc>
          <w:tcPr>
            <w:tcW w:type="dxa" w:w="1234"/>
          </w:tcPr>
          <w:p>
            <w:pPr/>
            <w:r/>
            <w:r>
              <w:rPr/>
            </w:r>
            <w:r>
              <w:rPr>
                <w:b w:val="0"/>
              </w:rPr>
              <w:t>Judul</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2</w:t>
            </w:r>
          </w:p>
        </w:tc>
        <w:tc>
          <w:tcPr>
            <w:tcW w:type="dxa" w:w="1234"/>
          </w:tcPr>
          <w:p>
            <w:pPr/>
            <w:r/>
            <w:r>
              <w:rPr/>
            </w:r>
            <w:r>
              <w:rPr>
                <w:b w:val="0"/>
              </w:rPr>
              <w:t>Pelaporan proporsi tingkat penelitian (internasional/nasional/lokal)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Jumlah kegiatan pengembangan kompetensi peneliti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4</w:t>
            </w:r>
          </w:p>
        </w:tc>
        <w:tc>
          <w:tcPr>
            <w:tcW w:type="dxa" w:w="1234"/>
          </w:tcPr>
          <w:p>
            <w:pPr/>
            <w:r/>
            <w:r>
              <w:rPr/>
            </w:r>
            <w:r>
              <w:rPr>
                <w:b w:val="0"/>
              </w:rPr>
              <w:t>Persentase dosen mengikuti minimal 1 kegiatan pengembangan kompetensi peneliti [IKU]</w:t>
            </w:r>
          </w:p>
        </w:tc>
        <w:tc>
          <w:tcPr>
            <w:tcW w:type="dxa" w:w="1234"/>
          </w:tcPr>
          <w:p>
            <w:pPr/>
            <w:r/>
            <w:r>
              <w:rPr/>
            </w:r>
            <w:r>
              <w:rPr>
                <w:b w:val="0"/>
              </w:rPr>
              <w:t>%</w:t>
            </w:r>
          </w:p>
        </w:tc>
        <w:tc>
          <w:tcPr>
            <w:tcW w:type="dxa" w:w="1234"/>
          </w:tcPr>
          <w:p>
            <w:pPr/>
            <w:r/>
            <w:r>
              <w:rPr/>
            </w:r>
            <w:r>
              <w:rPr>
                <w:b w:val="0"/>
              </w:rPr>
              <w:t>≥95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Jumlah penghargaan penelitian 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Jumlah penghargaan penelitian internasional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7</w:t>
            </w:r>
          </w:p>
        </w:tc>
        <w:tc>
          <w:tcPr>
            <w:tcW w:type="dxa" w:w="1234"/>
          </w:tcPr>
          <w:p>
            <w:pPr/>
            <w:r/>
            <w:r>
              <w:rPr/>
            </w:r>
            <w:r>
              <w:rPr>
                <w:b w:val="0"/>
              </w:rPr>
              <w:t>Persentase dosen mengikuti sabbatical/post-doc/kerja sama penelitian luar negeri [IKT]</w:t>
            </w:r>
          </w:p>
        </w:tc>
        <w:tc>
          <w:tcPr>
            <w:tcW w:type="dxa" w:w="1234"/>
          </w:tcPr>
          <w:p>
            <w:pPr/>
            <w:r/>
            <w:r>
              <w:rPr/>
            </w:r>
            <w:r>
              <w:rPr>
                <w:b w:val="0"/>
              </w:rPr>
              <w:t>%</w:t>
            </w:r>
          </w:p>
        </w:tc>
        <w:tc>
          <w:tcPr>
            <w:tcW w:type="dxa" w:w="1234"/>
          </w:tcPr>
          <w:p>
            <w:pPr/>
            <w:r/>
            <w:r>
              <w:rPr/>
            </w:r>
            <w:r>
              <w:rPr>
                <w:b w:val="0"/>
              </w:rPr>
              <w:t>&gt;1 (praktik baik referensi)</w:t>
            </w:r>
          </w:p>
        </w:tc>
        <w:tc>
          <w:tcPr>
            <w:tcW w:type="dxa" w:w="1234"/>
          </w:tcPr>
          <w:p>
            <w:pPr/>
            <w:r/>
            <w:r>
              <w:rPr/>
            </w:r>
            <w:r>
              <w:rPr>
                <w:b w:val="0"/>
              </w:rPr>
              <w:t>1</w:t>
            </w:r>
          </w:p>
        </w:tc>
        <w:tc>
          <w:tcPr>
            <w:tcW w:type="dxa" w:w="1234"/>
          </w:tcPr>
          <w:p>
            <w:pPr/>
            <w:r/>
            <w:r>
              <w:rPr/>
            </w:r>
            <w:r>
              <w:rPr>
                <w:b w:val="0"/>
              </w:rPr>
              <w:t>1.5</w:t>
            </w:r>
          </w:p>
        </w:tc>
        <w:tc>
          <w:tcPr>
            <w:tcW w:type="dxa" w:w="1234"/>
          </w:tcPr>
          <w:p>
            <w:pPr/>
            <w:r/>
            <w:r>
              <w:rPr/>
            </w:r>
            <w:r>
              <w:rPr>
                <w:b w:val="0"/>
              </w:rPr>
              <w:t>2</w:t>
            </w:r>
          </w:p>
        </w:tc>
      </w:tr>
      <w:tr>
        <w:tc>
          <w:tcPr>
            <w:tcW w:type="dxa" w:w="1234"/>
          </w:tcPr>
          <w:p>
            <w:pPr/>
            <w:r/>
            <w:r>
              <w:rPr/>
            </w:r>
            <w:r>
              <w:rPr>
                <w:b w:val="0"/>
              </w:rPr>
              <w:t>8</w:t>
            </w:r>
          </w:p>
        </w:tc>
        <w:tc>
          <w:tcPr>
            <w:tcW w:type="dxa" w:w="1234"/>
          </w:tcPr>
          <w:p>
            <w:pPr/>
            <w:r/>
            <w:r>
              <w:rPr/>
            </w:r>
            <w:r>
              <w:rPr>
                <w:b w:val="0"/>
              </w:rPr>
              <w:t>Ketersediaan tenaga kependidikan dan laboran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*9</w:t>
            </w:r>
          </w:p>
        </w:tc>
        <w:tc>
          <w:tcPr>
            <w:tcW w:type="dxa" w:w="1234"/>
          </w:tcPr>
          <w:p>
            <w:pPr/>
            <w:r/>
            <w:r>
              <w:rPr/>
            </w:r>
            <w:r>
              <w:rPr/>
              <w:t>Kesesuaian kualifikasi ketua/anggota/tenaga bantu penelitian dengan skema [IKU]</w:t>
            </w:r>
          </w:p>
        </w:tc>
        <w:tc>
          <w:tcPr>
            <w:tcW w:type="dxa" w:w="1234"/>
          </w:tcPr>
          <w:p>
            <w:pPr/>
            <w:r/>
            <w:r>
              <w:rPr/>
            </w:r>
            <w:r>
              <w:rPr/>
              <w:t>Status</w:t>
            </w:r>
          </w:p>
        </w:tc>
        <w:tc>
          <w:tcPr>
            <w:tcW w:type="dxa" w:w="1234"/>
          </w:tcPr>
          <w:p>
            <w:pPr/>
            <w:r/>
            <w:r>
              <w:rPr/>
            </w:r>
            <w:r>
              <w:rPr/>
              <w:t>- (praktik baik referensi)</w:t>
            </w:r>
          </w:p>
        </w:tc>
        <w:tc>
          <w:tcPr>
            <w:tcW w:type="dxa" w:w="1234"/>
          </w:tcPr>
          <w:p>
            <w:pPr/>
            <w:r/>
            <w:r>
              <w:rPr/>
            </w:r>
            <w:r>
              <w:rPr/>
              <w:t>Sesuai</w:t>
            </w:r>
          </w:p>
        </w:tc>
        <w:tc>
          <w:tcPr>
            <w:tcW w:type="dxa" w:w="1234"/>
          </w:tcPr>
          <w:p>
            <w:pPr/>
            <w:r/>
            <w:r>
              <w:rPr/>
            </w:r>
            <w:r>
              <w:rPr/>
              <w:t>Sesuai</w:t>
            </w:r>
          </w:p>
        </w:tc>
        <w:tc>
          <w:tcPr>
            <w:tcW w:type="dxa" w:w="1234"/>
          </w:tcPr>
          <w:p>
            <w:pPr/>
            <w:r/>
            <w:r>
              <w:rPr/>
            </w:r>
            <w:r>
              <w:rPr/>
              <w:t>Sesuai</w:t>
            </w:r>
          </w:p>
        </w:tc>
      </w:tr>
    </w:tbl>
    <w:p>
      <w:pPr/>
    </w:p>
    <w:p>
      <w:pPr>
        <w:spacing w:before="280" w:after="120"/>
      </w:pPr>
      <w:r>
        <w:rPr>
          <w:b/>
          <w:sz w:val="28"/>
        </w:rPr>
        <w:t>STANDAR SARANA DAN PRASARANA PENELITIAN</w:t>
      </w:r>
    </w:p>
    <w:p>
      <w:pPr>
        <w:spacing w:before="200" w:after="80"/>
      </w:pPr>
      <w:r>
        <w:rPr>
          <w:b/>
          <w:sz w:val="23"/>
        </w:rPr>
        <w:t>1. Daftar Istilah</w:t>
      </w:r>
    </w:p>
    <w:p>
      <w:pPr>
        <w:spacing w:after="120"/>
      </w:pPr>
      <w:r>
        <w:rPr>
          <w:b w:val="0"/>
          <w:i w:val="0"/>
        </w:rPr>
        <w:t>Lembaga Penelitian dan Pengabdian kepada Masyarakat (LPPM)/Direktorat Penelitian, Pengabdian kepada Masyarakat dan Publikasi (DPPMP) adalah unit pengelola penelitian tingkat universitas/fakultas yang mengoordinasikan perencanaan, pelaksanaan, dan pelaporan penelitian.</w:t>
      </w:r>
    </w:p>
    <w:p>
      <w:pPr>
        <w:spacing w:after="120"/>
      </w:pPr>
      <w:r>
        <w:rPr>
          <w:b w:val="0"/>
          <w:i w:val="0"/>
        </w:rPr>
        <w:t>Sarana Penelitian mencakup peralatan, instrumen, dan perangkat pendukung pelaksanaan penelitian sesuai bidang keilmuan program studi.</w:t>
      </w:r>
    </w:p>
    <w:p>
      <w:pPr>
        <w:spacing w:after="120"/>
      </w:pPr>
      <w:r>
        <w:rPr>
          <w:b w:val="0"/>
          <w:i w:val="0"/>
        </w:rPr>
        <w:t>Prasarana Penelitian mencakup ruang unit pengelola penelitian, laboratorium riset, dan fasilitas pendukung lain yang diperlukan pelaksanaan penelitian.</w:t>
      </w:r>
    </w:p>
    <w:p>
      <w:pPr>
        <w:spacing w:after="120"/>
      </w:pPr>
      <w:r>
        <w:rPr>
          <w:b w:val="0"/>
          <w:i w:val="0"/>
        </w:rPr>
        <w:t>Keselamatan, Kesehatan, Kenyamanan, dan Keamanan (K3) Laboratorium Riset adalah sistem yang menjamin keselamatan dan kesehatan pengguna laboratorium riset, mencakup SOP penggunaan, pemeliharaan, evaluasi kelayakan berkala, dan sosialisasi.</w:t>
      </w:r>
    </w:p>
    <w:p>
      <w:pPr>
        <w:spacing w:after="120"/>
      </w:pPr>
      <w:r>
        <w:rPr>
          <w:b w:val="0"/>
          <w:i w:val="0"/>
        </w:rPr>
        <w:t>Sistem Informasi Penelitian (SIRISBANK) adalah sistem informasi terintegrasi yang mendukung perencanaan, pengusulan, pelaksanaan, dan pelaporan penelitian di lingkungan Universitas Stikubank.</w:t>
      </w:r>
    </w:p>
    <w:p>
      <w:pPr>
        <w:spacing w:after="120"/>
      </w:pPr>
      <w:r>
        <w:rPr>
          <w:b w:val="0"/>
          <w:i w:val="0"/>
        </w:rPr>
        <w:t>Aksesibilitas adalah kemudahan yang disediakan bagi pengguna sarana-prasarana penelitian berkebutuhan khusus untuk mewujudkan kesamaan kesempatan.</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investasi sarana-prasarana penelitian.</w:t>
      </w:r>
    </w:p>
    <w:p>
      <w:pPr>
        <w:pStyle w:val="ListBullet"/>
        <w:spacing w:after="80"/>
      </w:pPr>
      <w:r>
        <w:rPr/>
        <w:t>Divisi Pengelolaan Prasarana dan Aset (DPPA), dalam pengadaan, pemeliharaan, dan evaluasi kelayakan sarana-prasarana penelitian.</w:t>
      </w:r>
    </w:p>
    <w:p>
      <w:pPr>
        <w:pStyle w:val="ListBullet"/>
        <w:spacing w:after="80"/>
      </w:pPr>
      <w:r>
        <w:rPr/>
        <w:t>Divisi Teknologi Sistem Informasi (DTSI), dalam pengelolaan jaringan internet dan Sistem Informasi Penelitian (SIRISBANK).</w:t>
      </w:r>
    </w:p>
    <w:p>
      <w:pPr>
        <w:pStyle w:val="ListBullet"/>
        <w:spacing w:after="80"/>
      </w:pPr>
      <w:r>
        <w:rPr/>
        <w:t>Dekan FTII dan Ketua Program Studi, dalam verifikasi kecukupan sarana-prasarana penelitian di tingkat program studi.</w:t>
      </w:r>
    </w:p>
    <w:p>
      <w:pPr>
        <w:spacing w:before="200" w:after="80"/>
      </w:pPr>
      <w:r>
        <w:rPr>
          <w:b/>
          <w:sz w:val="23"/>
        </w:rPr>
        <w:t>3. Pernyataan Isi Standar Sarana dan Prasarana Penelitian</w:t>
      </w:r>
    </w:p>
    <w:p>
      <w:pPr>
        <w:pStyle w:val="ListNumber"/>
        <w:spacing w:after="120"/>
      </w:pPr>
      <w:r>
        <w:rPr/>
        <w:t>Program Studi Teknik Informatika wajib menjamin ketersediaan sarana dan prasarana penelitian yang mencakup sekurang-kurangnya: ruang unit pengelola penelitian (LPPM/DPPMP tingkat program studi), daftar sarana pendukung penelitian sesuai bidang keilmuan, daftar prasarana pendukung penelitian, dan pemenuhan 4 (empat) aspek keselamatan, kesehatan, kenyamanan, dan keamanan (K3) laboratorium riset.</w:t>
      </w:r>
    </w:p>
    <w:p>
      <w:pPr>
        <w:pStyle w:val="ListNumber"/>
        <w:spacing w:after="120"/>
      </w:pPr>
      <w:r>
        <w:rPr/>
        <w:t>Program Studi Teknik Informatika wajib menjamin tingkat pemanfaatan dan kemutakhiran sarana-prasarana penelitian serta aksesibilitas bagi pengguna berkebutuhan khusus paling sedikit 85%, meningkat menuju 100%.</w:t>
      </w:r>
    </w:p>
    <w:p>
      <w:pPr>
        <w:pStyle w:val="ListNumber"/>
        <w:spacing w:after="120"/>
      </w:pPr>
      <w:r>
        <w:rPr/>
        <w:t>Program Studi Teknik Informatika wajib menjamin ketersediaan jaringan internet yang andal dengan bandwidth memadai untuk mendukung pelaksanaan penelitian secara efektif dan berkelanjutan.</w:t>
      </w:r>
    </w:p>
    <w:p>
      <w:pPr>
        <w:pStyle w:val="ListNumber"/>
        <w:spacing w:after="120"/>
      </w:pPr>
      <w:r>
        <w:rPr/>
        <w:t>Program Studi Teknik Informatika wajib menyediakan Sistem Informasi Penelitian (SIRISBANK) terintegrasi, dengan target cakupan program studi/unit yang aktif menggunakan sistem tersebut paling sedikit 85% pada 2024/25, meningkat menuju 100% pada 2026/27.</w:t>
      </w:r>
    </w:p>
    <w:p>
      <w:pPr>
        <w:spacing w:before="200" w:after="80"/>
      </w:pPr>
      <w:r>
        <w:rPr>
          <w:b/>
          <w:sz w:val="23"/>
        </w:rPr>
        <w:t>4. Strategi Pencapaian Standar</w:t>
      </w:r>
    </w:p>
    <w:p>
      <w:pPr>
        <w:pStyle w:val="ListNumber"/>
        <w:spacing w:after="120"/>
      </w:pPr>
      <w:r>
        <w:rPr/>
        <w:t>Rektor menetapkan kebijakan Standar Sarana dan Prasarana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DPPA melengkapi checklist sarana-prasarana penelitian (ruang LPPM, sarana, prasarana, 4 aspek K3) dan meningkatkan pemanfaatan/kemutakhiran serta aksesibilitas menuju 100%.</w:t>
      </w:r>
    </w:p>
    <w:p>
      <w:pPr>
        <w:pStyle w:val="ListNumber"/>
        <w:spacing w:after="120"/>
      </w:pPr>
      <w:r>
        <w:rPr/>
        <w:t>DTSI menjamin ketersediaan jaringan internet andal dan mengembangkan Sistem Informasi Penelitian (SIRISBANK) hingga tercapai cakupan penggunaan aktif 100% pada seluruh program studi/unit.</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Pemenuhan checklist sarana-prasarana penelitian (ruang LPPM, sarana,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2</w:t>
            </w:r>
          </w:p>
        </w:tc>
        <w:tc>
          <w:tcPr>
            <w:tcW w:type="dxa" w:w="1234"/>
          </w:tcPr>
          <w:p>
            <w:pPr/>
            <w:r/>
            <w:r>
              <w:rPr/>
            </w:r>
            <w:r>
              <w:rPr>
                <w:b w:val="0"/>
              </w:rPr>
              <w:t>Persentase pemanfaatan/kemutakhiran dan aksesibilitas sarana-prasarana penelitian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jaringan internet penelitian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4</w:t>
            </w:r>
          </w:p>
        </w:tc>
        <w:tc>
          <w:tcPr>
            <w:tcW w:type="dxa" w:w="1234"/>
          </w:tcPr>
          <w:p>
            <w:pPr/>
            <w:r/>
            <w:r>
              <w:rPr/>
            </w:r>
            <w:r>
              <w:rPr>
                <w:b w:val="0"/>
              </w:rPr>
              <w:t>Persentase cakupan unit/prodi aktif menggunakan Sistem Informasi Penelitian (SIRISBANK)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8"/>
        </w:rPr>
        <w:t>STANDAR PENDANAAN DAN PEMBIAYAAN PENELITIAN</w:t>
      </w:r>
    </w:p>
    <w:p>
      <w:pPr>
        <w:spacing w:before="200" w:after="80"/>
      </w:pPr>
      <w:r>
        <w:rPr>
          <w:b/>
          <w:sz w:val="23"/>
        </w:rPr>
        <w:t>1. Daftar Istilah</w:t>
      </w:r>
    </w:p>
    <w:p>
      <w:pPr>
        <w:spacing w:after="120"/>
      </w:pPr>
      <w:r>
        <w:rPr>
          <w:b w:val="0"/>
          <w:i w:val="0"/>
        </w:rPr>
        <w:t>Dana Penelitian adalah seluruh sumber daya keuangan yang dialokasikan untuk perencanaan, pelaksanaan, dan pelaporan kegiatan penelitian dosen dan mahasiswa.</w:t>
      </w:r>
    </w:p>
    <w:p>
      <w:pPr>
        <w:spacing w:after="120"/>
      </w:pPr>
      <w:r>
        <w:rPr>
          <w:b w:val="0"/>
          <w:i w:val="0"/>
        </w:rPr>
        <w:t>Diversifikasi Sumber Pendanaan adalah upaya memperluas sumber pembiayaan penelitian di luar dana internal perguruan tinggi, mencakup pendanaan luar negeri, dalam negeri, dan kerja sama DUDIKA/pemerintah.</w:t>
      </w:r>
    </w:p>
    <w:p>
      <w:pPr>
        <w:spacing w:after="120"/>
      </w:pPr>
      <w:r>
        <w:rPr>
          <w:b w:val="0"/>
          <w:i w:val="0"/>
        </w:rPr>
        <w:t>Hibah Penelitian Internal adalah dana penelitian yang bersumber dari anggaran Universitas/Fakultas, disalurkan melalui skema kompetitif kepada dosen.</w:t>
      </w:r>
    </w:p>
    <w:p>
      <w:pPr>
        <w:spacing w:after="120"/>
      </w:pPr>
      <w:r>
        <w:rPr>
          <w:b w:val="0"/>
          <w:i w:val="0"/>
        </w:rPr>
        <w:t>Hibah Penelitian Eksternal adalah dana penelitian yang bersumber dari lembaga di luar Universitas (pemerintah, swasta, mitra luar negeri) yang diperoleh dosen melalui skema kompetitif.</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alokasi dana penelitian.</w:t>
      </w:r>
    </w:p>
    <w:p>
      <w:pPr>
        <w:pStyle w:val="ListBullet"/>
        <w:spacing w:after="80"/>
      </w:pPr>
      <w:r>
        <w:rPr/>
        <w:t>Direktorat Keuangan (DKEU), dalam pencatatan, pelaporan, dan pertanggungjawaban dana penelitian.</w:t>
      </w:r>
    </w:p>
    <w:p>
      <w:pPr>
        <w:pStyle w:val="ListBullet"/>
        <w:spacing w:after="80"/>
      </w:pPr>
      <w:r>
        <w:rPr/>
        <w:t>Direktorat Penelitian, Pengabdian kepada Masyarakat dan Publikasi (DPPMP), dalam pengelolaan skema hibah penelitian internal dan pendampingan hibah eksternal.</w:t>
      </w:r>
    </w:p>
    <w:p>
      <w:pPr>
        <w:pStyle w:val="ListBullet"/>
        <w:spacing w:after="80"/>
      </w:pPr>
      <w:r>
        <w:rPr/>
        <w:t>Dekan FTII dan Ketua Program Studi, dalam pengusulan kebutuhan pendanaan penelitian program studi.</w:t>
      </w:r>
    </w:p>
    <w:p>
      <w:pPr>
        <w:spacing w:before="200" w:after="80"/>
      </w:pPr>
      <w:r>
        <w:rPr>
          <w:b/>
          <w:sz w:val="23"/>
        </w:rPr>
        <w:t>3. Pernyataan Isi Standar Pendanaan dan Pembiayaan Penelitian</w:t>
      </w:r>
    </w:p>
    <w:p>
      <w:pPr>
        <w:pStyle w:val="ListNumber"/>
        <w:spacing w:after="120"/>
      </w:pPr>
      <w:r>
        <w:rPr/>
        <w:t>Program Studi Teknik Informatika wajib menjamin dana penelitian per dosen per tahun paling sedikit Rp20.000.000, meningkat secara bertahap menuju Rp25.000.000, tetap melampaui ambang skor sempurna LAM Teknik (≥Rp10.000.000).</w:t>
      </w:r>
    </w:p>
    <w:p>
      <w:pPr>
        <w:pStyle w:val="ListNumber"/>
        <w:spacing w:after="120"/>
      </w:pPr>
      <w:r>
        <w:rPr/>
        <w:t>Program Studi Teknik Informatika wajib menjamin persentase dana penelitian terhadap total dana perguruan tinggi paling sedikit 5%, meningkat secara bertahap.</w:t>
      </w:r>
    </w:p>
    <w:p>
      <w:pPr>
        <w:pStyle w:val="ListNumber"/>
        <w:spacing w:after="120"/>
      </w:pPr>
      <w:r>
        <w:rPr/>
        <w:t>Program Studi Teknik Informatika wajib memiliki mekanisme pengelolaan, penggunaan, dan pertanggungjawaban dana penelitian yang transparan, akuntabel, efektif, dan efisien.</w:t>
      </w:r>
    </w:p>
    <w:p>
      <w:pPr>
        <w:pStyle w:val="ListNumber"/>
        <w:spacing w:after="120"/>
      </w:pPr>
      <w:r>
        <w:rPr/>
        <w:t>Program Studi Teknik Informatika wajib mengembangkan diversifikasi sumber pendanaan penelitian eksternal (luar negeri, dalam negeri, kerja sama DUDIKA/pemerintah) dengan proporsi per dosen per tahun yang dilaporkan secara terukur, guna mendukung penilaian akreditasi berbasis rasio sumber pembiayaan.</w:t>
      </w:r>
    </w:p>
    <w:p>
      <w:pPr>
        <w:spacing w:before="200" w:after="80"/>
      </w:pPr>
      <w:r>
        <w:rPr>
          <w:b/>
          <w:sz w:val="23"/>
        </w:rPr>
        <w:t>4. Strategi Pencapaian Standar</w:t>
      </w:r>
    </w:p>
    <w:p>
      <w:pPr>
        <w:pStyle w:val="ListNumber"/>
        <w:spacing w:after="120"/>
      </w:pPr>
      <w:r>
        <w:rPr/>
        <w:t>Rektor menetapkan kebijakan Standar Pendanaan dan Pembiayaan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Direktorat Keuangan menjamin dana penelitian per dosen meningkat dari Rp20 juta menuju Rp25 juta per tahun, tetap melampaui ambang LAM Teknik.</w:t>
      </w:r>
    </w:p>
    <w:p>
      <w:pPr>
        <w:pStyle w:val="ListNumber"/>
        <w:spacing w:after="120"/>
      </w:pPr>
      <w:r>
        <w:rPr/>
        <w:t>Direktorat Keuangan bersama DPPMP menyusun mekanisme pelaporan persentase dana penelitian terhadap total dana perguruan tinggi, ditargetkan meningkat dari 5% menuju 7%.</w:t>
      </w:r>
    </w:p>
    <w:p>
      <w:pPr>
        <w:pStyle w:val="ListNumber"/>
        <w:spacing w:after="120"/>
      </w:pPr>
      <w:r>
        <w:rPr/>
        <w:t>DPPMP meningkatkan diversifikasi sumber pendanaan penelitian eksternal (luar negeri, dalam negeri, kerja sama DUDIKA/pemerintah) dengan pelaporan proporsi per dosen per tahun.</w:t>
      </w:r>
    </w:p>
    <w:p>
      <w:pPr>
        <w:pStyle w:val="ListNumber"/>
        <w:spacing w:after="120"/>
      </w:pPr>
      <w:r>
        <w:rPr/>
        <w:t>*Direktorat Keuangan (DKEU) menerapkan pengelolaan dana penelitian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Dana penelitian per dosen per tahun [IKU]</w:t>
            </w:r>
          </w:p>
        </w:tc>
        <w:tc>
          <w:tcPr>
            <w:tcW w:type="dxa" w:w="1234"/>
          </w:tcPr>
          <w:p>
            <w:pPr/>
            <w:r/>
            <w:r>
              <w:rPr/>
            </w:r>
            <w:r>
              <w:rPr>
                <w:b w:val="0"/>
              </w:rPr>
              <w:t>Rp juta</w:t>
            </w:r>
          </w:p>
        </w:tc>
        <w:tc>
          <w:tcPr>
            <w:tcW w:type="dxa" w:w="1234"/>
          </w:tcPr>
          <w:p>
            <w:pPr/>
            <w:r/>
            <w:r>
              <w:rPr/>
            </w:r>
            <w:r>
              <w:rPr>
                <w:b w:val="0"/>
              </w:rPr>
              <w:t>≥10 (LAM Teknik)</w:t>
            </w:r>
          </w:p>
        </w:tc>
        <w:tc>
          <w:tcPr>
            <w:tcW w:type="dxa" w:w="1234"/>
          </w:tcPr>
          <w:p>
            <w:pPr/>
            <w:r/>
            <w:r>
              <w:rPr/>
            </w:r>
            <w:r>
              <w:rPr>
                <w:b w:val="0"/>
              </w:rPr>
              <w:t>20</w:t>
            </w:r>
          </w:p>
        </w:tc>
        <w:tc>
          <w:tcPr>
            <w:tcW w:type="dxa" w:w="1234"/>
          </w:tcPr>
          <w:p>
            <w:pPr/>
            <w:r/>
            <w:r>
              <w:rPr/>
            </w:r>
            <w:r>
              <w:rPr>
                <w:b w:val="0"/>
              </w:rPr>
              <w:t>22</w:t>
            </w:r>
          </w:p>
        </w:tc>
        <w:tc>
          <w:tcPr>
            <w:tcW w:type="dxa" w:w="1234"/>
          </w:tcPr>
          <w:p>
            <w:pPr/>
            <w:r/>
            <w:r>
              <w:rPr/>
            </w:r>
            <w:r>
              <w:rPr>
                <w:b w:val="0"/>
              </w:rPr>
              <w:t>25</w:t>
            </w:r>
          </w:p>
        </w:tc>
      </w:tr>
      <w:tr>
        <w:tc>
          <w:tcPr>
            <w:tcW w:type="dxa" w:w="1234"/>
          </w:tcPr>
          <w:p>
            <w:pPr/>
            <w:r/>
            <w:r>
              <w:rPr/>
            </w:r>
            <w:r>
              <w:rPr>
                <w:b w:val="0"/>
              </w:rPr>
              <w:t>2</w:t>
            </w:r>
          </w:p>
        </w:tc>
        <w:tc>
          <w:tcPr>
            <w:tcW w:type="dxa" w:w="1234"/>
          </w:tcPr>
          <w:p>
            <w:pPr/>
            <w:r/>
            <w:r>
              <w:rPr/>
            </w:r>
            <w:r>
              <w:rPr>
                <w:b w:val="0"/>
              </w:rPr>
              <w:t>Persentase dana penelitian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7</w:t>
            </w:r>
          </w:p>
        </w:tc>
      </w:tr>
      <w:tr>
        <w:tc>
          <w:tcPr>
            <w:tcW w:type="dxa" w:w="1234"/>
          </w:tcPr>
          <w:p>
            <w:pPr/>
            <w:r/>
            <w:r>
              <w:rPr/>
            </w:r>
            <w:r>
              <w:rPr>
                <w:b w:val="0"/>
              </w:rPr>
              <w:t>3</w:t>
            </w:r>
          </w:p>
        </w:tc>
        <w:tc>
          <w:tcPr>
            <w:tcW w:type="dxa" w:w="1234"/>
          </w:tcPr>
          <w:p>
            <w:pPr/>
            <w:r/>
            <w:r>
              <w:rPr/>
            </w:r>
            <w:r>
              <w:rPr>
                <w:b w:val="0"/>
              </w:rPr>
              <w:t>Pelaporan proporsi sumber pendanaan penelitian (luar negeri/dalam negeri/PT-mandiri)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*4</w:t>
            </w:r>
          </w:p>
        </w:tc>
        <w:tc>
          <w:tcPr>
            <w:tcW w:type="dxa" w:w="1234"/>
          </w:tcPr>
          <w:p>
            <w:pPr/>
            <w:r/>
            <w:r>
              <w:rPr/>
            </w:r>
            <w:r>
              <w:rPr/>
              <w:t>Pemenuhan pengelolaan dana penelitian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bl>
    <w:p>
      <w:pPr/>
    </w:p>
    <w:p>
      <w:pPr>
        <w:spacing w:before="280" w:after="120"/>
      </w:pPr>
      <w:r>
        <w:rPr>
          <w:b/>
          <w:sz w:val="28"/>
        </w:rPr>
        <w:t>DOKUMEN TERKAIT PELAKSANAAN STANDAR</w:t>
      </w:r>
    </w:p>
    <w:p>
      <w:pPr>
        <w:pStyle w:val="ListNumber"/>
        <w:spacing w:after="120"/>
      </w:pPr>
      <w:r>
        <w:rPr/>
        <w:t>Dokumen kebijakan dan penetapan Standar Masukan Penelitian Program Studi Teknik Informatika (Surat Keputusan Rektor).</w:t>
      </w:r>
    </w:p>
    <w:p>
      <w:pPr>
        <w:pStyle w:val="ListNumber"/>
        <w:spacing w:after="120"/>
      </w:pPr>
      <w:r>
        <w:rPr/>
        <w:t>Dokumen Renstra Penelitian dan roadmap penelitian program studi yang memuat 5 unsur wajib.</w:t>
      </w:r>
    </w:p>
    <w:p>
      <w:pPr>
        <w:pStyle w:val="ListNumber"/>
        <w:spacing w:after="120"/>
      </w:pPr>
      <w:r>
        <w:rPr/>
        <w:t>Buku Panduan Penelitian FTII/Universitas.</w:t>
      </w:r>
    </w:p>
    <w:p>
      <w:pPr>
        <w:pStyle w:val="ListNumber"/>
        <w:spacing w:after="120"/>
      </w:pPr>
      <w:r>
        <w:rPr/>
        <w:t>Data judul penelitian DTPR yang melibatkan mahasiswa, beserta daftar mahasiswa terlibat per program studi per tahun.</w:t>
      </w:r>
    </w:p>
    <w:p>
      <w:pPr>
        <w:pStyle w:val="ListNumber"/>
        <w:spacing w:after="120"/>
      </w:pPr>
      <w:r>
        <w:rPr/>
        <w:t>Laporan penelitian dosen per tahun beserta pemilahan tingkat penelitian (internasional/nasional/lokal).</w:t>
      </w:r>
    </w:p>
    <w:p>
      <w:pPr>
        <w:pStyle w:val="ListNumber"/>
        <w:spacing w:after="120"/>
      </w:pPr>
      <w:r>
        <w:rPr/>
        <w:t>Dokumentasi kegiatan pengembangan kompetensi peneliti (pelatihan, workshop, seminar, sertifikasi) dan daftar hadir/partisipasi dosen.</w:t>
      </w:r>
    </w:p>
    <w:p>
      <w:pPr>
        <w:pStyle w:val="ListNumber"/>
        <w:spacing w:after="120"/>
      </w:pPr>
      <w:r>
        <w:rPr/>
        <w:t>Dokumentasi penghargaan penelitian nasional/internasional dan bukti mobilitas akademik (sabbatical/post-doc/kerja sama luar negeri).</w:t>
      </w:r>
    </w:p>
    <w:p>
      <w:pPr>
        <w:pStyle w:val="ListNumber"/>
        <w:spacing w:after="120"/>
      </w:pPr>
      <w:r>
        <w:rPr/>
        <w:t>Daftar tenaga kependidikan dan laboran penelitian.</w:t>
      </w:r>
    </w:p>
    <w:p>
      <w:pPr>
        <w:pStyle w:val="ListNumber"/>
        <w:spacing w:after="120"/>
      </w:pPr>
      <w:r>
        <w:rPr/>
        <w:t>Dokumen inventarisasi sarana-prasarana penelitian (ruang LPPM, sarana, prasarana, K3) dan laporan audit fasilitas.</w:t>
      </w:r>
    </w:p>
    <w:p>
      <w:pPr>
        <w:pStyle w:val="ListNumber"/>
        <w:spacing w:after="120"/>
      </w:pPr>
      <w:r>
        <w:rPr/>
        <w:t>Data log aktivitas dan cakupan penggunaan Sistem Informasi Penelitian (SIRISBANK).</w:t>
      </w:r>
    </w:p>
    <w:p>
      <w:pPr>
        <w:pStyle w:val="ListNumber"/>
        <w:spacing w:after="120"/>
      </w:pPr>
      <w:r>
        <w:rPr/>
        <w:t>Laporan realisasi dana penelitian per dosen dan persentase dana penelitian terhadap total dana perguruan tinggi.</w:t>
      </w:r>
    </w:p>
    <w:p>
      <w:pPr>
        <w:pStyle w:val="ListNumber"/>
        <w:spacing w:after="120"/>
      </w:pPr>
      <w:r>
        <w:rPr/>
        <w:t>Dokumen kerja sama pendanaan penelitian eksternal (MoU/MoA/IA) beserta proporsi sumber pendanaan per dosen.</w:t>
      </w:r>
    </w:p>
    <w:p>
      <w:pPr>
        <w:pStyle w:val="ListNumber"/>
        <w:spacing w:after="120"/>
      </w:pPr>
      <w:r>
        <w:rPr/>
        <w:t>Laporan survei kepuasan dosen, mahasiswa, dan mitra penelitian.</w:t>
      </w:r>
    </w:p>
    <w:p>
      <w:pPr>
        <w:pStyle w:val="ListNumber"/>
        <w:spacing w:after="120"/>
      </w:pPr>
      <w:r>
        <w:rPr/>
        <w:t>Dokumen root-cause analysis dan SWOT tahunan atas keempat sub-standar Masukan Penelitian, sesuai template Standar Penjaminan Mutu Internal FTII, beserta berita acara pembahasannya dalam RTM.</w:t>
      </w:r>
    </w:p>
    <w:p>
      <w:pPr>
        <w:pStyle w:val="ListNumber"/>
        <w:spacing w:after="120"/>
      </w:pPr>
      <w:r>
        <w:rPr/>
        <w:t>Laporan Audit Mutu Internal (AMI) dan Berita Acara Rapat Tinjauan Manajemen (RTM) atas Standar Masukan Penelitian.</w:t>
      </w:r>
    </w:p>
    <w:p>
      <w:pPr>
        <w:pStyle w:val="ListNumber"/>
        <w:spacing w:after="120"/>
      </w:pPr>
      <w:r>
        <w:rPr/>
        <w:t>Rencana Tindak Lanjut (RTL) hasil evaluasi dan AMI periode berjalan.</w:t>
      </w:r>
    </w:p>
    <w:p>
      <w:pPr>
        <w:pStyle w:val="ListNumber"/>
        <w:spacing w:after="120"/>
      </w:pPr>
      <w:r>
        <w:rPr/>
        <w:t>Dokumen pemetaan gap Standar Masukan Penelitian terhadap dokumen rujukan (standarmasukanpenelitian.docx).</w:t>
      </w:r>
    </w:p>
    <w:p>
      <w:pPr>
        <w:spacing w:before="28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 November 2025 (Sarjana - Matriks Penilaian.pdf dan S1-LED Instrumen Unggul.pdf).</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Proses Penelitian Program Studi Teknik Informatika versi Unggul (standarprosespenelitianunggul.docx).</w:t>
      </w:r>
    </w:p>
    <w:p>
      <w:pPr>
        <w:pStyle w:val="ListNumber"/>
        <w:spacing w:after="120"/>
      </w:pPr>
      <w:r>
        <w:rPr/>
        <w:t>Dokumen pemetaan gap Standar Masukan Penelitian Program Studi Teknik Informatika (standarmasukanpenelitian.docx).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