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PEMETAAN KEPATUHAN STANDAR SUMBER DAYA MANUSIA FTII</w:t>
      </w:r>
    </w:p>
    <w:p>
      <w:pPr>
        <w:jc w:val="center"/>
      </w:pPr>
      <w:r>
        <w:rPr>
          <w:b/>
          <w:sz w:val="26"/>
        </w:rPr>
        <w:t>terhadap Kriteria C.4 Sumber Daya Manusia</w:t>
      </w:r>
    </w:p>
    <w:p>
      <w:pPr>
        <w:jc w:val="center"/>
      </w:pPr>
      <w:r>
        <w:rPr>
          <w:b w:val="0"/>
          <w:sz w:val="22"/>
        </w:rPr>
        <w:t>Pedoman Penyusunan Laporan Evaluasi Diri Program Studi (LEDPS) — Lampiran 2 Peraturan LAM Teknik Nomor 5 Tahun 2025</w:t>
      </w:r>
    </w:p>
    <w:p/>
    <w:p>
      <w:pPr>
        <w:spacing w:after="120"/>
      </w:pPr>
      <w:r>
        <w:rPr>
          <w:b w:val="0"/>
          <w:i w:val="0"/>
        </w:rPr>
        <w:t>Catatan metodologis (riwayat pencarian dokumen sumber): Pencarian awal terhadap dokumen standar SDM FTII hanya menemukan '5. Buku Standar Dosen dan Tenaga Kependidikan.pdf' di folder referensispmi, yang setelah diverifikasi (cek halaman visi-misi-falsafah) ternyata BUKAN dokumen FTII/UNISBANK, melainkan template Universitas Dian Nuswantoro — dokumen ini TIDAK dipakai dalam pemetaan ini. Sumber yang benar-benar relevan dan digunakan adalah 8 dokumen dari keluarga 'standar[masukan|proses|luaran][pendidikan|penelitian|pkm](unggul).docx' di /home/ubuntu/, yang dibaca lengkap untuk pemetaan ini: standarmasukanpendidikan(unggul).docx [Bagian B. Dosen dan Tenaga Kependidikan], standarluaranpenelitian(unggul).docx, standarluaranpkm(unggul).docx, standarmasukanpenelitianunggul.docx, standarmasukanpkmunggul.docx. Sub-elemen C.4 yang secara eksplisit berlaku khusus untuk Program Profesi Insinyur (PSPPI) — Pengembangan Dosen (3.d) dan Pembimbing Lapangan (3.e), serta sub-butir iii pada Profil Dosen — DIKECUALIKAN karena FTII tidak menyelenggarakan program tersebut. Sub-butir 'Pagelaran/pameran/presentasi ilmiah DTPS' (khusus D1-D3) juga dikecualikan karena tidak relevan untuk jenjang Sarjana FTII.</w:t>
      </w:r>
    </w:p>
    <w:p>
      <w:pPr>
        <w:spacing w:before="280" w:after="120"/>
      </w:pPr>
      <w:r>
        <w:rPr>
          <w:b/>
          <w:sz w:val="26"/>
        </w:rPr>
        <w:t>A. RINGKASAN STATUS KEPATUHAN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Sub-Elemen C.4</w:t>
            </w:r>
          </w:p>
        </w:tc>
        <w:tc>
          <w:tcPr>
            <w:tcW w:type="dxa" w:w="2160"/>
            <w:shd w:val="clear" w:color="auto" w:fill="D9D9D9"/>
          </w:tcPr>
          <w:p>
            <w:r/>
            <w:r>
              <w:rPr>
                <w:b/>
                <w:sz w:val="19"/>
              </w:rPr>
              <w:t>Dokumen Sumber FTII</w:t>
            </w:r>
          </w:p>
        </w:tc>
        <w:tc>
          <w:tcPr>
            <w:tcW w:type="dxa" w:w="2160"/>
            <w:shd w:val="clear" w:color="auto" w:fill="D9D9D9"/>
          </w:tcPr>
          <w:p>
            <w:r/>
            <w:r>
              <w:rPr>
                <w:b/>
                <w:sz w:val="19"/>
              </w:rPr>
              <w:t>Ketentuan yang Ditemukan (ringkas)</w:t>
            </w:r>
          </w:p>
        </w:tc>
        <w:tc>
          <w:tcPr>
            <w:tcW w:type="dxa" w:w="2160"/>
            <w:shd w:val="clear" w:color="auto" w:fill="D9D9D9"/>
          </w:tcPr>
          <w:p>
            <w:r/>
            <w:r>
              <w:rPr>
                <w:b/>
                <w:sz w:val="19"/>
              </w:rPr>
              <w:t>Status</w:t>
            </w:r>
          </w:p>
        </w:tc>
      </w:tr>
      <w:tr>
        <w:tc>
          <w:tcPr>
            <w:tcW w:type="dxa" w:w="2160"/>
          </w:tcPr>
          <w:p>
            <w:r/>
            <w:r>
              <w:rPr>
                <w:b w:val="0"/>
                <w:sz w:val="19"/>
              </w:rPr>
              <w:t>a.i Kecukupan jumlah DTPS</w:t>
            </w:r>
          </w:p>
        </w:tc>
        <w:tc>
          <w:tcPr>
            <w:tcW w:type="dxa" w:w="2160"/>
          </w:tcPr>
          <w:p>
            <w:r/>
            <w:r>
              <w:rPr>
                <w:b w:val="0"/>
                <w:sz w:val="19"/>
              </w:rPr>
              <w:t>Masukan Pendidikan Unggul</w:t>
            </w:r>
          </w:p>
        </w:tc>
        <w:tc>
          <w:tcPr>
            <w:tcW w:type="dxa" w:w="2160"/>
          </w:tcPr>
          <w:p>
            <w:r/>
            <w:r>
              <w:rPr>
                <w:b w:val="0"/>
                <w:sz w:val="19"/>
              </w:rPr>
              <w:t>NDTPS ≥12 orang/prodi; rasio dosen:mahasiswa 1:20→1:23 (2025/26-2027/28)</w:t>
            </w:r>
          </w:p>
        </w:tc>
        <w:tc>
          <w:tcPr>
            <w:tcW w:type="dxa" w:w="2160"/>
            <w:shd w:val="clear" w:color="auto" w:fill="C6E0B4"/>
          </w:tcPr>
          <w:p>
            <w:r/>
            <w:r>
              <w:rPr>
                <w:b w:val="0"/>
                <w:sz w:val="19"/>
              </w:rPr>
              <w:t>TERPENUHI PENUH — dalam rentang ideal LAM Teknik (15-25) &amp; LAM INFOKOM Saintek (1:23-1:25)</w:t>
            </w:r>
          </w:p>
        </w:tc>
      </w:tr>
      <w:tr>
        <w:tc>
          <w:tcPr>
            <w:tcW w:type="dxa" w:w="2160"/>
          </w:tcPr>
          <w:p>
            <w:r/>
            <w:r>
              <w:rPr>
                <w:b w:val="0"/>
                <w:sz w:val="19"/>
              </w:rPr>
              <w:t>a.ii Kualifikasi akademik DTPS (% Doktor)</w:t>
            </w:r>
          </w:p>
        </w:tc>
        <w:tc>
          <w:tcPr>
            <w:tcW w:type="dxa" w:w="2160"/>
          </w:tcPr>
          <w:p>
            <w:r/>
            <w:r>
              <w:rPr>
                <w:b w:val="0"/>
                <w:sz w:val="19"/>
              </w:rPr>
              <w:t>Masukan Pendidikan Unggul</w:t>
            </w:r>
          </w:p>
        </w:tc>
        <w:tc>
          <w:tcPr>
            <w:tcW w:type="dxa" w:w="2160"/>
          </w:tcPr>
          <w:p>
            <w:r/>
            <w:r>
              <w:rPr>
                <w:b w:val="0"/>
                <w:sz w:val="19"/>
              </w:rPr>
              <w:t>40% (2025/26) → 45% → 50% (2027/28)</w:t>
            </w:r>
          </w:p>
        </w:tc>
        <w:tc>
          <w:tcPr>
            <w:tcW w:type="dxa" w:w="2160"/>
            <w:shd w:val="clear" w:color="auto" w:fill="C6E0B4"/>
          </w:tcPr>
          <w:p>
            <w:r/>
            <w:r>
              <w:rPr>
                <w:b w:val="0"/>
                <w:sz w:val="19"/>
              </w:rPr>
              <w:t>TERPENUHI PENUH — capaian akhir setara ambang skor sempurna LAM Teknik (≥50%)</w:t>
            </w:r>
          </w:p>
        </w:tc>
      </w:tr>
      <w:tr>
        <w:tc>
          <w:tcPr>
            <w:tcW w:type="dxa" w:w="2160"/>
          </w:tcPr>
          <w:p>
            <w:r/>
            <w:r>
              <w:rPr>
                <w:b w:val="0"/>
                <w:sz w:val="19"/>
              </w:rPr>
              <w:t>a.iii (khusus PSPPI)</w:t>
            </w:r>
          </w:p>
        </w:tc>
        <w:tc>
          <w:tcPr>
            <w:tcW w:type="dxa" w:w="2160"/>
          </w:tcPr>
          <w:p>
            <w:r/>
            <w:r>
              <w:rPr>
                <w:b w:val="0"/>
                <w:sz w:val="19"/>
              </w:rPr>
              <w:t>-</w:t>
            </w:r>
          </w:p>
        </w:tc>
        <w:tc>
          <w:tcPr>
            <w:tcW w:type="dxa" w:w="2160"/>
          </w:tcPr>
          <w:p>
            <w:r/>
            <w:r>
              <w:rPr>
                <w:b w:val="0"/>
                <w:sz w:val="19"/>
              </w:rPr>
              <w:t>Tidak relevan — FTII tidak menyelenggarakan Program Profesi Insinyur</w:t>
            </w:r>
          </w:p>
        </w:tc>
        <w:tc>
          <w:tcPr>
            <w:tcW w:type="dxa" w:w="2160"/>
            <w:shd w:val="clear" w:color="auto" w:fill="D9D9D9"/>
          </w:tcPr>
          <w:p>
            <w:r/>
            <w:r>
              <w:rPr>
                <w:b w:val="0"/>
                <w:sz w:val="19"/>
              </w:rPr>
              <w:t>TIDAK RELEVAN</w:t>
            </w:r>
          </w:p>
        </w:tc>
      </w:tr>
      <w:tr>
        <w:tc>
          <w:tcPr>
            <w:tcW w:type="dxa" w:w="2160"/>
          </w:tcPr>
          <w:p>
            <w:r/>
            <w:r>
              <w:rPr>
                <w:b w:val="0"/>
                <w:sz w:val="19"/>
              </w:rPr>
              <w:t>a.iv Jabatan akademik DTPS (%GB+LK)</w:t>
            </w:r>
          </w:p>
        </w:tc>
        <w:tc>
          <w:tcPr>
            <w:tcW w:type="dxa" w:w="2160"/>
          </w:tcPr>
          <w:p>
            <w:r/>
            <w:r>
              <w:rPr>
                <w:b w:val="0"/>
                <w:sz w:val="19"/>
              </w:rPr>
              <w:t>Masukan Pendidikan Unggul</w:t>
            </w:r>
          </w:p>
        </w:tc>
        <w:tc>
          <w:tcPr>
            <w:tcW w:type="dxa" w:w="2160"/>
          </w:tcPr>
          <w:p>
            <w:r/>
            <w:r>
              <w:rPr>
                <w:b w:val="0"/>
                <w:sz w:val="19"/>
              </w:rPr>
              <w:t>32% → 36% → 40% (GB+LK saja, tidak termasuk Lektor biasa)</w:t>
            </w:r>
          </w:p>
        </w:tc>
        <w:tc>
          <w:tcPr>
            <w:tcW w:type="dxa" w:w="2160"/>
            <w:shd w:val="clear" w:color="auto" w:fill="FFE699"/>
          </w:tcPr>
          <w:p>
            <w:r/>
            <w:r>
              <w:rPr>
                <w:b w:val="0"/>
                <w:sz w:val="19"/>
              </w:rPr>
              <w:t>TERPENUHI SEBAGIAN — sesuai ambang R5 (&gt;40%) tapi definisi cakupan berbeda dari rubrik LAM Teknik (PGBLKL mencakup GB+LK+Lektor, ambang ≥70%); perlu penyesuaian definisi eksplisit di narasi LED</w:t>
            </w:r>
          </w:p>
        </w:tc>
      </w:tr>
      <w:tr>
        <w:tc>
          <w:tcPr>
            <w:tcW w:type="dxa" w:w="2160"/>
          </w:tcPr>
          <w:p>
            <w:r/>
            <w:r>
              <w:rPr>
                <w:b w:val="0"/>
                <w:sz w:val="19"/>
              </w:rPr>
              <w:t>a.v % DTPS bersertifikat kompetensi/profesi/industri</w:t>
            </w:r>
          </w:p>
        </w:tc>
        <w:tc>
          <w:tcPr>
            <w:tcW w:type="dxa" w:w="2160"/>
          </w:tcPr>
          <w:p>
            <w:r/>
            <w:r>
              <w:rPr>
                <w:b w:val="0"/>
                <w:sz w:val="19"/>
              </w:rPr>
              <w:t>Tidak ditemukan</w:t>
            </w:r>
          </w:p>
        </w:tc>
        <w:tc>
          <w:tcPr>
            <w:tcW w:type="dxa" w:w="2160"/>
          </w:tcPr>
          <w:p>
            <w:r/>
            <w:r>
              <w:rPr>
                <w:b w:val="0"/>
                <w:sz w:val="19"/>
              </w:rPr>
              <w:t>Hanya ditemukan indikator 'sertifikat PENDIDIK' (serdos) 90%→95% — berbeda dari sertifikat kompetensi/profesi/industri yang diminta LED</w:t>
            </w:r>
          </w:p>
        </w:tc>
        <w:tc>
          <w:tcPr>
            <w:tcW w:type="dxa" w:w="2160"/>
            <w:shd w:val="clear" w:color="auto" w:fill="F8CBAD"/>
          </w:tcPr>
          <w:p>
            <w:r/>
            <w:r>
              <w:rPr>
                <w:b w:val="0"/>
                <w:sz w:val="19"/>
              </w:rPr>
              <w:t>BELUM TERPENUHI — indikator yang ada mengukur hal berbeda dari yang diminta</w:t>
            </w:r>
          </w:p>
        </w:tc>
      </w:tr>
      <w:tr>
        <w:tc>
          <w:tcPr>
            <w:tcW w:type="dxa" w:w="2160"/>
          </w:tcPr>
          <w:p>
            <w:r/>
            <w:r>
              <w:rPr>
                <w:b w:val="0"/>
                <w:sz w:val="19"/>
              </w:rPr>
              <w:t>a.vi % MK kompetensi diampu dosen industri/praktisi</w:t>
            </w:r>
          </w:p>
        </w:tc>
        <w:tc>
          <w:tcPr>
            <w:tcW w:type="dxa" w:w="2160"/>
          </w:tcPr>
          <w:p>
            <w:r/>
            <w:r>
              <w:rPr>
                <w:b w:val="0"/>
                <w:sz w:val="19"/>
              </w:rPr>
              <w:t>Tidak ditemukan</w:t>
            </w:r>
          </w:p>
        </w:tc>
        <w:tc>
          <w:tcPr>
            <w:tcW w:type="dxa" w:w="2160"/>
          </w:tcPr>
          <w:p>
            <w:r/>
            <w:r>
              <w:rPr>
                <w:b w:val="0"/>
                <w:sz w:val="19"/>
              </w:rPr>
              <w:t>Tidak ada indikator ini di seluruh 8 dokumen yang diperiksa</w:t>
            </w:r>
          </w:p>
        </w:tc>
        <w:tc>
          <w:tcPr>
            <w:tcW w:type="dxa" w:w="2160"/>
            <w:shd w:val="clear" w:color="auto" w:fill="F8CBAD"/>
          </w:tcPr>
          <w:p>
            <w:r/>
            <w:r>
              <w:rPr>
                <w:b w:val="0"/>
                <w:sz w:val="19"/>
              </w:rPr>
              <w:t>TIDAK DITEMUKAN</w:t>
            </w:r>
          </w:p>
        </w:tc>
      </w:tr>
      <w:tr>
        <w:tc>
          <w:tcPr>
            <w:tcW w:type="dxa" w:w="2160"/>
          </w:tcPr>
          <w:p>
            <w:r/>
            <w:r>
              <w:rPr>
                <w:b w:val="0"/>
                <w:sz w:val="19"/>
              </w:rPr>
              <w:t>a.vii Tenaga Kependidikan (kualifikasi laboran/teknisi/admin)</w:t>
            </w:r>
          </w:p>
        </w:tc>
        <w:tc>
          <w:tcPr>
            <w:tcW w:type="dxa" w:w="2160"/>
          </w:tcPr>
          <w:p>
            <w:r/>
            <w:r>
              <w:rPr>
                <w:b w:val="0"/>
                <w:sz w:val="19"/>
              </w:rPr>
              <w:t>Masukan Pendidikan Unggul</w:t>
            </w:r>
          </w:p>
        </w:tc>
        <w:tc>
          <w:tcPr>
            <w:tcW w:type="dxa" w:w="2160"/>
          </w:tcPr>
          <w:p>
            <w:r/>
            <w:r>
              <w:rPr>
                <w:b w:val="0"/>
                <w:sz w:val="19"/>
              </w:rPr>
              <w:t>Tenaga administrasi min. D3/sederajat (100%); tenaga fungsional min. D3 + sertifikat kompetensi</w:t>
            </w:r>
          </w:p>
        </w:tc>
        <w:tc>
          <w:tcPr>
            <w:tcW w:type="dxa" w:w="2160"/>
            <w:shd w:val="clear" w:color="auto" w:fill="C6E0B4"/>
          </w:tcPr>
          <w:p>
            <w:r/>
            <w:r>
              <w:rPr>
                <w:b w:val="0"/>
                <w:sz w:val="19"/>
              </w:rPr>
              <w:t>TERPENUHI PENUH — lebih ketat dari ambang rujukan (umumnya minimal SMA untuk tenaga administrasi)</w:t>
            </w:r>
          </w:p>
        </w:tc>
      </w:tr>
      <w:tr>
        <w:tc>
          <w:tcPr>
            <w:tcW w:type="dxa" w:w="2160"/>
          </w:tcPr>
          <w:p>
            <w:r/>
            <w:r>
              <w:rPr>
                <w:b w:val="0"/>
                <w:sz w:val="19"/>
              </w:rPr>
              <w:t>b. Beban Kerja DTPS (pendidikan/penelitian/PkM/tugas tambahan)</w:t>
            </w:r>
          </w:p>
        </w:tc>
        <w:tc>
          <w:tcPr>
            <w:tcW w:type="dxa" w:w="2160"/>
          </w:tcPr>
          <w:p>
            <w:r/>
            <w:r>
              <w:rPr>
                <w:b w:val="0"/>
                <w:sz w:val="19"/>
              </w:rPr>
              <w:t>Masukan Pendidikan Unggul (bukti LKD/BKD)</w:t>
            </w:r>
          </w:p>
        </w:tc>
        <w:tc>
          <w:tcPr>
            <w:tcW w:type="dxa" w:w="2160"/>
          </w:tcPr>
          <w:p>
            <w:r/>
            <w:r>
              <w:rPr>
                <w:b w:val="0"/>
                <w:sz w:val="19"/>
              </w:rPr>
              <w:t>LKD &amp; BKD disebut sebagai dokumen bukti wajib, namun tidak ada pernyataan standar/ambang proporsi beban kerja itu sendiri</w:t>
            </w:r>
          </w:p>
        </w:tc>
        <w:tc>
          <w:tcPr>
            <w:tcW w:type="dxa" w:w="2160"/>
            <w:shd w:val="clear" w:color="auto" w:fill="FFE699"/>
          </w:tcPr>
          <w:p>
            <w:r/>
            <w:r>
              <w:rPr>
                <w:b w:val="0"/>
                <w:sz w:val="19"/>
              </w:rPr>
              <w:t>TERPENUHI SEBAGIAN — mekanisme pelaporan ada, ambang substantif beban kerja belum diatur</w:t>
            </w:r>
          </w:p>
        </w:tc>
      </w:tr>
      <w:tr>
        <w:tc>
          <w:tcPr>
            <w:tcW w:type="dxa" w:w="2160"/>
          </w:tcPr>
          <w:p>
            <w:r/>
            <w:r>
              <w:rPr>
                <w:b w:val="0"/>
                <w:sz w:val="19"/>
              </w:rPr>
              <w:t>c.i Kegiatan penelitian DTPS mendukung visi (3 thn)</w:t>
            </w:r>
          </w:p>
        </w:tc>
        <w:tc>
          <w:tcPr>
            <w:tcW w:type="dxa" w:w="2160"/>
          </w:tcPr>
          <w:p>
            <w:r/>
            <w:r>
              <w:rPr>
                <w:b w:val="0"/>
                <w:sz w:val="19"/>
              </w:rPr>
              <w:t>Masukan Penelitian Unggul</w:t>
            </w:r>
          </w:p>
        </w:tc>
        <w:tc>
          <w:tcPr>
            <w:tcW w:type="dxa" w:w="2160"/>
          </w:tcPr>
          <w:p>
            <w:r/>
            <w:r>
              <w:rPr>
                <w:b w:val="0"/>
                <w:sz w:val="19"/>
              </w:rPr>
              <w:t>Peta jalan penelitian wajib selaras VMTS &amp; visi keilmuan prodi</w:t>
            </w:r>
          </w:p>
        </w:tc>
        <w:tc>
          <w:tcPr>
            <w:tcW w:type="dxa" w:w="2160"/>
            <w:shd w:val="clear" w:color="auto" w:fill="C6E0B4"/>
          </w:tcPr>
          <w:p>
            <w:r/>
            <w:r>
              <w:rPr>
                <w:b w:val="0"/>
                <w:sz w:val="19"/>
              </w:rPr>
              <w:t>TERPENUHI</w:t>
            </w:r>
          </w:p>
        </w:tc>
      </w:tr>
      <w:tr>
        <w:tc>
          <w:tcPr>
            <w:tcW w:type="dxa" w:w="2160"/>
          </w:tcPr>
          <w:p>
            <w:r/>
            <w:r>
              <w:rPr>
                <w:b w:val="0"/>
                <w:sz w:val="19"/>
              </w:rPr>
              <w:t>c.ii Kegiatan PkM DTPS mendukung visi (3 thn)</w:t>
            </w:r>
          </w:p>
        </w:tc>
        <w:tc>
          <w:tcPr>
            <w:tcW w:type="dxa" w:w="2160"/>
          </w:tcPr>
          <w:p>
            <w:r/>
            <w:r>
              <w:rPr>
                <w:b w:val="0"/>
                <w:sz w:val="19"/>
              </w:rPr>
              <w:t>Masukan PkM Unggul</w:t>
            </w:r>
          </w:p>
        </w:tc>
        <w:tc>
          <w:tcPr>
            <w:tcW w:type="dxa" w:w="2160"/>
          </w:tcPr>
          <w:p>
            <w:r/>
            <w:r>
              <w:rPr>
                <w:b w:val="0"/>
                <w:sz w:val="19"/>
              </w:rPr>
              <w:t>Peta jalan PkM wajib selaras VMTS &amp; visi keilmuan prodi</w:t>
            </w:r>
          </w:p>
        </w:tc>
        <w:tc>
          <w:tcPr>
            <w:tcW w:type="dxa" w:w="2160"/>
            <w:shd w:val="clear" w:color="auto" w:fill="C6E0B4"/>
          </w:tcPr>
          <w:p>
            <w:r/>
            <w:r>
              <w:rPr>
                <w:b w:val="0"/>
                <w:sz w:val="19"/>
              </w:rPr>
              <w:t>TERPENUHI</w:t>
            </w:r>
          </w:p>
        </w:tc>
      </w:tr>
      <w:tr>
        <w:tc>
          <w:tcPr>
            <w:tcW w:type="dxa" w:w="2160"/>
          </w:tcPr>
          <w:p>
            <w:r/>
            <w:r>
              <w:rPr>
                <w:b w:val="0"/>
                <w:sz w:val="19"/>
              </w:rPr>
              <w:t>c.iii Publikasi ilmiah DTPS tema mendukung visi keilmuan (3 thn)</w:t>
            </w:r>
          </w:p>
        </w:tc>
        <w:tc>
          <w:tcPr>
            <w:tcW w:type="dxa" w:w="2160"/>
          </w:tcPr>
          <w:p>
            <w:r/>
            <w:r>
              <w:rPr>
                <w:b w:val="0"/>
                <w:sz w:val="19"/>
              </w:rPr>
              <w:t>Luaran Penelitian Unggul</w:t>
            </w:r>
          </w:p>
        </w:tc>
        <w:tc>
          <w:tcPr>
            <w:tcW w:type="dxa" w:w="2160"/>
          </w:tcPr>
          <w:p>
            <w:r/>
            <w:r>
              <w:rPr>
                <w:b w:val="0"/>
                <w:sz w:val="19"/>
              </w:rPr>
              <w:t>Internasional seluruh jenis ≥20%, bereputasi ≥10%; nasional terakreditasi ≥30% — dari jumlah penelitian didanai</w:t>
            </w:r>
          </w:p>
        </w:tc>
        <w:tc>
          <w:tcPr>
            <w:tcW w:type="dxa" w:w="2160"/>
            <w:shd w:val="clear" w:color="auto" w:fill="C6E0B4"/>
          </w:tcPr>
          <w:p>
            <w:r/>
            <w:r>
              <w:rPr>
                <w:b w:val="0"/>
                <w:sz w:val="19"/>
              </w:rPr>
              <w:t>TERPENUHI PENUH — kategori dipisah sesuai pola R4</w:t>
            </w:r>
          </w:p>
        </w:tc>
      </w:tr>
      <w:tr>
        <w:tc>
          <w:tcPr>
            <w:tcW w:type="dxa" w:w="2160"/>
          </w:tcPr>
          <w:p>
            <w:r/>
            <w:r>
              <w:rPr>
                <w:b w:val="0"/>
                <w:sz w:val="19"/>
              </w:rPr>
              <w:t>c.iv Pagelaran/pameran/presentasi (khusus D1-D3)</w:t>
            </w:r>
          </w:p>
        </w:tc>
        <w:tc>
          <w:tcPr>
            <w:tcW w:type="dxa" w:w="2160"/>
          </w:tcPr>
          <w:p>
            <w:r/>
            <w:r>
              <w:rPr>
                <w:b w:val="0"/>
                <w:sz w:val="19"/>
              </w:rPr>
              <w:t>-</w:t>
            </w:r>
          </w:p>
        </w:tc>
        <w:tc>
          <w:tcPr>
            <w:tcW w:type="dxa" w:w="2160"/>
          </w:tcPr>
          <w:p>
            <w:r/>
            <w:r>
              <w:rPr>
                <w:b w:val="0"/>
                <w:sz w:val="19"/>
              </w:rPr>
              <w:t>Tidak relevan untuk jenjang Sarjana</w:t>
            </w:r>
          </w:p>
        </w:tc>
        <w:tc>
          <w:tcPr>
            <w:tcW w:type="dxa" w:w="2160"/>
            <w:shd w:val="clear" w:color="auto" w:fill="D9D9D9"/>
          </w:tcPr>
          <w:p>
            <w:r/>
            <w:r>
              <w:rPr>
                <w:b w:val="0"/>
                <w:sz w:val="19"/>
              </w:rPr>
              <w:t>TIDAK RELEVAN</w:t>
            </w:r>
          </w:p>
        </w:tc>
      </w:tr>
      <w:tr>
        <w:tc>
          <w:tcPr>
            <w:tcW w:type="dxa" w:w="2160"/>
          </w:tcPr>
          <w:p>
            <w:r/>
            <w:r>
              <w:rPr>
                <w:b w:val="0"/>
                <w:sz w:val="19"/>
              </w:rPr>
              <w:t>c.v Luaran penelitian/PkM dapat HKI (paten, buku ber-ISBN, dll)</w:t>
            </w:r>
          </w:p>
        </w:tc>
        <w:tc>
          <w:tcPr>
            <w:tcW w:type="dxa" w:w="2160"/>
          </w:tcPr>
          <w:p>
            <w:r/>
            <w:r>
              <w:rPr>
                <w:b w:val="0"/>
                <w:sz w:val="19"/>
              </w:rPr>
              <w:t>Luaran Penelitian &amp; Luaran PkM Unggul</w:t>
            </w:r>
          </w:p>
        </w:tc>
        <w:tc>
          <w:tcPr>
            <w:tcW w:type="dxa" w:w="2160"/>
          </w:tcPr>
          <w:p>
            <w:r/>
            <w:r>
              <w:rPr>
                <w:b w:val="0"/>
                <w:sz w:val="19"/>
              </w:rPr>
              <w:t>HKI Paten ≥3-5/thn &amp; Non-Paten ≥10-18/thn (dipisah kategori); buku ber-ISBN/book chapter ≥20-30%</w:t>
            </w:r>
          </w:p>
        </w:tc>
        <w:tc>
          <w:tcPr>
            <w:tcW w:type="dxa" w:w="2160"/>
            <w:shd w:val="clear" w:color="auto" w:fill="C6E0B4"/>
          </w:tcPr>
          <w:p>
            <w:r/>
            <w:r>
              <w:rPr>
                <w:b w:val="0"/>
                <w:sz w:val="19"/>
              </w:rPr>
              <w:t>TERPENUHI PENUH — versi Unggul menutup gap kekosongan indikator buku ber-ISBN yang ada di versi dasar</w:t>
            </w:r>
          </w:p>
        </w:tc>
      </w:tr>
      <w:tr>
        <w:tc>
          <w:tcPr>
            <w:tcW w:type="dxa" w:w="2160"/>
          </w:tcPr>
          <w:p>
            <w:r/>
            <w:r>
              <w:rPr>
                <w:b w:val="0"/>
                <w:sz w:val="19"/>
              </w:rPr>
              <w:t>c.vi Produk/jasa diadopsi industri/masyarakat</w:t>
            </w:r>
          </w:p>
        </w:tc>
        <w:tc>
          <w:tcPr>
            <w:tcW w:type="dxa" w:w="2160"/>
          </w:tcPr>
          <w:p>
            <w:r/>
            <w:r>
              <w:rPr>
                <w:b w:val="0"/>
                <w:sz w:val="19"/>
              </w:rPr>
              <w:t>Tidak ditemukan</w:t>
            </w:r>
          </w:p>
        </w:tc>
        <w:tc>
          <w:tcPr>
            <w:tcW w:type="dxa" w:w="2160"/>
          </w:tcPr>
          <w:p>
            <w:r/>
            <w:r>
              <w:rPr>
                <w:b w:val="0"/>
                <w:sz w:val="19"/>
              </w:rPr>
              <w:t>Tidak ada indikator 'produk/jasa diadopsi industri' di dokumen manapun yang diperiksa (fokus dokumen hanya publikasi, HKI, buku)</w:t>
            </w:r>
          </w:p>
        </w:tc>
        <w:tc>
          <w:tcPr>
            <w:tcW w:type="dxa" w:w="2160"/>
            <w:shd w:val="clear" w:color="auto" w:fill="F8CBAD"/>
          </w:tcPr>
          <w:p>
            <w:r/>
            <w:r>
              <w:rPr>
                <w:b w:val="0"/>
                <w:sz w:val="19"/>
              </w:rPr>
              <w:t>TIDAK DITEMUKAN</w:t>
            </w:r>
          </w:p>
        </w:tc>
      </w:tr>
      <w:tr>
        <w:tc>
          <w:tcPr>
            <w:tcW w:type="dxa" w:w="2160"/>
          </w:tcPr>
          <w:p>
            <w:r/>
            <w:r>
              <w:rPr>
                <w:b w:val="0"/>
                <w:sz w:val="19"/>
              </w:rPr>
              <w:t>c.vii Keunggulan kompetitif (penulis utama/korespondensi jurnal bereputasi Scopus/IEEE/SPIE atau paten)</w:t>
            </w:r>
          </w:p>
        </w:tc>
        <w:tc>
          <w:tcPr>
            <w:tcW w:type="dxa" w:w="2160"/>
          </w:tcPr>
          <w:p>
            <w:r/>
            <w:r>
              <w:rPr>
                <w:b w:val="0"/>
                <w:sz w:val="19"/>
              </w:rPr>
              <w:t>Luaran Penelitian Unggul (sebagian)</w:t>
            </w:r>
          </w:p>
        </w:tc>
        <w:tc>
          <w:tcPr>
            <w:tcW w:type="dxa" w:w="2160"/>
          </w:tcPr>
          <w:p>
            <w:r/>
            <w:r>
              <w:rPr>
                <w:b w:val="0"/>
                <w:sz w:val="19"/>
              </w:rPr>
              <w:t>Publikasi internasional bereputasi ≥10% dari penelitian didanai; evaluasi memakai basis data Scopus/SINTA</w:t>
            </w:r>
          </w:p>
        </w:tc>
        <w:tc>
          <w:tcPr>
            <w:tcW w:type="dxa" w:w="2160"/>
            <w:shd w:val="clear" w:color="auto" w:fill="FFE699"/>
          </w:tcPr>
          <w:p>
            <w:r/>
            <w:r>
              <w:rPr>
                <w:b w:val="0"/>
                <w:sz w:val="19"/>
              </w:rPr>
              <w:t>TERPENUHI SEBAGIAN — ambang publikasi bereputasi ada, tapi tidak spesifik 'penulis utama/korespondensi' &amp; tidak eksplisit sebut IEEE/SPIE</w:t>
            </w:r>
          </w:p>
        </w:tc>
      </w:tr>
      <w:tr>
        <w:tc>
          <w:tcPr>
            <w:tcW w:type="dxa" w:w="2160"/>
          </w:tcPr>
          <w:p>
            <w:r/>
            <w:r>
              <w:rPr>
                <w:b w:val="0"/>
                <w:sz w:val="19"/>
              </w:rPr>
              <w:t>c.viii Sitasi karya DTPS pada basis data pengindeks internasional</w:t>
            </w:r>
          </w:p>
        </w:tc>
        <w:tc>
          <w:tcPr>
            <w:tcW w:type="dxa" w:w="2160"/>
          </w:tcPr>
          <w:p>
            <w:r/>
            <w:r>
              <w:rPr>
                <w:b w:val="0"/>
                <w:sz w:val="19"/>
              </w:rPr>
              <w:t>Tidak ditemukan</w:t>
            </w:r>
          </w:p>
        </w:tc>
        <w:tc>
          <w:tcPr>
            <w:tcW w:type="dxa" w:w="2160"/>
          </w:tcPr>
          <w:p>
            <w:r/>
            <w:r>
              <w:rPr>
                <w:b w:val="0"/>
                <w:sz w:val="19"/>
              </w:rPr>
              <w:t>Tidak ada indikator sitasi (jumlah/rasio sitasi) di dokumen manapun yang diperiksa</w:t>
            </w:r>
          </w:p>
        </w:tc>
        <w:tc>
          <w:tcPr>
            <w:tcW w:type="dxa" w:w="2160"/>
            <w:shd w:val="clear" w:color="auto" w:fill="F8CBAD"/>
          </w:tcPr>
          <w:p>
            <w:r/>
            <w:r>
              <w:rPr>
                <w:b w:val="0"/>
                <w:sz w:val="19"/>
              </w:rPr>
              <w:t>TIDAK DITEMUKAN</w:t>
            </w:r>
          </w:p>
        </w:tc>
      </w:tr>
      <w:tr>
        <w:tc>
          <w:tcPr>
            <w:tcW w:type="dxa" w:w="2160"/>
          </w:tcPr>
          <w:p>
            <w:r/>
            <w:r>
              <w:rPr>
                <w:b w:val="0"/>
                <w:sz w:val="19"/>
              </w:rPr>
              <w:t>c.ix % DTPS dengan pengakuan/rekognisi</w:t>
            </w:r>
          </w:p>
        </w:tc>
        <w:tc>
          <w:tcPr>
            <w:tcW w:type="dxa" w:w="2160"/>
          </w:tcPr>
          <w:p>
            <w:r/>
            <w:r>
              <w:rPr>
                <w:b w:val="0"/>
                <w:sz w:val="19"/>
              </w:rPr>
              <w:t>Masukan Pendidikan Unggul &amp; Masukan Penelitian Unggul</w:t>
            </w:r>
          </w:p>
        </w:tc>
        <w:tc>
          <w:tcPr>
            <w:tcW w:type="dxa" w:w="2160"/>
          </w:tcPr>
          <w:p>
            <w:r/>
            <w:r>
              <w:rPr>
                <w:b w:val="0"/>
                <w:sz w:val="19"/>
              </w:rPr>
              <w:t>Rekognisi umum 30%→40% dosen (Masukan Pendidikan); penghargaan penelitian ≥1 nasional + ≥1 internasional/prodi/3 tahun (Masukan Penelitian)</w:t>
            </w:r>
          </w:p>
        </w:tc>
        <w:tc>
          <w:tcPr>
            <w:tcW w:type="dxa" w:w="2160"/>
            <w:shd w:val="clear" w:color="auto" w:fill="FFE699"/>
          </w:tcPr>
          <w:p>
            <w:r/>
            <w:r>
              <w:rPr>
                <w:b w:val="0"/>
                <w:sz w:val="19"/>
              </w:rPr>
              <w:t>TERPENUHI SEBAGIAN — ambang kuantitatif ada, namun bentuk rekognisi spesifik (visiting scholar, keynote speaker, editor/mitra bestari, staf ahli) belum dirinci eksplisit</w:t>
            </w:r>
          </w:p>
        </w:tc>
      </w:tr>
      <w:tr>
        <w:tc>
          <w:tcPr>
            <w:tcW w:type="dxa" w:w="2160"/>
          </w:tcPr>
          <w:p>
            <w:r/>
            <w:r>
              <w:rPr>
                <w:b w:val="0"/>
                <w:sz w:val="19"/>
              </w:rPr>
              <w:t>d. Pengembangan Dosen (khusus PSPPI)</w:t>
            </w:r>
          </w:p>
        </w:tc>
        <w:tc>
          <w:tcPr>
            <w:tcW w:type="dxa" w:w="2160"/>
          </w:tcPr>
          <w:p>
            <w:r/>
            <w:r>
              <w:rPr>
                <w:b w:val="0"/>
                <w:sz w:val="19"/>
              </w:rPr>
              <w:t>-</w:t>
            </w:r>
          </w:p>
        </w:tc>
        <w:tc>
          <w:tcPr>
            <w:tcW w:type="dxa" w:w="2160"/>
          </w:tcPr>
          <w:p>
            <w:r/>
            <w:r>
              <w:rPr>
                <w:b w:val="0"/>
                <w:sz w:val="19"/>
              </w:rPr>
              <w:t>Tidak relevan — FTII tidak menyelenggarakan PSPPI</w:t>
            </w:r>
          </w:p>
        </w:tc>
        <w:tc>
          <w:tcPr>
            <w:tcW w:type="dxa" w:w="2160"/>
            <w:shd w:val="clear" w:color="auto" w:fill="D9D9D9"/>
          </w:tcPr>
          <w:p>
            <w:r/>
            <w:r>
              <w:rPr>
                <w:b w:val="0"/>
                <w:sz w:val="19"/>
              </w:rPr>
              <w:t>TIDAK RELEVAN</w:t>
            </w:r>
          </w:p>
        </w:tc>
      </w:tr>
      <w:tr>
        <w:tc>
          <w:tcPr>
            <w:tcW w:type="dxa" w:w="2160"/>
          </w:tcPr>
          <w:p>
            <w:r/>
            <w:r>
              <w:rPr>
                <w:b w:val="0"/>
                <w:sz w:val="19"/>
              </w:rPr>
              <w:t>e. Pembimbing Lapangan (khusus PSPPI)</w:t>
            </w:r>
          </w:p>
        </w:tc>
        <w:tc>
          <w:tcPr>
            <w:tcW w:type="dxa" w:w="2160"/>
          </w:tcPr>
          <w:p>
            <w:r/>
            <w:r>
              <w:rPr>
                <w:b w:val="0"/>
                <w:sz w:val="19"/>
              </w:rPr>
              <w:t>-</w:t>
            </w:r>
          </w:p>
        </w:tc>
        <w:tc>
          <w:tcPr>
            <w:tcW w:type="dxa" w:w="2160"/>
          </w:tcPr>
          <w:p>
            <w:r/>
            <w:r>
              <w:rPr>
                <w:b w:val="0"/>
                <w:sz w:val="19"/>
              </w:rPr>
              <w:t>Tidak relevan — FTII tidak menyelenggarakan PSPPI</w:t>
            </w:r>
          </w:p>
        </w:tc>
        <w:tc>
          <w:tcPr>
            <w:tcW w:type="dxa" w:w="2160"/>
            <w:shd w:val="clear" w:color="auto" w:fill="D9D9D9"/>
          </w:tcPr>
          <w:p>
            <w:r/>
            <w:r>
              <w:rPr>
                <w:b w:val="0"/>
                <w:sz w:val="19"/>
              </w:rPr>
              <w:t>TIDAK RELEVAN</w:t>
            </w:r>
          </w:p>
        </w:tc>
      </w:tr>
      <w:tr>
        <w:tc>
          <w:tcPr>
            <w:tcW w:type="dxa" w:w="2160"/>
          </w:tcPr>
          <w:p>
            <w:r/>
            <w:r>
              <w:rPr>
                <w:b w:val="0"/>
                <w:sz w:val="19"/>
              </w:rPr>
              <w:t>4. Analisis Faktor Keberhasilan dan Penghambat</w:t>
            </w:r>
          </w:p>
        </w:tc>
        <w:tc>
          <w:tcPr>
            <w:tcW w:type="dxa" w:w="2160"/>
          </w:tcPr>
          <w:p>
            <w:r/>
            <w:r>
              <w:rPr>
                <w:b w:val="0"/>
                <w:sz w:val="19"/>
              </w:rPr>
              <w:t>Tidak ditemukan (seluruh 8 dokumen)</w:t>
            </w:r>
          </w:p>
        </w:tc>
        <w:tc>
          <w:tcPr>
            <w:tcW w:type="dxa" w:w="2160"/>
          </w:tcPr>
          <w:p>
            <w:r/>
            <w:r>
              <w:rPr>
                <w:b w:val="0"/>
                <w:sz w:val="19"/>
              </w:rPr>
              <w:t>Tidak ada pernyataan standar yang mewajibkan output analisis akar masalah/faktor pendukung sebagai dokumen tahunan tersendiri</w:t>
            </w:r>
          </w:p>
        </w:tc>
        <w:tc>
          <w:tcPr>
            <w:tcW w:type="dxa" w:w="2160"/>
            <w:shd w:val="clear" w:color="auto" w:fill="F8CBAD"/>
          </w:tcPr>
          <w:p>
            <w:r/>
            <w:r>
              <w:rPr>
                <w:b w:val="0"/>
                <w:sz w:val="19"/>
              </w:rPr>
              <w:t>BELUM TERPENUHI — konsisten dengan gap sistemik yang sama pada pemetaan C.1/C.2/C.3</w:t>
            </w:r>
          </w:p>
        </w:tc>
      </w:tr>
      <w:tr>
        <w:tc>
          <w:tcPr>
            <w:tcW w:type="dxa" w:w="2160"/>
          </w:tcPr>
          <w:p>
            <w:r/>
            <w:r>
              <w:rPr>
                <w:b w:val="0"/>
                <w:sz w:val="19"/>
              </w:rPr>
              <w:t>5. Strategi Perbaikan &amp; Pengembangan (SWOT)</w:t>
            </w:r>
          </w:p>
        </w:tc>
        <w:tc>
          <w:tcPr>
            <w:tcW w:type="dxa" w:w="2160"/>
          </w:tcPr>
          <w:p>
            <w:r/>
            <w:r>
              <w:rPr>
                <w:b w:val="0"/>
                <w:sz w:val="19"/>
              </w:rPr>
              <w:t>Tidak ditemukan (seluruh 8 dokumen)</w:t>
            </w:r>
          </w:p>
        </w:tc>
        <w:tc>
          <w:tcPr>
            <w:tcW w:type="dxa" w:w="2160"/>
          </w:tcPr>
          <w:p>
            <w:r/>
            <w:r>
              <w:rPr>
                <w:b w:val="0"/>
                <w:sz w:val="19"/>
              </w:rPr>
              <w:t>Istilah/konsep SWOT tidak muncul pada keluarga dokumen standar SDM/Masukan/Luaran Penelitian-PkM ini</w:t>
            </w:r>
          </w:p>
        </w:tc>
        <w:tc>
          <w:tcPr>
            <w:tcW w:type="dxa" w:w="2160"/>
            <w:shd w:val="clear" w:color="auto" w:fill="F8CBAD"/>
          </w:tcPr>
          <w:p>
            <w:r/>
            <w:r>
              <w:rPr>
                <w:b w:val="0"/>
                <w:sz w:val="19"/>
              </w:rPr>
              <w:t>BELUM TERPENUHI — konsisten dengan gap SWOT yang ditemukan pada pemetaan C.2</w:t>
            </w:r>
          </w:p>
        </w:tc>
      </w:tr>
    </w:tbl>
    <w:p/>
    <w:p>
      <w:pPr>
        <w:spacing w:before="280" w:after="120"/>
      </w:pPr>
      <w:r>
        <w:rPr>
          <w:b/>
          <w:sz w:val="26"/>
        </w:rPr>
        <w:t>B. PEMBAHASAN DETAIL</w:t>
      </w:r>
    </w:p>
    <w:p>
      <w:pPr>
        <w:spacing w:after="120"/>
      </w:pPr>
      <w:r>
        <w:rPr>
          <w:b/>
          <w:i w:val="0"/>
        </w:rPr>
        <w:t>Profil Dosen: Kecukupan, Kualifikasi, Jabatan Akademik, Sertifikasi</w:t>
      </w:r>
    </w:p>
    <w:p>
      <w:pPr>
        <w:spacing w:after="120"/>
      </w:pPr>
      <w:r>
        <w:rPr>
          <w:b w:val="0"/>
          <w:i w:val="0"/>
        </w:rPr>
        <w:t>Kecukupan DTPS (NDTPS ≥12/prodi, rasio dosen:mahasiswa 1:20→1:23) dan kualifikasi Doktor (40%→50%) pada draf Standar Masukan Pendidikan Unggul TERPENUHI PENUH, bahkan eksplisit dikalibrasi untuk setara ambang skor sempurna LAM Teknik. Ini adalah perbaikan signifikan dari versi dasar (standarmasukanpendidikan.docx) yang sebelumnya menargetkan rasio dosen:mahasiswa serendah 1:08 dan hanya 30% dosen bergelar Doktor — keduanya jauh di bawah ambang rujukan, sebagaimana dicatat dalam pemetaan gap dokumen tersebut. Jabatan akademik (GB+LK 32%→40%) dan sertifikasi pendidik (90%→95%) juga terpenuhi, meski untuk jabatan akademik perlu kehati-hatian saat penulisan LED karena definisi cakupan FTII (GB+LK) berbeda dari rubrik LAM Teknik R1/R2 yang menghitung GB+LK+Lektor sebagai satu kesatuan dengan ambang lebih tinggi (≥70%).</w:t>
      </w:r>
    </w:p>
    <w:p>
      <w:pPr>
        <w:spacing w:after="120"/>
      </w:pPr>
      <w:r>
        <w:rPr>
          <w:b w:val="0"/>
          <w:i w:val="0"/>
        </w:rPr>
        <w:t>Dua sub-elemen a.v dan a.vi TIDAK TERPENUHI. LED secara spesifik meminta 'persentase DTPS bersertifikat kompetensi/profesi/industri' — ini BERBEDA dari 'sertifikat pendidik' (serdos) yang sudah dipunyai FTII; sertifikat pendidik adalah syarat mengajar, sedangkan sertifikat kompetensi/profesi/industri (misalnya sertifikasi vendor teknologi, sertifikasi profesi TI) menunjukkan keterkinian keahlian praktis dosen terhadap kebutuhan industri — elemen ini penting khususnya untuk program studi rumpun TI/Informatika yang dinilai LAM INFOKOM. Demikian pula, tidak ditemukan indikator 'persentase mata kuliah kompetensi yang diampu dosen industri/praktisi', padahal ini adalah salah satu penekanan LAM Teknik dan LAM INFOKOM untuk menilai kedekatan program studi dengan DUDIKA.</w:t>
      </w:r>
    </w:p>
    <w:p>
      <w:pPr>
        <w:spacing w:after="120"/>
      </w:pPr>
      <w:r>
        <w:rPr>
          <w:b/>
          <w:i w:val="0"/>
        </w:rPr>
        <w:t>Tenaga Kependidikan dan Beban Kerja DTPS</w:t>
      </w:r>
    </w:p>
    <w:p>
      <w:pPr>
        <w:spacing w:after="120"/>
      </w:pPr>
      <w:r>
        <w:rPr>
          <w:b w:val="0"/>
          <w:i w:val="0"/>
        </w:rPr>
        <w:t>Kualifikasi tenaga kependidikan (D3/sederajat untuk administrasi, D3+sertifikat kompetensi untuk tenaga fungsional) TERPENUHI PENUH dan bahkan lebih ketat dari mayoritas dokumen rujukan yang hanya mensyaratkan SMA/sederajat untuk tenaga administrasi. Untuk Beban Kerja DTPS, dokumen menyebutkan Laporan Kinerja Dosen (LKD) dan Beban Kerja Dosen (BKD) sebagai bukti wajib yang direkap tahunan, namun tidak ada pernyataan standar yang menetapkan ambang/proporsi ideal distribusi beban kerja (pendidikan/penelitian/PkM/tugas tambahan) itu sendiri — sehingga dinilai TERPENUHI SEBAGIAN.</w:t>
      </w:r>
    </w:p>
    <w:p>
      <w:pPr>
        <w:spacing w:after="120"/>
      </w:pPr>
      <w:r>
        <w:rPr>
          <w:b/>
          <w:i w:val="0"/>
        </w:rPr>
        <w:t>Kinerja DTPS: Penelitian, PkM, Publikasi, HKI</w:t>
      </w:r>
    </w:p>
    <w:p>
      <w:pPr>
        <w:spacing w:after="120"/>
      </w:pPr>
      <w:r>
        <w:rPr>
          <w:b w:val="0"/>
          <w:i w:val="0"/>
        </w:rPr>
        <w:t>Kesesuaian penelitian dan PkM DTPS dengan visi UPPS/prodi (c.i, c.ii) terpenuhi melalui ketentuan peta jalan (roadmap) pada Standar Masukan Penelitian dan Masukan PkM Unggul. Publikasi ilmiah (c.iii) dan HKI (c.v) TERPENUHI PENUH melalui Standar Luaran Penelitian dan Luaran PkM Unggul, yang secara eksplisit menutup dua gap signifikan yang teridentifikasi pada versi dasar: (1) ketiadaan indikator buku ber-ISBN/book chapter sama sekali, dan (2) penggabungan HKI Paten dengan Non-Paten tanpa pemisahan kategori (padahal LAM Teknik memberi bobot 3x lebih tinggi untuk paten). Versi Unggul memisahkan keduanya dengan ambang eksplisit.</w:t>
      </w:r>
    </w:p>
    <w:p>
      <w:pPr>
        <w:spacing w:after="120"/>
      </w:pPr>
      <w:r>
        <w:rPr>
          <w:b w:val="0"/>
          <w:i w:val="0"/>
        </w:rPr>
        <w:t>Namun demikian, tiga sub-elemen Kinerja DTPS TIDAK ditemukan padanannya: (c.vi) produk/jasa yang diadopsi industri/masyarakat — dokumen FTII berfokus pada luaran akademik (publikasi, HKI, buku) dan tidak mengukur hilirisasi/adopsi produk oleh pihak eksternal; (c.viii) sitasi karya ilmiah pada basis data pengindeks internasional — tidak ada indikator jumlah atau rasio sitasi, meski basis data Scopus/SINTA sudah disebut sebagai sumber verifikasi publikasi (bisa diperluas untuk mengukur sitasi juga); dan (c.vii) keunggulan kompetitif — ambang publikasi internasional bereputasi (≥10%) sudah ada namun tidak secara spesifik mensyaratkan posisi penulis (utama/korespondensi) sebagaimana diminta LED.</w:t>
      </w:r>
    </w:p>
    <w:p>
      <w:pPr>
        <w:spacing w:after="120"/>
      </w:pPr>
      <w:r>
        <w:rPr>
          <w:b/>
          <w:i w:val="0"/>
        </w:rPr>
        <w:t>Rekognisi Dosen</w:t>
      </w:r>
    </w:p>
    <w:p>
      <w:pPr>
        <w:spacing w:after="120"/>
      </w:pPr>
      <w:r>
        <w:rPr>
          <w:b w:val="0"/>
          <w:i w:val="0"/>
        </w:rPr>
        <w:t>Standar Masukan Pendidikan Unggul memuat ambang umum 'persentase dosen memperoleh rekognisi 30%→40%', dan Standar Masukan Penelitian Unggul menambahkan target lebih spesifik 'minimal 1 penghargaan nasional dan 1 penghargaan internasional per program studi setiap 3 tahun'. Kedua ketentuan ini mendekati cakupan LED namun belum merinci bentuk-bentuk rekognisi yang diakui LED (visiting lecturer/scholar, keynote/invited speaker, editor/mitra bestari jurnal, staf ahli/narasumber) — dinilai TERPENUHI SEBAGIAN.</w:t>
      </w:r>
    </w:p>
    <w:p>
      <w:pPr>
        <w:spacing w:after="120"/>
      </w:pPr>
      <w:r>
        <w:rPr>
          <w:b/>
          <w:i w:val="0"/>
        </w:rPr>
        <w:t>Analisis Faktor Keberhasilan/Penghambat dan Strategi SWOT</w:t>
      </w:r>
    </w:p>
    <w:p>
      <w:pPr>
        <w:spacing w:after="120"/>
      </w:pPr>
      <w:r>
        <w:rPr>
          <w:b w:val="0"/>
          <w:i w:val="0"/>
        </w:rPr>
        <w:t>Konsisten dengan temuan pada pemetaan Kriteria C.1, C.2, dan C.3 sebelumnya, seluruh 8 dokumen standar SDM/Masukan/Luaran Penelitian-PkM yang diperiksa TIDAK memuat pernyataan standar yang mewajibkan output 'Analisis Faktor Keberhasilan dan Penghambat' sebagai dokumen tahunan tersendiri, maupun penggunaan analisis SWOT sebagai siklus evaluasi berkala. Pola ini menegaskan bahwa gap tersebut bersifat SISTEMIK pada level kebijakan PPEPP Universitas/SPMI, bukan kekurangan pada satu standar tertentu — sehingga perbaikannya sebaiknya dilakukan pada level kebijakan SPMI induk, bukan diperbaiki berulang di setiap standar turunan.</w:t>
      </w:r>
    </w:p>
    <w:p>
      <w:pPr>
        <w:spacing w:after="120"/>
      </w:pPr>
      <w:r>
        <w:rPr>
          <w:b/>
          <w:i w:val="0"/>
        </w:rPr>
        <w:t>Temuan Tambahan: Inkonsistensi Angka Antar-Dokumen</w:t>
      </w:r>
    </w:p>
    <w:p>
      <w:pPr>
        <w:spacing w:after="120"/>
      </w:pPr>
      <w:r>
        <w:rPr>
          <w:b w:val="0"/>
          <w:i w:val="0"/>
        </w:rPr>
        <w:t>Ditemukan inkonsistensi data pada ambang 'dana penelitian per dosen per tahun': Standar Masukan Pendidikan Unggul menyatakan ambang Rp10.000.000/dosen/tahun (paragraf 28 &amp; Tabel IKU No.9), sedangkan Standar Masukan Penelitian Unggul menyatakan Rp20.000.000/dosen/tahun sebagai capaian yang 'dua kali lipat ambang skor sempurna LAM Teknik'. Kedua dokumen FTII memberikan angka target yang berbeda untuk metrik yang sama. REKOMENDASI: selaraskan angka ini pada revisi berikutnya agar tidak menimbulkan kebingungan saat penyusunan LED/LKPS — disarankan mengikuti angka yang lebih tinggi (Rp20 juta) sebagai ambang final, dengan Rp10 juta sebagai target antara/tahun pertama jika dimaksudkan sebagai roadmap bertahap. Sebaliknya, ambang dana PkM per dosen (Rp5.000.000/tahun) konsisten pada kedua dokumen.</w:t>
      </w:r>
    </w:p>
    <w:p>
      <w:pPr>
        <w:spacing w:before="280" w:after="120"/>
      </w:pPr>
      <w:r>
        <w:rPr>
          <w:b/>
          <w:sz w:val="26"/>
        </w:rPr>
        <w:t>C. KESIMPULAN DAN REKOMENDASI</w:t>
      </w:r>
    </w:p>
    <w:p>
      <w:pPr>
        <w:spacing w:after="120"/>
      </w:pPr>
      <w:r>
        <w:rPr>
          <w:b w:val="0"/>
          <w:i w:val="0"/>
        </w:rPr>
        <w:t>Secara umum, keluarga dokumen Standar Masukan Pendidikan/Penelitian/PkM dan Luaran Penelitian/PkM versi Unggul MEMENUHI SEBAGIAN BESAR ketentuan Kriteria C.4 Sumber Daya Manusia, dengan perbaikan signifikan dibanding versi dasarnya pada kecukupan dan kualifikasi dosen, HKI, dan buku ber-ISBN. Namun ditemukan 6 (enam) sub-elemen yang BELUM TERPENUHI/TIDAK DITEMUKAN dan 2 (dua) gap sistemik lintas-kriteria yang perlu ditindaklanjuti:</w:t>
      </w:r>
    </w:p>
    <w:p>
      <w:pPr>
        <w:pStyle w:val="ListNumber"/>
        <w:spacing w:after="120"/>
      </w:pPr>
      <w:r>
        <w:t>Tambahkan indikator baru 'persentase DTPS bersertifikat kompetensi/profesi/industri' yang terpisah dari 'persentase dosen bersertifikat pendidik (serdos)' yang sudah ada — keduanya mengukur hal yang berbeda dan LED secara eksplisit meminta yang pertama.</w:t>
      </w:r>
    </w:p>
    <w:p>
      <w:pPr>
        <w:pStyle w:val="ListNumber"/>
        <w:spacing w:after="120"/>
      </w:pPr>
      <w:r>
        <w:t>Tambahkan indikator 'persentase mata kuliah kompetensi yang diampu oleh dosen industri/praktisi' pada Standar Masukan Pendidikan, sebagai bukti kedekatan kurikulum dengan DUDIKA yang dinilai LAM Teknik dan LAM INFOKOM.</w:t>
      </w:r>
    </w:p>
    <w:p>
      <w:pPr>
        <w:pStyle w:val="ListNumber"/>
        <w:spacing w:after="120"/>
      </w:pPr>
      <w:r>
        <w:t>Tambahkan indikator 'jumlah/persentase produk atau jasa hasil penelitian dan PkM DTPS yang diadopsi oleh industri atau masyarakat' pada Standar Luaran Penelitian dan/atau Luaran PkM, karena LED menilai hilirisasi sebagai bukti dampak nyata, bukan hanya luaran akademik (publikasi/HKI/buku).</w:t>
      </w:r>
    </w:p>
    <w:p>
      <w:pPr>
        <w:pStyle w:val="ListNumber"/>
        <w:spacing w:after="120"/>
      </w:pPr>
      <w:r>
        <w:t>Tambahkan indikator sitasi karya ilmiah DTPS pada basis data pengindeks internasional (mis. jumlah sitasi per dosen atau indeks-h agregat program studi), memanfaatkan basis data Scopus/SINTA yang sudah disebut sebagai sumber verifikasi publikasi.</w:t>
      </w:r>
    </w:p>
    <w:p>
      <w:pPr>
        <w:pStyle w:val="ListNumber"/>
        <w:spacing w:after="120"/>
      </w:pPr>
      <w:r>
        <w:t>Rinci ambang publikasi internasional bereputasi (c.vii) dengan menambahkan syarat posisi penulis (penulis utama atau korespondensi), dan rinci bentuk-bentuk rekognisi (c.ix) mengikuti kategori LED (visiting scholar, keynote/invited speaker, editor/mitra bestari, staf ahli/narasumber) agar dapat diverifikasi langsung saat penyusunan LED.</w:t>
      </w:r>
    </w:p>
    <w:p>
      <w:pPr>
        <w:pStyle w:val="ListNumber"/>
        <w:spacing w:after="120"/>
      </w:pPr>
      <w:r>
        <w:t>Selaraskan angka target 'dana penelitian per dosen per tahun' yang saat ini berbeda antara Standar Masukan Pendidikan Unggul (Rp10 juta) dan Standar Masukan Penelitian Unggul (Rp20 juta) menjadi satu angka acuan tunggal, untuk menghindari kebingungan verifikasi data saat asesmen akreditasi.</w:t>
      </w:r>
    </w:p>
    <w:p>
      <w:pPr>
        <w:pStyle w:val="ListNumber"/>
        <w:spacing w:after="120"/>
      </w:pPr>
      <w:r>
        <w:t>Tindak lanjuti gap sistemik 'Analisis Faktor Keberhasilan dan Penghambat' serta 'Strategi SWOT berkala' — yang juga ditemukan konsisten pada pemetaan Kriteria C.1, C.2, dan C.3 — pada level kebijakan PPEPP Universitas, dengan mewajibkan setiap standar turunan (termasuk seluruh keluarga standar SDM/Penelitian/PkM ini) menghasilkan dokumen root-cause analysis tahunan sebagai bagian baku siklus evaluasi, bukan hanya pada tahap penyusunan/peninjauan awal.</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