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PEMETAAN KEPATUHAN STANDAR VISI MISI FTII</w:t>
      </w:r>
    </w:p>
    <w:p>
      <w:pPr>
        <w:jc w:val="center"/>
      </w:pPr>
      <w:r>
        <w:rPr>
          <w:b/>
          <w:sz w:val="26"/>
        </w:rPr>
        <w:t>terhadap Kriteria C.1 Diferensiasi Misi (VMTS)</w:t>
      </w:r>
    </w:p>
    <w:p>
      <w:pPr>
        <w:jc w:val="center"/>
      </w:pPr>
      <w:r>
        <w:rPr>
          <w:b w:val="0"/>
          <w:sz w:val="22"/>
        </w:rPr>
        <w:t>Pedoman Penyusunan Laporan Evaluasi Diri Program Studi (LEDPS) — Lampiran 2 Peraturan LAM Teknik Nomor 5 Tahun 2025</w:t>
      </w:r>
    </w:p>
    <w:p/>
    <w:p>
      <w:pPr>
        <w:spacing w:after="120"/>
      </w:pPr>
      <w:r>
        <w:rPr>
          <w:b w:val="0"/>
          <w:i w:val="0"/>
        </w:rPr>
        <w:t>Dokumen yang dibandingkan: (1) Standar Visi Misi (VMTS) FTII UNISBANK versi berlaku (DRAFTFLLPembaharuanFTIIStandar Visi misi_fix_OKE.docx, efektif 24 Desember 2024); (2) draf Standar Visi Misi Unggul FTII (Standar_Visi_Misi_Unggul_FTII.docx); dibandingkan terhadap Kriteria C.1 Diferensiasi Misi (Visi, Misi, Tujuan, dan Strategi) pada panduan-penyusunan-led-instrumen-lam-teknik-2025-pasca-akreditasi-pertama-dan-unggul.pdf (halaman 5-6). Analisis disusun berdasarkan ekstraksi teks langsung dari kedua dokumen, bukan ringkasan pihak ketiga.</w:t>
      </w:r>
    </w:p>
    <w:p>
      <w:pPr>
        <w:spacing w:before="280" w:after="120"/>
      </w:pPr>
      <w:r>
        <w:rPr>
          <w:b/>
          <w:sz w:val="26"/>
        </w:rPr>
        <w:t>A. RINGKASAN STATUS KEPATUHAN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9D9D9"/>
          </w:tcPr>
          <w:p>
            <w:r/>
            <w:r>
              <w:rPr>
                <w:b/>
                <w:sz w:val="19"/>
              </w:rPr>
              <w:t>Elemen Kriteria C.1 (LEDPS LAM Teknik)</w:t>
            </w:r>
          </w:p>
        </w:tc>
        <w:tc>
          <w:tcPr>
            <w:tcW w:type="dxa" w:w="2160"/>
            <w:shd w:val="clear" w:color="auto" w:fill="D9D9D9"/>
          </w:tcPr>
          <w:p>
            <w:r/>
            <w:r>
              <w:rPr>
                <w:b/>
                <w:sz w:val="19"/>
              </w:rPr>
              <w:t>Standar VMTS FTII (existing)</w:t>
            </w:r>
          </w:p>
        </w:tc>
        <w:tc>
          <w:tcPr>
            <w:tcW w:type="dxa" w:w="2160"/>
            <w:shd w:val="clear" w:color="auto" w:fill="D9D9D9"/>
          </w:tcPr>
          <w:p>
            <w:r/>
            <w:r>
              <w:rPr>
                <w:b/>
                <w:sz w:val="19"/>
              </w:rPr>
              <w:t>Draf VMTS Unggul FTII</w:t>
            </w:r>
          </w:p>
        </w:tc>
        <w:tc>
          <w:tcPr>
            <w:tcW w:type="dxa" w:w="2160"/>
            <w:shd w:val="clear" w:color="auto" w:fill="D9D9D9"/>
          </w:tcPr>
          <w:p>
            <w:r/>
            <w:r>
              <w:rPr>
                <w:b/>
                <w:sz w:val="19"/>
              </w:rPr>
              <w:t>Status Akhir</w:t>
            </w:r>
          </w:p>
        </w:tc>
      </w:tr>
      <w:tr>
        <w:tc>
          <w:tcPr>
            <w:tcW w:type="dxa" w:w="2160"/>
          </w:tcPr>
          <w:p>
            <w:r/>
            <w:r>
              <w:rPr>
                <w:b w:val="0"/>
                <w:sz w:val="19"/>
              </w:rPr>
              <w:t>1. Latar Belakang (rasional VMTS UPPS + visi keilmuan prodi, jangka panjang→pendek/menengah)</w:t>
            </w:r>
          </w:p>
        </w:tc>
        <w:tc>
          <w:tcPr>
            <w:tcW w:type="dxa" w:w="2160"/>
          </w:tcPr>
          <w:p>
            <w:r/>
            <w:r>
              <w:rPr>
                <w:b w:val="0"/>
                <w:sz w:val="19"/>
              </w:rPr>
              <w:t>Rasional mencakup arah dasar VMTS FTII, keselarasan dgn Universitas, RIP/Renstra/Renop, diferensiasi misi, siklus PPEPP</w:t>
            </w:r>
          </w:p>
        </w:tc>
        <w:tc>
          <w:tcPr>
            <w:tcW w:type="dxa" w:w="2160"/>
          </w:tcPr>
          <w:p>
            <w:r/>
            <w:r>
              <w:rPr>
                <w:b w:val="0"/>
                <w:sz w:val="19"/>
              </w:rPr>
              <w:t>Tidak diubah (Rasional diwariskan &amp; diperluas ke pengakuan eksternal)</w:t>
            </w:r>
          </w:p>
        </w:tc>
        <w:tc>
          <w:tcPr>
            <w:tcW w:type="dxa" w:w="2160"/>
            <w:shd w:val="clear" w:color="auto" w:fill="FFE699"/>
          </w:tcPr>
          <w:p>
            <w:r/>
            <w:r>
              <w:rPr>
                <w:b w:val="0"/>
                <w:sz w:val="19"/>
              </w:rPr>
              <w:t>TERPENUHI SEBAGIAN — kuat di level UPPS, belum eksplisit ke visi keilmuan prodi</w:t>
            </w:r>
          </w:p>
        </w:tc>
      </w:tr>
      <w:tr>
        <w:tc>
          <w:tcPr>
            <w:tcW w:type="dxa" w:w="2160"/>
          </w:tcPr>
          <w:p>
            <w:r/>
            <w:r>
              <w:rPr>
                <w:b w:val="0"/>
                <w:sz w:val="19"/>
              </w:rPr>
              <w:t>2. Kebijakan (dokumen formal regulasi + PT yang mendukung implementasi VMTS)</w:t>
            </w:r>
          </w:p>
        </w:tc>
        <w:tc>
          <w:tcPr>
            <w:tcW w:type="dxa" w:w="2160"/>
          </w:tcPr>
          <w:p>
            <w:r/>
            <w:r>
              <w:rPr>
                <w:b w:val="0"/>
                <w:sz w:val="19"/>
              </w:rPr>
              <w:t>Bagian Acuan lengkap: UU 12/2012, PP 4/2014, Perpres 8/2012 (KKNI), Permendikbudristek 53/2023, Statuta, Renstra PT &amp; FTII</w:t>
            </w:r>
          </w:p>
        </w:tc>
        <w:tc>
          <w:tcPr>
            <w:tcW w:type="dxa" w:w="2160"/>
          </w:tcPr>
          <w:p>
            <w:r/>
            <w:r>
              <w:rPr>
                <w:b w:val="0"/>
                <w:sz w:val="19"/>
              </w:rPr>
              <w:t>Tidak diubah</w:t>
            </w:r>
          </w:p>
        </w:tc>
        <w:tc>
          <w:tcPr>
            <w:tcW w:type="dxa" w:w="2160"/>
            <w:shd w:val="clear" w:color="auto" w:fill="C6E0B4"/>
          </w:tcPr>
          <w:p>
            <w:r/>
            <w:r>
              <w:rPr>
                <w:b w:val="0"/>
                <w:sz w:val="19"/>
              </w:rPr>
              <w:t>TERPENUHI</w:t>
            </w:r>
          </w:p>
        </w:tc>
      </w:tr>
      <w:tr>
        <w:tc>
          <w:tcPr>
            <w:tcW w:type="dxa" w:w="2160"/>
          </w:tcPr>
          <w:p>
            <w:r/>
            <w:r>
              <w:rPr>
                <w:b w:val="0"/>
                <w:sz w:val="19"/>
              </w:rPr>
              <w:t>3a. IKU Kekhasan VMTS (linearitas VMTS PT-UPPS; identitas unik; visi keilmuan prodi didukung Renstra &amp; KURIKULUM)</w:t>
            </w:r>
          </w:p>
        </w:tc>
        <w:tc>
          <w:tcPr>
            <w:tcW w:type="dxa" w:w="2160"/>
          </w:tcPr>
          <w:p>
            <w:r/>
            <w:r>
              <w:rPr>
                <w:b w:val="0"/>
                <w:sz w:val="19"/>
              </w:rPr>
              <w:t>Pernyataan Standar #1 (selaras VMTS Universitas) &amp; #4 (diferensiasi misi TI/industri/data-driven/digital business) — di level fakultas</w:t>
            </w:r>
          </w:p>
        </w:tc>
        <w:tc>
          <w:tcPr>
            <w:tcW w:type="dxa" w:w="2160"/>
          </w:tcPr>
          <w:p>
            <w:r/>
            <w:r>
              <w:rPr>
                <w:b w:val="0"/>
                <w:sz w:val="19"/>
              </w:rPr>
              <w:t>Tidak menambah pernyataan baru soal visi keilmuan prodi/kurikulum</w:t>
            </w:r>
          </w:p>
        </w:tc>
        <w:tc>
          <w:tcPr>
            <w:tcW w:type="dxa" w:w="2160"/>
            <w:shd w:val="clear" w:color="auto" w:fill="FFE699"/>
          </w:tcPr>
          <w:p>
            <w:r/>
            <w:r>
              <w:rPr>
                <w:b w:val="0"/>
                <w:sz w:val="19"/>
              </w:rPr>
              <w:t>TERPENUHI SEBAGIAN — GAP: belum ada pernyataan standar yang menurunkan visi keilmuan ke tingkat program studi &amp; mengaitkannya dengan kurikulum</w:t>
            </w:r>
          </w:p>
        </w:tc>
      </w:tr>
      <w:tr>
        <w:tc>
          <w:tcPr>
            <w:tcW w:type="dxa" w:w="2160"/>
          </w:tcPr>
          <w:p>
            <w:r/>
            <w:r>
              <w:rPr>
                <w:b w:val="0"/>
                <w:sz w:val="19"/>
              </w:rPr>
              <w:t>3b. IKU Mekanisme Penyusunan VMTS (pelibatan internal: dosen/mahasiswa/tendik; eksternal: alumni/pengguna lulusan/pakar)</w:t>
            </w:r>
          </w:p>
        </w:tc>
        <w:tc>
          <w:tcPr>
            <w:tcW w:type="dxa" w:w="2160"/>
          </w:tcPr>
          <w:p>
            <w:r/>
            <w:r>
              <w:rPr>
                <w:b w:val="0"/>
                <w:sz w:val="19"/>
              </w:rPr>
              <w:t>Pernyataan Standar #2 &amp; Strategi #2: melibatkan pimpinan, dosen, tendik, mahasiswa, ALUMNI, pengguna lulusan, pemangku kepentingan lain</w:t>
            </w:r>
          </w:p>
        </w:tc>
        <w:tc>
          <w:tcPr>
            <w:tcW w:type="dxa" w:w="2160"/>
          </w:tcPr>
          <w:p>
            <w:r/>
            <w:r>
              <w:rPr>
                <w:b w:val="0"/>
                <w:sz w:val="19"/>
              </w:rPr>
              <w:t>Dipertahankan (SK Tim + berita acara dijadikan bukti wajib)</w:t>
            </w:r>
          </w:p>
        </w:tc>
        <w:tc>
          <w:tcPr>
            <w:tcW w:type="dxa" w:w="2160"/>
            <w:shd w:val="clear" w:color="auto" w:fill="C6E0B4"/>
          </w:tcPr>
          <w:p>
            <w:r/>
            <w:r>
              <w:rPr>
                <w:b w:val="0"/>
                <w:sz w:val="19"/>
              </w:rPr>
              <w:t>TERPENUHI PENUH — MELAMPAUI LED (LED tidak wajibkan alumni secara eksplisit)</w:t>
            </w:r>
          </w:p>
        </w:tc>
      </w:tr>
      <w:tr>
        <w:tc>
          <w:tcPr>
            <w:tcW w:type="dxa" w:w="2160"/>
          </w:tcPr>
          <w:p>
            <w:r/>
            <w:r>
              <w:rPr>
                <w:b w:val="0"/>
                <w:sz w:val="19"/>
              </w:rPr>
              <w:t>3c. IKU Tingkat Pemahaman &amp; Pencapaian VMTS (sosialisasi + survei pemahaman + pencapaian konkret jangka pendek-menengah)</w:t>
            </w:r>
          </w:p>
        </w:tc>
        <w:tc>
          <w:tcPr>
            <w:tcW w:type="dxa" w:w="2160"/>
          </w:tcPr>
          <w:p>
            <w:r/>
            <w:r>
              <w:rPr>
                <w:b w:val="0"/>
                <w:sz w:val="19"/>
              </w:rPr>
              <w:t>Pernyataan Standar #13 (sosialisasi) &amp; #14 (survei) ADA, tetapi TANPA ambang terukur ('secara berkala' saja)</w:t>
            </w:r>
          </w:p>
        </w:tc>
        <w:tc>
          <w:tcPr>
            <w:tcW w:type="dxa" w:w="2160"/>
          </w:tcPr>
          <w:p>
            <w:r/>
            <w:r>
              <w:rPr>
                <w:b w:val="0"/>
                <w:sz w:val="19"/>
              </w:rPr>
              <w:t>Ambang eksplisit: sosialisasi ≥2x/tahun, pemahaman ≥85%→≥95%, capaian kinerja fakultas ≥80%→≥90%</w:t>
            </w:r>
          </w:p>
        </w:tc>
        <w:tc>
          <w:tcPr>
            <w:tcW w:type="dxa" w:w="2160"/>
            <w:shd w:val="clear" w:color="auto" w:fill="FFE699"/>
          </w:tcPr>
          <w:p>
            <w:r/>
            <w:r>
              <w:rPr>
                <w:b w:val="0"/>
                <w:sz w:val="19"/>
              </w:rPr>
              <w:t>existing: TERPENUHI SEBAGIAN; draf Unggul: TERPENUHI PENUH</w:t>
            </w:r>
          </w:p>
        </w:tc>
      </w:tr>
      <w:tr>
        <w:tc>
          <w:tcPr>
            <w:tcW w:type="dxa" w:w="2160"/>
          </w:tcPr>
          <w:p>
            <w:r/>
            <w:r>
              <w:rPr>
                <w:b w:val="0"/>
                <w:sz w:val="19"/>
              </w:rPr>
              <w:t>4. Analisis Faktor Keberhasilan dan Penghambat Pencapaian VMTS (evaluasi berkala, akar masalah, faktor pendukung)</w:t>
            </w:r>
          </w:p>
        </w:tc>
        <w:tc>
          <w:tcPr>
            <w:tcW w:type="dxa" w:w="2160"/>
          </w:tcPr>
          <w:p>
            <w:r/>
            <w:r>
              <w:rPr>
                <w:b w:val="0"/>
                <w:sz w:val="19"/>
              </w:rPr>
              <w:t>TIDAK ADA bagian/pernyataan standar yang mewajibkan analisis akar masalah secara berkala</w:t>
            </w:r>
          </w:p>
        </w:tc>
        <w:tc>
          <w:tcPr>
            <w:tcW w:type="dxa" w:w="2160"/>
          </w:tcPr>
          <w:p>
            <w:r/>
            <w:r>
              <w:rPr>
                <w:b w:val="0"/>
                <w:sz w:val="19"/>
              </w:rPr>
              <w:t>Mekanisme Evaluasi (AMI, RTM, RTL) mendekati, namun belum eksplisit mewajibkan root-cause analysis tahunan</w:t>
            </w:r>
          </w:p>
        </w:tc>
        <w:tc>
          <w:tcPr>
            <w:tcW w:type="dxa" w:w="2160"/>
            <w:shd w:val="clear" w:color="auto" w:fill="F8CBAD"/>
          </w:tcPr>
          <w:p>
            <w:r/>
            <w:r>
              <w:rPr>
                <w:b w:val="0"/>
                <w:sz w:val="19"/>
              </w:rPr>
              <w:t>BELUM TERPENUHI PENUH — perlu pernyataan standar baru</w:t>
            </w:r>
          </w:p>
        </w:tc>
      </w:tr>
      <w:tr>
        <w:tc>
          <w:tcPr>
            <w:tcW w:type="dxa" w:w="2160"/>
          </w:tcPr>
          <w:p>
            <w:r/>
            <w:r>
              <w:rPr>
                <w:b w:val="0"/>
                <w:sz w:val="19"/>
              </w:rPr>
              <w:t>5. Strategi Perbaikan &amp; Pengembangan Berkelanjutan (SWOT sebagai siklus evaluasi berulang)</w:t>
            </w:r>
          </w:p>
        </w:tc>
        <w:tc>
          <w:tcPr>
            <w:tcW w:type="dxa" w:w="2160"/>
          </w:tcPr>
          <w:p>
            <w:r/>
            <w:r>
              <w:rPr>
                <w:b w:val="0"/>
                <w:sz w:val="19"/>
              </w:rPr>
              <w:t>SWOT disebut hanya sebagai dasar PENYUSUNAN VMTS di awal/peninjauan (Pernyataan Standar #3), bukan siklus evaluasi tahunan</w:t>
            </w:r>
          </w:p>
        </w:tc>
        <w:tc>
          <w:tcPr>
            <w:tcW w:type="dxa" w:w="2160"/>
          </w:tcPr>
          <w:p>
            <w:r/>
            <w:r>
              <w:rPr>
                <w:b w:val="0"/>
                <w:sz w:val="19"/>
              </w:rPr>
              <w:t>Tidak diperluas — SWOT tetap terikat ke tahap penyusunan/peninjauan, bukan evaluasi tahunan</w:t>
            </w:r>
          </w:p>
        </w:tc>
        <w:tc>
          <w:tcPr>
            <w:tcW w:type="dxa" w:w="2160"/>
            <w:shd w:val="clear" w:color="auto" w:fill="FFE699"/>
          </w:tcPr>
          <w:p>
            <w:r/>
            <w:r>
              <w:rPr>
                <w:b w:val="0"/>
                <w:sz w:val="19"/>
              </w:rPr>
              <w:t>TERPENUHI SEBAGIAN — perlu diperluas jadi siklus evaluasi berkala</w:t>
            </w:r>
          </w:p>
        </w:tc>
      </w:tr>
    </w:tbl>
    <w:p/>
    <w:p>
      <w:pPr>
        <w:spacing w:before="280" w:after="120"/>
      </w:pPr>
      <w:r>
        <w:rPr>
          <w:b/>
          <w:sz w:val="26"/>
        </w:rPr>
        <w:t>B. PEMBAHASAN DETAIL</w:t>
      </w:r>
    </w:p>
    <w:p>
      <w:pPr>
        <w:spacing w:after="120"/>
      </w:pPr>
      <w:r>
        <w:rPr>
          <w:b/>
          <w:i w:val="0"/>
        </w:rPr>
        <w:t>1. Latar Belakang</w:t>
      </w:r>
    </w:p>
    <w:p>
      <w:pPr>
        <w:spacing w:after="120"/>
      </w:pPr>
      <w:r>
        <w:rPr>
          <w:b w:val="0"/>
          <w:i w:val="0"/>
        </w:rPr>
        <w:t>Ketentuan LED: LED harus menjelaskan latar belakang, tujuan, dan rasional VMTS UPPS DAN visi keilmuan program studi dalam mendukung pencapaian jangka panjang yang diturunkan ke program jangka pendek dan menengah. Rasional Standar VMTS FTII sudah kuat menjelaskan arah dasar VMTS di level Fakultas (UPPS), keselarasan dengan Universitas, RIP/Renstra/Renop, diferensiasi misi, dan siklus PPEPP. Namun rasional ini tidak menyinggung secara eksplisit 'visi keilmuan program studi' sebagai entitas yang diturunkan dari VMTS Fakultas — sesuatu yang secara eksplisit dituntut LED karena LED disusun di tingkat program studi, bukan hanya Fakultas.</w:t>
      </w:r>
    </w:p>
    <w:p>
      <w:pPr>
        <w:spacing w:after="120"/>
      </w:pPr>
      <w:r>
        <w:rPr>
          <w:b/>
          <w:i w:val="0"/>
        </w:rPr>
        <w:t>2. Kebijakan</w:t>
      </w:r>
    </w:p>
    <w:p>
      <w:pPr>
        <w:spacing w:after="120"/>
      </w:pPr>
      <w:r>
        <w:rPr>
          <w:b w:val="0"/>
          <w:i w:val="0"/>
        </w:rPr>
        <w:t>Bagian Acuan Standar VMTS FTII memuat dasar hukum lengkap (UU Dikti, PP Penyelenggaraan PT, Perpres KKNI, Permendikbudristek 53/2023, Peraturan BAN-PT, Statuta, Renstra Universitas dan FTII, Pedoman SPMI, Instrumen LAM INFOKOM). Ini memenuhi persyaratan LED yang meminta 'deskripsi dokumen formal kebijakan yang mencakup peraturan perundang-undangan dan perguruan tinggi'. TERPENUHI.</w:t>
      </w:r>
    </w:p>
    <w:p>
      <w:pPr>
        <w:spacing w:after="120"/>
      </w:pPr>
      <w:r>
        <w:rPr>
          <w:b/>
          <w:i w:val="0"/>
        </w:rPr>
        <w:t>3a. Kekhasan VMTS</w:t>
      </w:r>
    </w:p>
    <w:p>
      <w:pPr>
        <w:spacing w:after="120"/>
      </w:pPr>
      <w:r>
        <w:rPr>
          <w:b w:val="0"/>
          <w:i w:val="0"/>
        </w:rPr>
        <w:t>LED menuntut penjelasan (i) linearitas VMTS PT dengan UPPS, (ii) kekhasan VMTS yang unik/spesifik sebagai identitas PT dan UPPS, SERTA (iii) visi keilmuan program studi sebagai keunggulan kompetitif yang didukung Renstra dan KURIKULUM yang memadai. Standar VMTS FTII memenuhi (i) dan (ii) dengan baik melalui Pernyataan Standar #1 (keselarasan) dan #4 (diferensiasi misi TI, industri, data-driven, digital business). Namun unsur (iii) — keterkaitan eksplisit visi keilmuan PROGRAM STUDI dengan KURIKULUM — tidak ditemukan pada pernyataan standar manapun. Standar FTII berhenti pada level diferensiasi misi Fakultas dan belum mewajibkan setiap program studi menyusun/menurunkan visi keilmuannya sendiri yang tertaut ke struktur kurikulum. Ini adalah gap paling signifikan pada Kriteria C.1 karena LED menilai unit analisis program studi, bukan hanya fakultas.</w:t>
      </w:r>
    </w:p>
    <w:p>
      <w:pPr>
        <w:spacing w:after="120"/>
      </w:pPr>
      <w:r>
        <w:rPr>
          <w:b/>
          <w:i w:val="0"/>
        </w:rPr>
        <w:t>3b. Mekanisme Penyusunan VMTS</w:t>
      </w:r>
    </w:p>
    <w:p>
      <w:pPr>
        <w:spacing w:after="120"/>
      </w:pPr>
      <w:r>
        <w:rPr>
          <w:b w:val="0"/>
          <w:i w:val="0"/>
        </w:rPr>
        <w:t>LED mensyaratkan pelibatan pemangku kepentingan internal (dosen, mahasiswa, tenaga kependidikan) dan eksternal (alumni, pengguna lulusan, pakar). Standar VMTS FTII (Pernyataan Standar #2, Strategi Pencapaian #2) mewajibkan pelibatan pimpinan universitas, pimpinan fakultas, program studi, dosen, tenaga kependidikan, mahasiswa, ALUMNI, pengguna lulusan, dan pemangku kepentingan lainnya — cakupan ini SAMA ATAU LEBIH LUAS dari tuntutan LED. TERPENUHI PENUH, bahkan melampaui ketentuan minimal LED.</w:t>
      </w:r>
    </w:p>
    <w:p>
      <w:pPr>
        <w:spacing w:after="120"/>
      </w:pPr>
      <w:r>
        <w:rPr>
          <w:b/>
          <w:i w:val="0"/>
        </w:rPr>
        <w:t>3c. Tingkat Pemahaman dan Pencapaian VMTS</w:t>
      </w:r>
    </w:p>
    <w:p>
      <w:pPr>
        <w:spacing w:after="120"/>
      </w:pPr>
      <w:r>
        <w:rPr>
          <w:b w:val="0"/>
          <w:i w:val="0"/>
        </w:rPr>
        <w:t>LED menuntut penjelasan sosialisasi VMTS ke semua pemangku kepentingan, tingkat pemahaman, DAN pencapaian konkret jangka pendek-menengah yang menunjukkan VMTS berdampak, berkelanjutan, dan berorientasi masa depan. Standar VMTS FTII versi existing memiliki pernyataan standar tentang sosialisasi (#13) dan survei pemahaman (#14), tetapi keduanya hanya berbunyi 'secara berkala' tanpa ambang kuantitatif — sehingga saat menyusun narasi LED, UPPS akan kesulitan menunjukkan 'tingkat pemahaman' secara terukur. Draf Standar VMTS Unggul FTII menutup gap ini dengan menambahkan ambang eksplisit: sosialisasi minimal 2 kali/tahun akademik, target pemahaman minimal 85% meningkat menjadi 95%, serta capaian kinerja fakultas minimal 80% meningkat menjadi 90% sebagai proksi pencapaian konkret. Dengan demikian, draf Unggul TERPENUHI PENUH pada elemen ini, sedangkan versi existing hanya TERPENUHI SEBAGIAN.</w:t>
      </w:r>
    </w:p>
    <w:p>
      <w:pPr>
        <w:spacing w:after="120"/>
      </w:pPr>
      <w:r>
        <w:rPr>
          <w:b/>
          <w:i w:val="0"/>
        </w:rPr>
        <w:t>4. Analisis Faktor Keberhasilan dan Penghambat Pencapaian VMTS</w:t>
      </w:r>
    </w:p>
    <w:p>
      <w:pPr>
        <w:spacing w:after="120"/>
      </w:pPr>
      <w:r>
        <w:rPr>
          <w:b w:val="0"/>
          <w:i w:val="0"/>
        </w:rPr>
        <w:t>LED mensyaratkan UPPS melakukan evaluasi berkala terhadap indikator kinerja VMTS, mengidentifikasi faktor pendukung keberhasilan secara rinci, dan menelusuri akar masalah penghambat pencapaian VMTS. Baik Standar VMTS FTII existing maupun draf Unggul TIDAK memiliki pernyataan standar yang secara eksplisit mewajibkan analisis akar masalah (root-cause analysis) atas ketercapaian/ketidaktercapaian indikator VMTS sebagai bagian dari siklus evaluasi rutin. Mekanisme Evaluasi pada draf Unggul (AMI, RTM, RTL) menyediakan wadah prosedural untuk hal ini, namun tidak secara eksplisit mewajibkan output 'analisis faktor keberhasilan dan penghambat' sebagai dokumen tersendiri. BELUM TERPENUHI PENUH pada kedua versi standar — ini adalah gap kedua yang signifikan untuk kesiapan penyusunan LED.</w:t>
      </w:r>
    </w:p>
    <w:p>
      <w:pPr>
        <w:spacing w:after="120"/>
      </w:pPr>
      <w:r>
        <w:rPr>
          <w:b/>
          <w:i w:val="0"/>
        </w:rPr>
        <w:t>5. Strategi Perbaikan dan Pengembangan Berkelanjutan (SWOT)</w:t>
      </w:r>
    </w:p>
    <w:p>
      <w:pPr>
        <w:spacing w:after="120"/>
      </w:pPr>
      <w:r>
        <w:rPr>
          <w:b w:val="0"/>
          <w:i w:val="0"/>
        </w:rPr>
        <w:t>LED menuntut evaluasi menyeluruh faktor internal (kekuatan-kelemahan) dan eksternal (peluang-ancaman) sebagai dasar strategi perbaikan berkelanjutan — dilakukan berulang setiap siklus evaluasi, bukan hanya sekali di awal. Standar VMTS FTII mewajibkan analisis SWOT (Pernyataan Standar #3) tetapi konteksnya terikat pada tahap PENYUSUNAN atau PENINJAUAN VMTS (yang terjadi setiap siklus Renstra 4-5 tahun), bukan sebagai bagian dari evaluasi tahunan rutin yang menghasilkan strategi perbaikan jangka pendek. TERPENUHI SEBAGIAN — SWOT sudah ada sebagai konsep dan didefinisikan dalam Definisi Istilah, namun cakupannya perlu diperluas menjadi siklus evaluasi berkala (tahunan), sejalan dengan kebutuhan penyusunan LED yang bersifat periodik.</w:t>
      </w:r>
    </w:p>
    <w:p>
      <w:pPr>
        <w:spacing w:before="280" w:after="120"/>
      </w:pPr>
      <w:r>
        <w:rPr>
          <w:b/>
          <w:sz w:val="26"/>
        </w:rPr>
        <w:t>C. KESIMPULAN DAN REKOMENDASI</w:t>
      </w:r>
    </w:p>
    <w:p>
      <w:pPr>
        <w:spacing w:after="120"/>
      </w:pPr>
      <w:r>
        <w:rPr>
          <w:b w:val="0"/>
          <w:i w:val="0"/>
        </w:rPr>
        <w:t>Secara umum, Standar Visi Misi FTII (baik versi existing maupun draf Unggul) SUDAH MEMENUHI SEBAGIAN BESAR ketentuan Kriteria C.1 Diferensiasi Misi pada Pedoman LEDPS LAM Teknik 2025, dengan satu elemen (Mekanisme Penyusunan VMTS) bahkan melampaui tuntutan minimal LED. Draf Standar VMTS Unggul berhasil menutup gap ambang kuantitatif pada elemen Tingkat Pemahaman dan Pencapaian VMTS. Namun demikian, terdapat 3 (tiga) area yang BELUM TERPENUHI PENUH pada kedua versi standar dan perlu ditindaklanjuti sebelum standar ini dapat sepenuhnya mendukung penyusunan LEDPS yang siap dinilai LAM Teknik:</w:t>
      </w:r>
    </w:p>
    <w:p>
      <w:pPr>
        <w:pStyle w:val="ListNumber"/>
        <w:spacing w:after="120"/>
      </w:pPr>
      <w:r>
        <w:t>Menambahkan pernyataan standar dan IKU baru yang mewajibkan setiap program studi di FTII menyusun dan menetapkan 'visi keilmuan program studi' yang diturunkan dari diferensiasi misi FTII, serta menunjukkan keterkaitannya secara eksplisit dengan struktur kurikulum program studi (dokumen kurikulum sebagai bukti sahih), untuk memenuhi elemen Kekhasan VMTS (3a) secara penuh.</w:t>
      </w:r>
    </w:p>
    <w:p>
      <w:pPr>
        <w:pStyle w:val="ListNumber"/>
        <w:spacing w:after="120"/>
      </w:pPr>
      <w:r>
        <w:t>Menambahkan pernyataan standar yang mewajibkan penyusunan 'Analisis Faktor Keberhasilan dan Penghambat Pencapaian VMTS' sebagai dokumen/output wajib setiap siklus evaluasi tahunan (bukan hanya laporan capaian), memuat identifikasi faktor pendukung dan akar masalah secara eksplisit, agar bagian ini dapat langsung diadopsi menjadi narasi LED Kriteria C.1 poin 4.</w:t>
      </w:r>
    </w:p>
    <w:p>
      <w:pPr>
        <w:pStyle w:val="ListNumber"/>
        <w:spacing w:after="120"/>
      </w:pPr>
      <w:r>
        <w:t>Memperluas cakupan ketentuan analisis SWOT dari 'dasar penyusunan/peninjauan VMTS' (setiap siklus Renstra) menjadi bagian dari siklus evaluasi tahunan yang menghasilkan strategi perbaikan jangka pendek dan menengah, selaras dengan pola LED yang menuntut SWOT sebagai proses berulang, bukan satu kali.</w:t>
      </w:r>
    </w:p>
    <w:p>
      <w:pPr>
        <w:pStyle w:val="ListNumber"/>
        <w:spacing w:after="120"/>
      </w:pPr>
      <w:r>
        <w:t>Menambahkan bagian 'Mekanisme Evaluasi' secara eksplisit pada revisi Standar VMTS FTII versi existing (saat ini belum ada), mengikuti pola yang sudah dirintis pada draf Standar VMTS Unggul, agar prosedur AMI/RTM/RTL yang menghasilkan analisis faktor keberhasilan-penghambat menjadi bagian formal standar, bukan hanya praktik implisit.</w:t>
      </w:r>
    </w:p>
    <w:p/>
    <w:p>
      <w:pPr>
        <w:jc w:val="right"/>
      </w:pPr>
      <w:r>
        <w:rPr>
          <w:i/>
        </w:rPr>
        <w:t>Disusun di Semarang pada tanggal 1 Agustus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