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Analisis AEE Perguruan Tinggi</w:t>
      </w:r>
    </w:p>
    <w:p>
      <w:pPr>
        <w:spacing w:after="280"/>
        <w:jc w:val="center"/>
      </w:pPr>
      <w:r>
        <w:t>Indikator keberhasilan mahasiswa menyelesaikan studi tepat waktu</w:t>
      </w:r>
    </w:p>
    <w:p>
      <w:pPr>
        <w:pStyle w:val="Heading2"/>
      </w:pPr>
      <w:r>
        <w:t>Ringkasan Hasil</w:t>
      </w:r>
    </w:p>
    <w:p>
      <w:pPr>
        <w:spacing w:after="120"/>
      </w:pPr>
      <w:r>
        <w:t>Berdasarkan file IKU1_AEE_PT.pdf, tingkat pencapaian AEE Perguruan Tinggi adalah 132,3%. Nilai ini diperoleh dari rata-rata tingkat pencapaian AEE tiga program pendidikan, yaitu D3, S1, dan S2. Karena nilai berada di atas 100%, capaian perguruan tinggi secara agregat telah melampaui standar ideal yang digunakan dalam indikator AEE.</w:t>
      </w:r>
    </w:p>
    <w:p>
      <w:pPr>
        <w:spacing w:after="120"/>
      </w:pPr>
      <w:r>
        <w:t>Catatan data: PDF hanya memuat nilai AEE ideal, tingkat pencapaian AEE per program, dan nilai AEE PT. PDF tidak menampilkan jumlah mahasiswa masuk pada periode tertentu maupun jumlah mahasiswa yang menyelesaikan studi tepat waktu. Oleh karena itu, analisis ini menggunakan nilai pencapaian AEE yang sudah tersedia dalam PDF.</w:t>
      </w:r>
    </w:p>
    <w:p>
      <w:pPr>
        <w:pStyle w:val="Heading2"/>
      </w:pPr>
      <w:r>
        <w:t>Definisi dan Rumus</w:t>
      </w:r>
    </w:p>
    <w:p>
      <w:pPr>
        <w:spacing w:after="120"/>
      </w:pPr>
      <w:r>
        <w:t>AEE mengukur tingkat keberhasilan mahasiswa menyelesaikan studi tepat waktu sesuai masa studi standar dibandingkan dengan total mahasiswa yang masuk pada periode tertentu.</w:t>
      </w:r>
    </w:p>
    <w:p>
      <w:pPr>
        <w:spacing w:after="120"/>
      </w:pPr>
      <w:r>
        <w:t>Rumus dasar: AEE aktual = jumlah mahasiswa lulus tepat waktu / total mahasiswa masuk pada periode tertentu x 100%.</w:t>
      </w:r>
    </w:p>
    <w:p>
      <w:pPr>
        <w:spacing w:after="120"/>
      </w:pPr>
      <w:r>
        <w:t>Tingkat pencapaian AEE = AEE aktual / AEE ideal x 100%.</w:t>
      </w:r>
    </w:p>
    <w:p>
      <w:pPr>
        <w:spacing w:after="120"/>
      </w:pPr>
      <w:r>
        <w:t>AEE Perguruan Tinggi = rata-rata tingkat pencapaian AEE seluruh program pendidikan dalam perguruan tinggi.</w:t>
      </w:r>
    </w:p>
    <w:p>
      <w:pPr>
        <w:pStyle w:val="Heading2"/>
      </w:pPr>
      <w:r>
        <w:t>Data dan Perhitungan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Program Pendidikan</w:t>
            </w:r>
          </w:p>
        </w:tc>
        <w:tc>
          <w:tcPr>
            <w:tcW w:type="dxa" w:w="1930"/>
            <w:vAlign w:val="center"/>
          </w:tcPr>
          <w:p>
            <w:r>
              <w:rPr>
                <w:b/>
              </w:rPr>
              <w:t>AEE Ideal</w:t>
            </w:r>
          </w:p>
        </w:tc>
        <w:tc>
          <w:tcPr>
            <w:tcW w:type="dxa" w:w="1930"/>
            <w:vAlign w:val="center"/>
          </w:tcPr>
          <w:p>
            <w:r>
              <w:rPr>
                <w:b/>
              </w:rPr>
              <w:t>Tingkat Pencapaian AEE</w:t>
            </w:r>
          </w:p>
        </w:tc>
        <w:tc>
          <w:tcPr>
            <w:tcW w:type="dxa" w:w="1930"/>
            <w:vAlign w:val="center"/>
          </w:tcPr>
          <w:p>
            <w:r>
              <w:rPr>
                <w:b/>
              </w:rPr>
              <w:t>Estimasi AEE Aktual</w:t>
            </w:r>
          </w:p>
        </w:tc>
        <w:tc>
          <w:tcPr>
            <w:tcW w:type="dxa" w:w="1930"/>
            <w:vAlign w:val="center"/>
          </w:tcPr>
          <w:p>
            <w:r>
              <w:rPr>
                <w:b/>
              </w:rPr>
              <w:t>Interpretasi</w:t>
            </w:r>
          </w:p>
        </w:tc>
      </w:tr>
      <w:tr>
        <w:tc>
          <w:tcPr>
            <w:tcW w:type="dxa" w:w="1930"/>
            <w:vAlign w:val="center"/>
          </w:tcPr>
          <w:p>
            <w:r>
              <w:t>Diploma 3 (D3)</w:t>
            </w:r>
          </w:p>
        </w:tc>
        <w:tc>
          <w:tcPr>
            <w:tcW w:type="dxa" w:w="1930"/>
            <w:vAlign w:val="center"/>
          </w:tcPr>
          <w:p>
            <w:r>
              <w:t>33%</w:t>
            </w:r>
          </w:p>
        </w:tc>
        <w:tc>
          <w:tcPr>
            <w:tcW w:type="dxa" w:w="1930"/>
            <w:vAlign w:val="center"/>
          </w:tcPr>
          <w:p>
            <w:r>
              <w:t>181,82%</w:t>
            </w:r>
          </w:p>
        </w:tc>
        <w:tc>
          <w:tcPr>
            <w:tcW w:type="dxa" w:w="1930"/>
            <w:vAlign w:val="center"/>
          </w:tcPr>
          <w:p>
            <w:r>
              <w:t>60%</w:t>
            </w:r>
          </w:p>
        </w:tc>
        <w:tc>
          <w:tcPr>
            <w:tcW w:type="dxa" w:w="1930"/>
            <w:vAlign w:val="center"/>
          </w:tcPr>
          <w:p>
            <w:r>
              <w:t>Melampaui target ideal secara sangat kuat.</w:t>
            </w:r>
          </w:p>
        </w:tc>
      </w:tr>
      <w:tr>
        <w:tc>
          <w:tcPr>
            <w:tcW w:type="dxa" w:w="1930"/>
            <w:vAlign w:val="center"/>
          </w:tcPr>
          <w:p>
            <w:r>
              <w:t>Sarjana (S1)</w:t>
            </w:r>
          </w:p>
        </w:tc>
        <w:tc>
          <w:tcPr>
            <w:tcW w:type="dxa" w:w="1930"/>
            <w:vAlign w:val="center"/>
          </w:tcPr>
          <w:p>
            <w:r>
              <w:t>25%</w:t>
            </w:r>
          </w:p>
        </w:tc>
        <w:tc>
          <w:tcPr>
            <w:tcW w:type="dxa" w:w="1930"/>
            <w:vAlign w:val="center"/>
          </w:tcPr>
          <w:p>
            <w:r>
              <w:t>90,17%</w:t>
            </w:r>
          </w:p>
        </w:tc>
        <w:tc>
          <w:tcPr>
            <w:tcW w:type="dxa" w:w="1930"/>
            <w:vAlign w:val="center"/>
          </w:tcPr>
          <w:p>
            <w:r>
              <w:t>22,54%</w:t>
            </w:r>
          </w:p>
        </w:tc>
        <w:tc>
          <w:tcPr>
            <w:tcW w:type="dxa" w:w="1930"/>
            <w:vAlign w:val="center"/>
          </w:tcPr>
          <w:p>
            <w:r>
              <w:t>Belum mencapai target ideal, tetapi berada dekat target.</w:t>
            </w:r>
          </w:p>
        </w:tc>
      </w:tr>
      <w:tr>
        <w:tc>
          <w:tcPr>
            <w:tcW w:type="dxa" w:w="1930"/>
            <w:vAlign w:val="center"/>
          </w:tcPr>
          <w:p>
            <w:r>
              <w:t>Magister (S2)</w:t>
            </w:r>
          </w:p>
        </w:tc>
        <w:tc>
          <w:tcPr>
            <w:tcW w:type="dxa" w:w="1930"/>
            <w:vAlign w:val="center"/>
          </w:tcPr>
          <w:p>
            <w:r>
              <w:t>45%</w:t>
            </w:r>
          </w:p>
        </w:tc>
        <w:tc>
          <w:tcPr>
            <w:tcW w:type="dxa" w:w="1930"/>
            <w:vAlign w:val="center"/>
          </w:tcPr>
          <w:p>
            <w:r>
              <w:t>124,79%</w:t>
            </w:r>
          </w:p>
        </w:tc>
        <w:tc>
          <w:tcPr>
            <w:tcW w:type="dxa" w:w="1930"/>
            <w:vAlign w:val="center"/>
          </w:tcPr>
          <w:p>
            <w:r>
              <w:t>56,16%</w:t>
            </w:r>
          </w:p>
        </w:tc>
        <w:tc>
          <w:tcPr>
            <w:tcW w:type="dxa" w:w="1930"/>
            <w:vAlign w:val="center"/>
          </w:tcPr>
          <w:p>
            <w:r>
              <w:t>Melampaui target ideal.</w:t>
            </w:r>
          </w:p>
        </w:tc>
      </w:tr>
    </w:tbl>
    <w:p>
      <w:pPr>
        <w:spacing w:after="120"/>
      </w:pPr>
      <w:r>
        <w:t>Perhitungan AEE PT: (181,82% + 90,17% + 124,79%) / 3 = 132,26%. Setelah pembulatan satu desimal, nilai tersebut menjadi 132,3%.</w:t>
      </w:r>
    </w:p>
    <w:p>
      <w:pPr>
        <w:pStyle w:val="Heading2"/>
      </w:pPr>
      <w:r>
        <w:t>Analisis Pencapaian</w:t>
      </w:r>
    </w:p>
    <w:p>
      <w:pPr>
        <w:spacing w:after="120"/>
      </w:pPr>
      <w:r>
        <w:t>1. Program D3 menjadi kontributor tertinggi dengan tingkat pencapaian 181,82%. Jika dibandingkan dengan AEE ideal 33%, estimasi AEE aktualnya sekitar 60%. Artinya, capaian kelulusan tepat waktu D3 berada jauh di atas standar ideal.</w:t>
      </w:r>
    </w:p>
    <w:p>
      <w:pPr>
        <w:spacing w:after="120"/>
      </w:pPr>
      <w:r>
        <w:t>2. Program S1 memiliki tingkat pencapaian 90,17%, sehingga menjadi satu-satunya program yang belum mencapai ambang 100% terhadap AEE ideal. Dengan AEE ideal 25%, estimasi AEE aktualnya sekitar 22,54%. Program ini perlu menjadi prioritas perbaikan karena bobot populasi S1 umumnya besar dalam perguruan tinggi.</w:t>
      </w:r>
    </w:p>
    <w:p>
      <w:pPr>
        <w:spacing w:after="120"/>
      </w:pPr>
      <w:r>
        <w:t>3. Program S2 mencapai 124,79%. Dengan AEE ideal 45%, estimasi AEE aktualnya sekitar 56,16%. Capaian ini menunjukkan bahwa penyelesaian studi tepat waktu pada jenjang S2 telah berada di atas standar ideal.</w:t>
      </w:r>
    </w:p>
    <w:p>
      <w:pPr>
        <w:spacing w:after="120"/>
      </w:pPr>
      <w:r>
        <w:t>4. Nilai AEE PT sebesar 132,3% menunjukkan performa institusi yang baik secara rata-rata. Namun, rata-rata tersebut dipengaruhi kuat oleh capaian D3 dan S2 yang tinggi, sedangkan S1 masih berada di bawah standar ideal.</w:t>
      </w:r>
    </w:p>
    <w:p>
      <w:pPr>
        <w:pStyle w:val="Heading2"/>
      </w:pPr>
      <w:r>
        <w:t>Kesimpulan</w:t>
      </w:r>
    </w:p>
    <w:p>
      <w:pPr>
        <w:spacing w:after="120"/>
      </w:pPr>
      <w:r>
        <w:t>Secara institusional, perguruan tinggi telah berhasil melampaui target AEE dengan capaian 132,3%. Hal ini berarti tingkat keberhasilan penyelesaian studi tepat waktu, setelah dinormalisasi terhadap standar ideal setiap jenjang, berada 32,3 poin persentase di atas ambang ideal.</w:t>
      </w:r>
    </w:p>
    <w:p>
      <w:pPr>
        <w:spacing w:after="120"/>
      </w:pPr>
      <w:r>
        <w:t>Fokus tindak lanjut sebaiknya diarahkan pada peningkatan AEE S1. Perbaikan dapat dilakukan melalui pemantauan kemajuan studi per semester, identifikasi mahasiswa berisiko terlambat lulus, penguatan bimbingan akademik, evaluasi mata kuliah penghambat kelulusan, dan percepatan penyelesaian tugas akhir.</w:t>
      </w:r>
    </w:p>
    <w:p>
      <w:pPr>
        <w:pStyle w:val="Heading2"/>
      </w:pPr>
      <w:r>
        <w:t>Rekomendasi</w:t>
      </w:r>
    </w:p>
    <w:p>
      <w:pPr>
        <w:pStyle w:val="ListBullet"/>
      </w:pPr>
      <w:r>
        <w:t>Menyusun dashboard pemantauan masa studi untuk setiap angkatan dan program studi.</w:t>
      </w:r>
    </w:p>
    <w:p>
      <w:pPr>
        <w:pStyle w:val="ListBullet"/>
      </w:pPr>
      <w:r>
        <w:t>Menetapkan mekanisme peringatan dini bagi mahasiswa yang melewati batas SKS atau progres tugas akhir.</w:t>
      </w:r>
    </w:p>
    <w:p>
      <w:pPr>
        <w:pStyle w:val="ListBullet"/>
      </w:pPr>
      <w:r>
        <w:t>Melakukan evaluasi khusus pada program S1 karena pencapaiannya masih 90,17% dari target ideal.</w:t>
      </w:r>
    </w:p>
    <w:p>
      <w:pPr>
        <w:pStyle w:val="ListBullet"/>
      </w:pPr>
      <w:r>
        <w:t>Mempertahankan praktik baik pada D3 dan S2 sebagai acuan perbaikan lintas program.</w:t>
      </w:r>
    </w:p>
    <w:p>
      <w:pPr>
        <w:pStyle w:val="ListBullet"/>
      </w:pPr>
      <w:r>
        <w:t>Melengkapi pelaporan berikutnya dengan jumlah mahasiswa masuk, jumlah lulus tepat waktu, dan periode angkatan agar AEE aktual dapat diaudit langsung.</w:t>
      </w:r>
    </w:p>
    <w:p>
      <w:pPr>
        <w:pStyle w:val="Heading2"/>
      </w:pPr>
      <w:r>
        <w:t>Sumber Data</w:t>
      </w:r>
    </w:p>
    <w:p>
      <w:pPr>
        <w:spacing w:after="120"/>
      </w:pPr>
      <w:r>
        <w:t>File: /home/ubuntu/IKU1_AEE_PT.pdf</w:t>
      </w:r>
    </w:p>
    <w:p>
      <w:pPr>
        <w:spacing w:after="120"/>
      </w:pPr>
      <w:r>
        <w:t>Tanggal metadata PDF: 21 Mei 2026, dibuat dari Microsoft Excel for Microsoft 365.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