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PEMETAAN KEPATUHAN STANDAR PENJAMINAN MUTU INTERNAL FTII</w:t>
      </w:r>
    </w:p>
    <w:p>
      <w:pPr>
        <w:jc w:val="center"/>
      </w:pPr>
      <w:r>
        <w:rPr>
          <w:b/>
          <w:sz w:val="26"/>
        </w:rPr>
        <w:t>terhadap Kriteria C.7 Sistem Penjaminan Mutu</w:t>
      </w:r>
    </w:p>
    <w:p>
      <w:pPr>
        <w:jc w:val="center"/>
      </w:pPr>
      <w:r>
        <w:rPr>
          <w:b w:val="0"/>
          <w:sz w:val="22"/>
        </w:rPr>
        <w:t>Pedoman Penyusunan Laporan Evaluasi Diri Program Studi (LEDPS) — Lampiran 2 Peraturan LAM Teknik Nomor 5 Tahun 2025</w:t>
      </w:r>
    </w:p>
    <w:p/>
    <w:p>
      <w:pPr>
        <w:spacing w:after="120"/>
      </w:pPr>
      <w:r>
        <w:rPr>
          <w:b w:val="0"/>
          <w:i w:val="0"/>
        </w:rPr>
        <w:t>Dokumen yang dibandingkan: Standar Penjaminan Mutu Internal (SPMI) FTII UNISBANK (DRAFTFLLPembaharuanFTIIStandar Penjaminan Mutu Internal_fix_OKE.docx, ditetapkan 24 Desember 2024) — dibandingkan terhadap Kriteria C.7 Sistem Penjaminan Mutu pada panduan-penyusunan-led-instrumen-lam-teknik-2025pasca-akreditasi-pertama-dan-unggul.pdf (halaman 22-24). Berbeda dari Standar Visi Misi/Tata Kelola/Kerjasama/Kemahasiswaan yang sudah dipetakan dan dibuatkan draf versi Unggul pada bagian sebelumnya, Standar SPMI ini BELUM memiliki draf Unggul — analisis di bawah hanya menilai versi existing. Analisis disusun berdasarkan ekstraksi teks langsung dari dokumen, bukan ringkasan pihak ketiga.</w:t>
      </w:r>
    </w:p>
    <w:p>
      <w:pPr>
        <w:spacing w:before="280" w:after="120"/>
      </w:pPr>
      <w:r>
        <w:rPr>
          <w:b/>
          <w:sz w:val="26"/>
        </w:rPr>
        <w:t>A. RINGKASAN STATUS KEPATUHAN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r/>
            <w:r>
              <w:rPr>
                <w:b/>
                <w:sz w:val="19"/>
              </w:rPr>
              <w:t>Sub-Elemen Kriteria C.7 (LEDPS LAM Teknik)</w:t>
            </w:r>
          </w:p>
        </w:tc>
        <w:tc>
          <w:tcPr>
            <w:tcW w:type="dxa" w:w="2880"/>
            <w:shd w:val="clear" w:color="auto" w:fill="D9D9D9"/>
          </w:tcPr>
          <w:p>
            <w:r/>
            <w:r>
              <w:rPr>
                <w:b/>
                <w:sz w:val="19"/>
              </w:rPr>
              <w:t>Ketentuan yang Ditemukan pada Standar SPMI FTII</w:t>
            </w:r>
          </w:p>
        </w:tc>
        <w:tc>
          <w:tcPr>
            <w:tcW w:type="dxa" w:w="2880"/>
            <w:shd w:val="clear" w:color="auto" w:fill="D9D9D9"/>
          </w:tcPr>
          <w:p>
            <w:r/>
            <w:r>
              <w:rPr>
                <w:b/>
                <w:sz w:val="19"/>
              </w:rPr>
              <w:t>Status</w:t>
            </w:r>
          </w:p>
        </w:tc>
      </w:tr>
      <w:tr>
        <w:tc>
          <w:tcPr>
            <w:tcW w:type="dxa" w:w="2880"/>
          </w:tcPr>
          <w:p>
            <w:r/>
            <w:r>
              <w:rPr>
                <w:b w:val="0"/>
                <w:sz w:val="19"/>
              </w:rPr>
              <w:t>a.I.(1) Dokumen legal pembentukan unsur pelaksana penjaminan mutu</w:t>
            </w:r>
          </w:p>
        </w:tc>
        <w:tc>
          <w:tcPr>
            <w:tcW w:type="dxa" w:w="2880"/>
          </w:tcPr>
          <w:p>
            <w:r/>
            <w:r>
              <w:rPr>
                <w:b w:val="0"/>
                <w:sz w:val="19"/>
              </w:rPr>
              <w:t>DJM/UJM/GKM disebut sebagai organisasi pelaksana (Pernyataan Standar #3); Dokumen Terkait mencantumkan Kebijakan &amp; Standar SPMI, namun tidak ada IKU eksplisit 'SK pembentukan unit penjaminan mutu'</w:t>
            </w:r>
          </w:p>
        </w:tc>
        <w:tc>
          <w:tcPr>
            <w:tcW w:type="dxa" w:w="2880"/>
            <w:shd w:val="clear" w:color="auto" w:fill="FFE699"/>
          </w:tcPr>
          <w:p>
            <w:r/>
            <w:r>
              <w:rPr>
                <w:b w:val="0"/>
                <w:sz w:val="19"/>
              </w:rPr>
              <w:t>TERPENUHI SEBAGIAN</w:t>
            </w:r>
          </w:p>
        </w:tc>
      </w:tr>
      <w:tr>
        <w:tc>
          <w:tcPr>
            <w:tcW w:type="dxa" w:w="2880"/>
          </w:tcPr>
          <w:p>
            <w:r/>
            <w:r>
              <w:rPr>
                <w:b w:val="0"/>
                <w:sz w:val="19"/>
              </w:rPr>
              <w:t>a.I.(2) Dokumen legal independensi auditor</w:t>
            </w:r>
          </w:p>
        </w:tc>
        <w:tc>
          <w:tcPr>
            <w:tcW w:type="dxa" w:w="2880"/>
          </w:tcPr>
          <w:p>
            <w:r/>
            <w:r>
              <w:rPr>
                <w:b w:val="0"/>
                <w:sz w:val="19"/>
              </w:rPr>
              <w:t>Definisi 'Auditor Mutu Internal' hanya menyebut kompetensi &amp; penugasan resmi; IKU hanya 'SDM kompeten/Sertifikat Auditor Mutu' — independensi auditor TIDAK disebut eksplisit di manapun</w:t>
            </w:r>
          </w:p>
        </w:tc>
        <w:tc>
          <w:tcPr>
            <w:tcW w:type="dxa" w:w="2880"/>
            <w:shd w:val="clear" w:color="auto" w:fill="F8CBAD"/>
          </w:tcPr>
          <w:p>
            <w:r/>
            <w:r>
              <w:rPr>
                <w:b w:val="0"/>
                <w:sz w:val="19"/>
              </w:rPr>
              <w:t>BELUM TERPENUHI</w:t>
            </w:r>
          </w:p>
        </w:tc>
      </w:tr>
      <w:tr>
        <w:tc>
          <w:tcPr>
            <w:tcW w:type="dxa" w:w="2880"/>
          </w:tcPr>
          <w:p>
            <w:r/>
            <w:r>
              <w:rPr>
                <w:b w:val="0"/>
                <w:sz w:val="19"/>
              </w:rPr>
              <w:t>a.I.(3) Dokumen pelaksanaan Audit Mutu Internal (AMI)</w:t>
            </w:r>
          </w:p>
        </w:tc>
        <w:tc>
          <w:tcPr>
            <w:tcW w:type="dxa" w:w="2880"/>
          </w:tcPr>
          <w:p>
            <w:r/>
            <w:r>
              <w:rPr>
                <w:b w:val="0"/>
                <w:sz w:val="19"/>
              </w:rPr>
              <w:t>IKU eksplisit pada 3 tabel: 'Tersedia Laporan AMI', 'Tersedia Dokumen AMI setiap satu siklus PPEPP', 'Laporan AMI Akademik/Non-Akademik/Tata Pamong/Keuangan'</w:t>
            </w:r>
          </w:p>
        </w:tc>
        <w:tc>
          <w:tcPr>
            <w:tcW w:type="dxa" w:w="2880"/>
            <w:shd w:val="clear" w:color="auto" w:fill="C6E0B4"/>
          </w:tcPr>
          <w:p>
            <w:r/>
            <w:r>
              <w:rPr>
                <w:b w:val="0"/>
                <w:sz w:val="19"/>
              </w:rPr>
              <w:t>TERPENUHI PENUH</w:t>
            </w:r>
          </w:p>
        </w:tc>
      </w:tr>
      <w:tr>
        <w:tc>
          <w:tcPr>
            <w:tcW w:type="dxa" w:w="2880"/>
          </w:tcPr>
          <w:p>
            <w:r/>
            <w:r>
              <w:rPr>
                <w:b w:val="0"/>
                <w:sz w:val="19"/>
              </w:rPr>
              <w:t>a.I.(4) Dokumen Rapat Tinjauan Manajemen (RTM)</w:t>
            </w:r>
          </w:p>
        </w:tc>
        <w:tc>
          <w:tcPr>
            <w:tcW w:type="dxa" w:w="2880"/>
          </w:tcPr>
          <w:p>
            <w:r/>
            <w:r>
              <w:rPr>
                <w:b w:val="0"/>
                <w:sz w:val="19"/>
              </w:rPr>
              <w:t>IKU eksplisit: 'Tersedia Laporan RTM'; Pernyataan Standar #8 mewajibkan RTM berkala berdasarkan AMI &amp; monev</w:t>
            </w:r>
          </w:p>
        </w:tc>
        <w:tc>
          <w:tcPr>
            <w:tcW w:type="dxa" w:w="2880"/>
            <w:shd w:val="clear" w:color="auto" w:fill="C6E0B4"/>
          </w:tcPr>
          <w:p>
            <w:r/>
            <w:r>
              <w:rPr>
                <w:b w:val="0"/>
                <w:sz w:val="19"/>
              </w:rPr>
              <w:t>TERPENUHI PENUH</w:t>
            </w:r>
          </w:p>
        </w:tc>
      </w:tr>
      <w:tr>
        <w:tc>
          <w:tcPr>
            <w:tcW w:type="dxa" w:w="2880"/>
          </w:tcPr>
          <w:p>
            <w:r/>
            <w:r>
              <w:rPr>
                <w:b w:val="0"/>
                <w:sz w:val="19"/>
              </w:rPr>
              <w:t>a.II. Perangkat SPMI minimal (Kebijakan, Pedoman PPEPP, Standar, Tata cara pendokumentasian)</w:t>
            </w:r>
          </w:p>
        </w:tc>
        <w:tc>
          <w:tcPr>
            <w:tcW w:type="dxa" w:w="2880"/>
          </w:tcPr>
          <w:p>
            <w:r/>
            <w:r>
              <w:rPr>
                <w:b w:val="0"/>
                <w:sz w:val="19"/>
              </w:rPr>
              <w:t>Pernyataan Standar #1 eksplisit mewajibkan seluruh 4 unsur (bahkan menambah SOP sebagai unsur ke-5); IKU 'Tersedia perangkat SPMI meliputi Kebijakan/Pedoman PPEPP/Standar/Tata cara pendokumentasian'</w:t>
            </w:r>
          </w:p>
        </w:tc>
        <w:tc>
          <w:tcPr>
            <w:tcW w:type="dxa" w:w="2880"/>
            <w:shd w:val="clear" w:color="auto" w:fill="C6E0B4"/>
          </w:tcPr>
          <w:p>
            <w:r/>
            <w:r>
              <w:rPr>
                <w:b w:val="0"/>
                <w:sz w:val="19"/>
              </w:rPr>
              <w:t>TERPENUHI PENUH — melampaui (SOP tambahan)</w:t>
            </w:r>
          </w:p>
        </w:tc>
      </w:tr>
      <w:tr>
        <w:tc>
          <w:tcPr>
            <w:tcW w:type="dxa" w:w="2880"/>
          </w:tcPr>
          <w:p>
            <w:r/>
            <w:r>
              <w:rPr>
                <w:b w:val="0"/>
                <w:sz w:val="19"/>
              </w:rPr>
              <w:t>a.II. Pengakuan mutu eksternal (lembaga audit eksternal, akreditasi, sertifikasi)</w:t>
            </w:r>
          </w:p>
        </w:tc>
        <w:tc>
          <w:tcPr>
            <w:tcW w:type="dxa" w:w="2880"/>
          </w:tcPr>
          <w:p>
            <w:r/>
            <w:r>
              <w:rPr>
                <w:b w:val="0"/>
                <w:sz w:val="19"/>
              </w:rPr>
              <w:t>IKU 'Persentase program studi aktif yang terakreditasi = 100%' mencakup pengakuan akreditasi; pengakuan dari LEMBAGA AUDIT EKSTERNAL dan LEMBAGA SERTIFIKASI (mis. ISO) tidak disebut sama sekali</w:t>
            </w:r>
          </w:p>
        </w:tc>
        <w:tc>
          <w:tcPr>
            <w:tcW w:type="dxa" w:w="2880"/>
            <w:shd w:val="clear" w:color="auto" w:fill="FFE699"/>
          </w:tcPr>
          <w:p>
            <w:r/>
            <w:r>
              <w:rPr>
                <w:b w:val="0"/>
                <w:sz w:val="19"/>
              </w:rPr>
              <w:t>TERPENUHI SEBAGIAN</w:t>
            </w:r>
          </w:p>
        </w:tc>
      </w:tr>
      <w:tr>
        <w:tc>
          <w:tcPr>
            <w:tcW w:type="dxa" w:w="2880"/>
          </w:tcPr>
          <w:p>
            <w:r/>
            <w:r>
              <w:rPr>
                <w:b w:val="0"/>
                <w:sz w:val="19"/>
              </w:rPr>
              <w:t>b. Indikator Kinerja Tambahan (IKT) — 4 unsur (tujuan strategis, dampak terukur, daya saing internasional, dianalisis untuk perbaikan)</w:t>
            </w:r>
          </w:p>
        </w:tc>
        <w:tc>
          <w:tcPr>
            <w:tcW w:type="dxa" w:w="2880"/>
          </w:tcPr>
          <w:p>
            <w:r/>
            <w:r>
              <w:rPr>
                <w:b w:val="0"/>
                <w:sz w:val="19"/>
              </w:rPr>
              <w:t>Standar SPMI FTII HANYA memiliki bagian 'Indikator Kinerja Utama' (3 tabel: Tata Pamong, FTII, Universitas) TANPA bagian IKT terpisah; tidak ada indikator bertema 'daya saing internasional' pada penjaminan mutu</w:t>
            </w:r>
          </w:p>
        </w:tc>
        <w:tc>
          <w:tcPr>
            <w:tcW w:type="dxa" w:w="2880"/>
            <w:shd w:val="clear" w:color="auto" w:fill="F8CBAD"/>
          </w:tcPr>
          <w:p>
            <w:r/>
            <w:r>
              <w:rPr>
                <w:b w:val="0"/>
                <w:sz w:val="19"/>
              </w:rPr>
              <w:t>BELUM TERPENUHI — TIDAK DITEMUKAN</w:t>
            </w:r>
          </w:p>
        </w:tc>
      </w:tr>
      <w:tr>
        <w:tc>
          <w:tcPr>
            <w:tcW w:type="dxa" w:w="2880"/>
          </w:tcPr>
          <w:p>
            <w:r/>
            <w:r>
              <w:rPr>
                <w:b w:val="0"/>
                <w:sz w:val="19"/>
              </w:rPr>
              <w:t>c.(1) Dokumen IKU dan IKT Pendidikan, Penelitian, PkM tersedia</w:t>
            </w:r>
          </w:p>
        </w:tc>
        <w:tc>
          <w:tcPr>
            <w:tcW w:type="dxa" w:w="2880"/>
          </w:tcPr>
          <w:p>
            <w:r/>
            <w:r>
              <w:rPr>
                <w:b w:val="0"/>
                <w:sz w:val="19"/>
              </w:rPr>
              <w:t>Hanya tersirat via 'Laporan AMI Akademik' dan 'Laporan Monitoring Evaluasi Tridharma'; tidak ada IKU eksplisit yang menyatakan ketersediaan dokumen IKU/IKT per bidang Pendidikan/Penelitian/PkM sebagai syarat SPMI</w:t>
            </w:r>
          </w:p>
        </w:tc>
        <w:tc>
          <w:tcPr>
            <w:tcW w:type="dxa" w:w="2880"/>
            <w:shd w:val="clear" w:color="auto" w:fill="FFE699"/>
          </w:tcPr>
          <w:p>
            <w:r/>
            <w:r>
              <w:rPr>
                <w:b w:val="0"/>
                <w:sz w:val="19"/>
              </w:rPr>
              <w:t>TERPENUHI SEBAGIAN</w:t>
            </w:r>
          </w:p>
        </w:tc>
      </w:tr>
      <w:tr>
        <w:tc>
          <w:tcPr>
            <w:tcW w:type="dxa" w:w="2880"/>
          </w:tcPr>
          <w:p>
            <w:r/>
            <w:r>
              <w:rPr>
                <w:b w:val="0"/>
                <w:sz w:val="19"/>
              </w:rPr>
              <w:t>c.(2) Terlaksananya siklus PPEPP</w:t>
            </w:r>
          </w:p>
        </w:tc>
        <w:tc>
          <w:tcPr>
            <w:tcW w:type="dxa" w:w="2880"/>
          </w:tcPr>
          <w:p>
            <w:r/>
            <w:r>
              <w:rPr>
                <w:b w:val="0"/>
                <w:sz w:val="19"/>
              </w:rPr>
              <w:t>IKU eksplisit: 'Terlaksananya Implementasi siklus PPEPP'; Pernyataan Standar #4 merinci kelima tahap PPEPP</w:t>
            </w:r>
          </w:p>
        </w:tc>
        <w:tc>
          <w:tcPr>
            <w:tcW w:type="dxa" w:w="2880"/>
            <w:shd w:val="clear" w:color="auto" w:fill="C6E0B4"/>
          </w:tcPr>
          <w:p>
            <w:r/>
            <w:r>
              <w:rPr>
                <w:b w:val="0"/>
                <w:sz w:val="19"/>
              </w:rPr>
              <w:t>TERPENUHI PENUH</w:t>
            </w:r>
          </w:p>
        </w:tc>
      </w:tr>
      <w:tr>
        <w:tc>
          <w:tcPr>
            <w:tcW w:type="dxa" w:w="2880"/>
          </w:tcPr>
          <w:p>
            <w:r/>
            <w:r>
              <w:rPr>
                <w:b w:val="0"/>
                <w:sz w:val="19"/>
              </w:rPr>
              <w:t>c.(3) Bukti sahih efektivitas pelaksanaan penjaminan mutu</w:t>
            </w:r>
          </w:p>
        </w:tc>
        <w:tc>
          <w:tcPr>
            <w:tcW w:type="dxa" w:w="2880"/>
          </w:tcPr>
          <w:p>
            <w:r/>
            <w:r>
              <w:rPr>
                <w:b w:val="0"/>
                <w:sz w:val="19"/>
              </w:rPr>
              <w:t>Tersirat melalui kombinasi AMI + Monev + RTM, namun tidak ada IKU yang secara eksplisit mensyaratkan 'bukti sahih efektivitas' sebagai kriteria tersendiri</w:t>
            </w:r>
          </w:p>
        </w:tc>
        <w:tc>
          <w:tcPr>
            <w:tcW w:type="dxa" w:w="2880"/>
            <w:shd w:val="clear" w:color="auto" w:fill="FFE699"/>
          </w:tcPr>
          <w:p>
            <w:r/>
            <w:r>
              <w:rPr>
                <w:b w:val="0"/>
                <w:sz w:val="19"/>
              </w:rPr>
              <w:t>TERPENUHI SEBAGIAN</w:t>
            </w:r>
          </w:p>
        </w:tc>
      </w:tr>
      <w:tr>
        <w:tc>
          <w:tcPr>
            <w:tcW w:type="dxa" w:w="2880"/>
          </w:tcPr>
          <w:p>
            <w:r/>
            <w:r>
              <w:rPr>
                <w:b w:val="0"/>
                <w:sz w:val="19"/>
              </w:rPr>
              <w:t>c.(4) Bukti peningkatan standar</w:t>
            </w:r>
          </w:p>
        </w:tc>
        <w:tc>
          <w:tcPr>
            <w:tcW w:type="dxa" w:w="2880"/>
          </w:tcPr>
          <w:p>
            <w:r/>
            <w:r>
              <w:rPr>
                <w:b w:val="0"/>
                <w:sz w:val="19"/>
              </w:rPr>
              <w:t>Bagian 'Peningkatan Standar Penjaminan Mutu Internal' ada sebagai tanggung jawab prosedural (Pihak Bertanggungjawab #5, Strategi Pencapaian), namun TIDAK ada IKU yang mengukur/membuktikan bahwa standar benar-benar ditingkatkan (mis. jumlah revisi standar per siklus)</w:t>
            </w:r>
          </w:p>
        </w:tc>
        <w:tc>
          <w:tcPr>
            <w:tcW w:type="dxa" w:w="2880"/>
            <w:shd w:val="clear" w:color="auto" w:fill="F8CBAD"/>
          </w:tcPr>
          <w:p>
            <w:r/>
            <w:r>
              <w:rPr>
                <w:b w:val="0"/>
                <w:sz w:val="19"/>
              </w:rPr>
              <w:t>BELUM TERPENUHI</w:t>
            </w:r>
          </w:p>
        </w:tc>
      </w:tr>
      <w:tr>
        <w:tc>
          <w:tcPr>
            <w:tcW w:type="dxa" w:w="2880"/>
          </w:tcPr>
          <w:p>
            <w:r/>
            <w:r>
              <w:rPr>
                <w:b w:val="0"/>
                <w:sz w:val="19"/>
              </w:rPr>
              <w:t>d.(1) Metode tepat mengukur kinerja</w:t>
            </w:r>
          </w:p>
        </w:tc>
        <w:tc>
          <w:tcPr>
            <w:tcW w:type="dxa" w:w="2880"/>
          </w:tcPr>
          <w:p>
            <w:r/>
            <w:r>
              <w:rPr>
                <w:b w:val="0"/>
                <w:sz w:val="19"/>
              </w:rPr>
              <w:t>Monev dan AMI disebut berkala dan terdokumentasi, tetapi metode pengukuran kinerja itu sendiri (indikator, skala, prosedur analitis) tidak dirinci dalam Pernyataan Standar</w:t>
            </w:r>
          </w:p>
        </w:tc>
        <w:tc>
          <w:tcPr>
            <w:tcW w:type="dxa" w:w="2880"/>
            <w:shd w:val="clear" w:color="auto" w:fill="FFE699"/>
          </w:tcPr>
          <w:p>
            <w:r/>
            <w:r>
              <w:rPr>
                <w:b w:val="0"/>
                <w:sz w:val="19"/>
              </w:rPr>
              <w:t>TERPENUHI SEBAGIAN</w:t>
            </w:r>
          </w:p>
        </w:tc>
      </w:tr>
      <w:tr>
        <w:tc>
          <w:tcPr>
            <w:tcW w:type="dxa" w:w="2880"/>
          </w:tcPr>
          <w:p>
            <w:r/>
            <w:r>
              <w:rPr>
                <w:b w:val="0"/>
                <w:sz w:val="19"/>
              </w:rPr>
              <w:t>d.(2) Evaluasi indikator tidak tercapai dengan mencari AKAR MASALAH dan faktor pendukung ketercapaian</w:t>
            </w:r>
          </w:p>
        </w:tc>
        <w:tc>
          <w:tcPr>
            <w:tcW w:type="dxa" w:w="2880"/>
          </w:tcPr>
          <w:p>
            <w:r/>
            <w:r>
              <w:rPr>
                <w:b w:val="0"/>
                <w:sz w:val="19"/>
              </w:rPr>
              <w:t>TIDAK DITEMUKAN sama sekali. RTM (Pernyataan Standar #8) hanya disebut menetapkan 'tindakan koreksi, tindakan pencegahan, dan program peningkatan mutu' — dekat tapi TIDAK eksplisit mewajibkan analisis akar masalah/root-cause analysis atas indikator yang tidak tercapai</w:t>
            </w:r>
          </w:p>
        </w:tc>
        <w:tc>
          <w:tcPr>
            <w:tcW w:type="dxa" w:w="2880"/>
            <w:shd w:val="clear" w:color="auto" w:fill="F8CBAD"/>
          </w:tcPr>
          <w:p>
            <w:r/>
            <w:r>
              <w:rPr>
                <w:b w:val="0"/>
                <w:sz w:val="19"/>
              </w:rPr>
              <w:t>BELUM TERPENUHI — GAP KRITIS (lihat Bagian C)</w:t>
            </w:r>
          </w:p>
        </w:tc>
      </w:tr>
      <w:tr>
        <w:tc>
          <w:tcPr>
            <w:tcW w:type="dxa" w:w="2880"/>
          </w:tcPr>
          <w:p>
            <w:r/>
            <w:r>
              <w:rPr>
                <w:b w:val="0"/>
                <w:sz w:val="19"/>
              </w:rPr>
              <w:t>d.(3) Tinjauan rutin hasil pengukuran kinerja</w:t>
            </w:r>
          </w:p>
        </w:tc>
        <w:tc>
          <w:tcPr>
            <w:tcW w:type="dxa" w:w="2880"/>
          </w:tcPr>
          <w:p>
            <w:r/>
            <w:r>
              <w:rPr>
                <w:b w:val="0"/>
                <w:sz w:val="19"/>
              </w:rPr>
              <w:t>RTM dan Monev dilaksanakan 'secara berkala' (Pernyataan Standar #8, #9); IKU eksplisit 'Tersedia Laporan Monev' dan 'Tersedia Laporan RTM'</w:t>
            </w:r>
          </w:p>
        </w:tc>
        <w:tc>
          <w:tcPr>
            <w:tcW w:type="dxa" w:w="2880"/>
            <w:shd w:val="clear" w:color="auto" w:fill="C6E0B4"/>
          </w:tcPr>
          <w:p>
            <w:r/>
            <w:r>
              <w:rPr>
                <w:b w:val="0"/>
                <w:sz w:val="19"/>
              </w:rPr>
              <w:t>TERPENUHI PENUH</w:t>
            </w:r>
          </w:p>
        </w:tc>
      </w:tr>
      <w:tr>
        <w:tc>
          <w:tcPr>
            <w:tcW w:type="dxa" w:w="2880"/>
          </w:tcPr>
          <w:p>
            <w:r/>
            <w:r>
              <w:rPr>
                <w:b w:val="0"/>
                <w:sz w:val="19"/>
              </w:rPr>
              <w:t>d.(4) Menyebarluaskan hasil pengukuran kinerja kepada pemangku kepentingan</w:t>
            </w:r>
          </w:p>
        </w:tc>
        <w:tc>
          <w:tcPr>
            <w:tcW w:type="dxa" w:w="2880"/>
          </w:tcPr>
          <w:p>
            <w:r/>
            <w:r>
              <w:rPr>
                <w:b w:val="0"/>
                <w:sz w:val="19"/>
              </w:rPr>
              <w:t>Sosialisasi disebut untuk 'dokumen mutu' dan 'budaya mutu' (Pernyataan Standar #7), TETAPI tidak eksplisit menyebut penyebarluasan HASIL PENGUKURAN KINERJA sebagai kegiatan tersendiri</w:t>
            </w:r>
          </w:p>
        </w:tc>
        <w:tc>
          <w:tcPr>
            <w:tcW w:type="dxa" w:w="2880"/>
            <w:shd w:val="clear" w:color="auto" w:fill="FFE699"/>
          </w:tcPr>
          <w:p>
            <w:r/>
            <w:r>
              <w:rPr>
                <w:b w:val="0"/>
                <w:sz w:val="19"/>
              </w:rPr>
              <w:t>TERPENUHI SEBAGIAN</w:t>
            </w:r>
          </w:p>
        </w:tc>
      </w:tr>
      <w:tr>
        <w:tc>
          <w:tcPr>
            <w:tcW w:type="dxa" w:w="2880"/>
          </w:tcPr>
          <w:p>
            <w:r/>
            <w:r>
              <w:rPr>
                <w:b w:val="0"/>
                <w:sz w:val="19"/>
              </w:rPr>
              <w:t>e. Kepuasan Pemangku Kepentingan (mahasiswa, dosen, tendik, lulusan, pengguna, mitra industri, mitra lain) terhadap layanan manajemen</w:t>
            </w:r>
          </w:p>
        </w:tc>
        <w:tc>
          <w:tcPr>
            <w:tcW w:type="dxa" w:w="2880"/>
          </w:tcPr>
          <w:p>
            <w:r/>
            <w:r>
              <w:rPr>
                <w:b w:val="0"/>
                <w:sz w:val="19"/>
              </w:rPr>
              <w:t>TIDAK DITEMUKAN sama sekali pada Standar SPMI FTII — tidak ada pernyataan standar maupun IKU tentang survei/pengukuran kepuasan pemangku kepentingan terhadap layanan manajemen mutu</w:t>
            </w:r>
          </w:p>
        </w:tc>
        <w:tc>
          <w:tcPr>
            <w:tcW w:type="dxa" w:w="2880"/>
            <w:shd w:val="clear" w:color="auto" w:fill="F8CBAD"/>
          </w:tcPr>
          <w:p>
            <w:r/>
            <w:r>
              <w:rPr>
                <w:b w:val="0"/>
                <w:sz w:val="19"/>
              </w:rPr>
              <w:t>BELUM TERPENUHI — TIDAK DITEMUKAN</w:t>
            </w:r>
          </w:p>
        </w:tc>
      </w:tr>
      <w:tr>
        <w:tc>
          <w:tcPr>
            <w:tcW w:type="dxa" w:w="2880"/>
          </w:tcPr>
          <w:p>
            <w:r/>
            <w:r>
              <w:rPr>
                <w:b w:val="0"/>
                <w:sz w:val="19"/>
              </w:rPr>
              <w:t>4. Analisis Faktor Keberhasilan dan Penghambat Pelaksanaan SPMI</w:t>
            </w:r>
          </w:p>
        </w:tc>
        <w:tc>
          <w:tcPr>
            <w:tcW w:type="dxa" w:w="2880"/>
          </w:tcPr>
          <w:p>
            <w:r/>
            <w:r>
              <w:rPr>
                <w:b w:val="0"/>
                <w:sz w:val="19"/>
              </w:rPr>
              <w:t>TIDAK DITEMUKAN sebagai kewajiban/output tersendiri di manapun dalam standar ini</w:t>
            </w:r>
          </w:p>
        </w:tc>
        <w:tc>
          <w:tcPr>
            <w:tcW w:type="dxa" w:w="2880"/>
            <w:shd w:val="clear" w:color="auto" w:fill="F8CBAD"/>
          </w:tcPr>
          <w:p>
            <w:r/>
            <w:r>
              <w:rPr>
                <w:b w:val="0"/>
                <w:sz w:val="19"/>
              </w:rPr>
              <w:t>BELUM TERPENUHI — TIDAK DITEMUKAN</w:t>
            </w:r>
          </w:p>
        </w:tc>
      </w:tr>
      <w:tr>
        <w:tc>
          <w:tcPr>
            <w:tcW w:type="dxa" w:w="2880"/>
          </w:tcPr>
          <w:p>
            <w:r/>
            <w:r>
              <w:rPr>
                <w:b w:val="0"/>
                <w:sz w:val="19"/>
              </w:rPr>
              <w:t>5. Strategi perbaikan dan pengembangan (SWOT)</w:t>
            </w:r>
          </w:p>
        </w:tc>
        <w:tc>
          <w:tcPr>
            <w:tcW w:type="dxa" w:w="2880"/>
          </w:tcPr>
          <w:p>
            <w:r/>
            <w:r>
              <w:rPr>
                <w:b w:val="0"/>
                <w:sz w:val="19"/>
              </w:rPr>
              <w:t>Kata 'SWOT' TIDAK MUNCUL SAMA SEKALI pada seluruh isi Standar SPMI FTII (berbeda dari Standar Visi Misi yang setidaknya mendefinisikan &amp; mewajibkan SWOT pada tahap penyusunan)</w:t>
            </w:r>
          </w:p>
        </w:tc>
        <w:tc>
          <w:tcPr>
            <w:tcW w:type="dxa" w:w="2880"/>
            <w:shd w:val="clear" w:color="auto" w:fill="F8CBAD"/>
          </w:tcPr>
          <w:p>
            <w:r/>
            <w:r>
              <w:rPr>
                <w:b w:val="0"/>
                <w:sz w:val="19"/>
              </w:rPr>
              <w:t>BELUM TERPENUHI — TIDAK DITEMUKAN</w:t>
            </w:r>
          </w:p>
        </w:tc>
      </w:tr>
    </w:tbl>
    <w:p/>
    <w:p>
      <w:pPr>
        <w:spacing w:before="280" w:after="120"/>
      </w:pPr>
      <w:r>
        <w:rPr>
          <w:b/>
          <w:sz w:val="26"/>
        </w:rPr>
        <w:t>B. PEMBAHASAN DETAIL</w:t>
      </w:r>
    </w:p>
    <w:p>
      <w:pPr>
        <w:spacing w:after="120"/>
      </w:pPr>
      <w:r>
        <w:rPr>
          <w:b/>
          <w:i w:val="0"/>
        </w:rPr>
        <w:t>Keberadaan Unit Penjaminan Mutu dan Komitmen Pimpinan</w:t>
      </w:r>
    </w:p>
    <w:p>
      <w:pPr>
        <w:spacing w:after="120"/>
      </w:pPr>
      <w:r>
        <w:rPr>
          <w:b w:val="0"/>
          <w:i w:val="0"/>
        </w:rPr>
        <w:t>Standar SPMI FTII secara konsisten menyebut struktur tiga lapis DJM (universitas) - UJM (fakultas) - GKM (program studi) sebagai organisasi pelaksana penjaminan mutu, dan memiliki IKU eksplisit untuk dokumen AMI dan RTM. Namun dua sub-unsur LED tidak terpenuhi penuh: pertama, tidak ada IKU yang secara spesifik menyatakan 'tersedia SK/dokumen legal pembentukan unit penjaminan mutu' — organisasi DJM/UJM/GKM diasumsikan sudah eksis tanpa bukti formal pembentukan yang diukur sebagai indikator kinerja. Kedua, dan lebih signifikan, ASPEK INDEPENDENSI AUDITOR — yang secara eksplisit disyaratkan LED sebagai salah satu dari 4 aspek penilaian — sama sekali tidak disinggung. Definisi 'Auditor Mutu Internal' pada standar ini hanya menekankan kompetensi dan penugasan resmi, bukan independensi dari unit yang diaudit.</w:t>
      </w:r>
    </w:p>
    <w:p>
      <w:pPr>
        <w:spacing w:after="120"/>
      </w:pPr>
      <w:r>
        <w:rPr>
          <w:b/>
          <w:i w:val="0"/>
        </w:rPr>
        <w:t>Perangkat SPMI dan Pengakuan Mutu Eksternal</w:t>
      </w:r>
    </w:p>
    <w:p>
      <w:pPr>
        <w:spacing w:after="120"/>
      </w:pPr>
      <w:r>
        <w:rPr>
          <w:b w:val="0"/>
          <w:i w:val="0"/>
        </w:rPr>
        <w:t>Ini adalah salah satu elemen dengan kepatuhan terbaik pada standar ini: Pernyataan Standar #1 secara verbatim mewajibkan keempat unsur perangkat SPMI yang diminta LED (Kebijakan SPMI, Pedoman PPEPP, Standar, tata cara pendokumentasian), bahkan menambahkan SOP sebagai unsur kelima. Namun pada sisi 'pengakuan mutu eksternal', standar ini hanya mencantumkan indikator akreditasi program studi (100% terakreditasi) — tidak ada indikator terkait pengakuan dari LEMBAGA AUDIT EKSTERNAL (mis. ISO 9001) atau LEMBAGA SERTIFIKASI lain di luar akreditasi program studi, padahal LED secara eksplisit meminta ketiga jenis pengakuan (audit eksternal, akreditasi, sertifikasi) sebagai satu paket bukti.</w:t>
      </w:r>
    </w:p>
    <w:p>
      <w:pPr>
        <w:spacing w:after="120"/>
      </w:pPr>
      <w:r>
        <w:rPr>
          <w:b/>
          <w:i w:val="0"/>
        </w:rPr>
        <w:t>Indikator Kinerja Tambahan (IKT)</w:t>
      </w:r>
    </w:p>
    <w:p>
      <w:pPr>
        <w:spacing w:after="120"/>
      </w:pPr>
      <w:r>
        <w:rPr>
          <w:b w:val="0"/>
          <w:i w:val="0"/>
        </w:rPr>
        <w:t>GAP STRUKTURAL: Standar SPMI FTII sama sekali tidak memiliki bagian 'Indikator Kinerja Tambahan' — berbeda dari Standar Kemahasiswaan dan Standar Luaran Pendidikan Unggul yang sudah memiliki IKT terpisah. Bagian 'Indikator Kinerja Utama' pada standar ini berisi tiga tabel (Tata Pamong 5 indikator, FTII 10 indikator, Universitas 7 indikator) yang seluruhnya bersifat administratif-kepatuhan ('tersedia'/'terlaksana'), tanpa satu pun indikator yang menunjukkan dimensi 'daya saing internasional' sebagaimana diminta LED sebagai salah satu dari 4 unsur wajib IKT.</w:t>
      </w:r>
    </w:p>
    <w:p>
      <w:pPr>
        <w:spacing w:after="120"/>
      </w:pPr>
      <w:r>
        <w:rPr>
          <w:b/>
          <w:i w:val="0"/>
        </w:rPr>
        <w:t>Keterlaksanaan Penjaminan Mutu dan Audit Mutu Internal</w:t>
      </w:r>
    </w:p>
    <w:p>
      <w:pPr>
        <w:spacing w:after="120"/>
      </w:pPr>
      <w:r>
        <w:rPr>
          <w:b w:val="0"/>
          <w:i w:val="0"/>
        </w:rPr>
        <w:t>Pelaksanaan siklus PPEPP terpenuhi penuh dengan IKU eksplisit dan pernyataan standar yang merinci kelima tahap. Namun dua sub-unsur (bukti sahih efektivitas dan bukti peningkatan standar) hanya terpenuhi secara implisit — standar ini mewajibkan PELAKSANAAN AMI/Monev/RTM secara prosedural, tetapi tidak mengukur HASIL/DAMPAK dari pelaksanaan tersebut (mis. tidak ada indikator 'jumlah standar yang direvisi berdasarkan hasil AMI per siklus' sebagai bukti konkret bahwa siklus peningkatan benar-benar terjadi, bukan sekadar administratif).</w:t>
      </w:r>
    </w:p>
    <w:p>
      <w:pPr>
        <w:spacing w:after="120"/>
      </w:pPr>
      <w:r>
        <w:rPr>
          <w:b/>
          <w:i w:val="0"/>
        </w:rPr>
        <w:t>Evaluasi Capaian Kinerja — Root-Cause Analysis sebagai Standar Payung</w:t>
      </w:r>
    </w:p>
    <w:p>
      <w:pPr>
        <w:spacing w:after="120"/>
      </w:pPr>
      <w:r>
        <w:rPr>
          <w:b w:val="0"/>
          <w:i w:val="0"/>
        </w:rPr>
        <w:t>Ini adalah temuan PALING PENTING dari pemetaan C.7, karena berkaitan langsung dengan pola gap yang berulang di seluruh pemetaan C.1 sampai C.6 sebelumnya (Visi Misi, Tata Kelola, Kerjasama, Kemahasiswaan, Pendidikan, Penelitian, PkM, SDM, Sarana-Prasarana) — yaitu TIDAK SATU PUN standar turunan tersebut mewajibkan 'Analisis Faktor Keberhasilan dan Penghambat' sebagai output tersendiri, dan SWOT hanya dipakai di tahap penyusunan awal, bukan siklus evaluasi berkala. Pemeriksaan langsung terhadap Standar SPMI FTII — yang seharusnya menjadi standar PAYUNG/meta yang mengatur siklus PPEPP bagi SEMUA standar lain — menunjukkan bahwa Standar SPMI ITU SENDIRI juga TIDAK mewajibkan mekanisme ini. Rapat Tinjauan Manajemen (RTM), yang menjadi forum evaluasi tertinggi dalam siklus PPEPP menurut standar ini, hanya dinyatakan 'menetapkan tindakan koreksi, tindakan pencegahan, dan program peningkatan mutu berkelanjutan' (Pernyataan Standar #8) — rumusan ini dekat secara semangat dengan 'evaluasi akar masalah' tetapi TIDAK secara eksplisit mewajibkan identifikasi akar masalah (root-cause analysis) atas indikator yang tidak tercapai, sebagaimana redaksi persis yang diminta LED pada unsur d.(2). Demikian pula, kata 'SWOT' tidak muncul sama sekali di seluruh isi Standar SPMI — bahkan Standar SPMI ini lebih lemah dari Standar Visi Misi FTII yang setidaknya sudah mendefinisikan dan mewajibkan SWOT (meski hanya di tahap penyusunan awal, bukan evaluasi berkala).</w:t>
      </w:r>
    </w:p>
    <w:p>
      <w:pPr>
        <w:spacing w:after="120"/>
      </w:pPr>
      <w:r>
        <w:rPr>
          <w:b/>
          <w:i w:val="0"/>
        </w:rPr>
        <w:t>Kepuasan Pemangku Kepentingan</w:t>
      </w:r>
    </w:p>
    <w:p>
      <w:pPr>
        <w:spacing w:after="120"/>
      </w:pPr>
      <w:r>
        <w:rPr>
          <w:b w:val="0"/>
          <w:i w:val="0"/>
        </w:rPr>
        <w:t>TIDAK DITEMUKAN sama sekali. Padahal unsur ini secara eksplisit diminta LED untuk mengukur kepuasan TUJUH kelompok pemangku kepentingan (mahasiswa, dosen, tenaga kependidikan, lulusan, pengguna, mitra industri, mitra lainnya) terhadap LAYANAN MANAJEMEN — bukan terhadap layanan akademik atau luaran pendidikan (yang sudah dicakup Standar Luaran Pendidikan pada Kriteria C.6). Ini adalah instrumen survei yang berbeda cakupannya dan belum ada padanannya di Standar SPMI FTII.</w:t>
      </w:r>
    </w:p>
    <w:p>
      <w:pPr>
        <w:spacing w:before="280" w:after="120"/>
      </w:pPr>
      <w:r>
        <w:rPr>
          <w:b/>
          <w:sz w:val="26"/>
        </w:rPr>
        <w:t>C. KESIMPULAN DAN REKOMENDASI</w:t>
      </w:r>
    </w:p>
    <w:p>
      <w:pPr>
        <w:spacing w:after="120"/>
      </w:pPr>
      <w:r>
        <w:rPr>
          <w:b w:val="0"/>
          <w:i w:val="0"/>
        </w:rPr>
        <w:t>Standar Penjaminan Mutu Internal FTII MEMENUHI PENUH unsur-unsur administratif-struktural Kriteria C.7 (perangkat SPMI lengkap, pelaksanaan AMI, RTM, dan siklus PPEPP terdokumentasi dengan baik dan bahkan melampaui tuntutan minimal pada beberapa unsur). Namun standar ini BELUM MEMENUHI unsur-unsur yang berkaitan dengan KEDALAMAN ANALITIS dan AKUNTABILITAS SUBSTANTIF dari sistem penjaminan mutu: independensi auditor, Indikator Kinerja Tambahan, root-cause analysis atas indikator tidak tercapai, kepuasan pemangku kepentingan terhadap layanan manajemen, Analisis Faktor Keberhasilan/Penghambat, dan SWOT berkala.</w:t>
      </w:r>
    </w:p>
    <w:p>
      <w:pPr>
        <w:spacing w:after="120"/>
      </w:pPr>
      <w:r>
        <w:rPr>
          <w:b w:val="0"/>
          <w:i w:val="0"/>
        </w:rPr>
        <w:t>SIMPULAN EKSPLISIT atas pertanyaan akar masalah pola gap yang berulang di C.1-C.6: berdasarkan pemeriksaan langsung terhadap Standar SPMI FTII, DAPAT DISIMPULKAN bahwa gap 'Analisis Faktor Keberhasilan dan Penghambat' serta 'SWOT sebagai siklus evaluasi berkala' yang ditemukan berulang pada SEMUA standar turunan (C.1 Visi Misi, C.2 Tata Kelola/Kerjasama, C.3 Pendidikan/Penelitian/PkM, C.4 SDM, C.5 Sarana-Prasarana, C.6 Mahasiswa/Luaran) BUKAN semata-mata kegagalan masing-masing standar turunan dalam mematuhi mandat dari Standar SPMI induknya — MELAINKAN gap yang genuinely BERASAL DARI STANDAR SPMI ITU SENDIRI. Karena Standar SPMI, sebagai standar payung yang mendefinisikan siklus PPEPP bagi seluruh standar lain di FTII, tidak pernah mewajibkan root-cause analysis maupun SWOT berkala sebagai bagian formal dari RTM/AMI, maka wajar apabila tidak ada satu pun standar turunan yang memuatnya — mereka mewarisi kekosongan yang sama dari standar payungnya. Implikasinya: PERBAIKAN PALING EFISIEN bukan menambahkan ketentuan ini satu-per-satu di 9+ standar turunan, melainkan CUKUP MEREVISI STANDAR SPMI agar mewajibkan kedua mekanisme ini sebagai bagian wajib siklus PPEPP/RTM yang berlaku otomatis bagi seluruh standar di lingkungan FTII — sebuah perbaikan tunggal di level kebijakan yang akan mengalir ke seluruh sistem standar.</w:t>
      </w:r>
    </w:p>
    <w:p>
      <w:pPr>
        <w:pStyle w:val="ListNumber"/>
        <w:spacing w:after="120"/>
      </w:pPr>
      <w:r>
        <w:t>Menambahkan pernyataan standar baru pada Standar SPMI yang secara eksplisit mewajibkan setiap RTM memuat 'Analisis Faktor Keberhasilan dan Penghambat' atas setiap indikator kinerja yang tidak tercapai pada siklus evaluasi berjalan, mencakup identifikasi akar masalah dan faktor pendukung keberhasilan, berlaku bagi SEMUA standar turunan FTII tanpa terkecuali — ini akan otomatis menutup gap yang sama di C.1-C.6 sekaligus.</w:t>
      </w:r>
    </w:p>
    <w:p>
      <w:pPr>
        <w:pStyle w:val="ListNumber"/>
        <w:spacing w:after="120"/>
      </w:pPr>
      <w:r>
        <w:t>Menambahkan ketentuan bahwa analisis SWOT dilakukan bukan hanya pada tahap penyusunan/peninjauan awal standar, tetapi sebagai bagian tetap dari setiap siklus RTM tahunan, sebagai dasar Strategi Perbaikan dan Pengembangan Berkelanjutan yang diminta LED pada seluruh 7 kriteria.</w:t>
      </w:r>
    </w:p>
    <w:p>
      <w:pPr>
        <w:pStyle w:val="ListNumber"/>
        <w:spacing w:after="120"/>
      </w:pPr>
      <w:r>
        <w:t>Menambahkan pernyataan standar dan IKU tentang independensi auditor mutu internal (mis. auditor tidak boleh mengaudit unit kerjanya sendiri), untuk memenuhi unsur a.I.(2) Kriteria C.7.</w:t>
      </w:r>
    </w:p>
    <w:p>
      <w:pPr>
        <w:pStyle w:val="ListNumber"/>
        <w:spacing w:after="120"/>
      </w:pPr>
      <w:r>
        <w:t>Menyusun bagian Indikator Kinerja Tambahan (IKT) tersendiri pada Standar SPMI, memuat minimal satu indikator bertema daya saing internasional penjaminan mutu (mis. pengakuan/sertifikasi ISO, benchmarking sistem mutu dengan PT lain, keanggotaan asosiasi mutu internasional).</w:t>
      </w:r>
    </w:p>
    <w:p>
      <w:pPr>
        <w:pStyle w:val="ListNumber"/>
        <w:spacing w:after="120"/>
      </w:pPr>
      <w:r>
        <w:t>Menambahkan pernyataan standar tentang pengukuran kepuasan pemangku kepentingan (mahasiswa, dosen, tenaga kependidikan, lulusan, pengguna, mitra industri) terhadap LAYANAN MANAJEMEN mutu — dibedakan dari survei kepuasan pengguna lulusan yang sudah ada pada Standar Luaran Pendidikan.</w:t>
      </w:r>
    </w:p>
    <w:p>
      <w:pPr>
        <w:pStyle w:val="ListNumber"/>
        <w:spacing w:after="120"/>
      </w:pPr>
      <w:r>
        <w:t>Menambahkan IKU yang mengukur dampak/hasil siklus PPEPP secara konkret (mis. jumlah standar yang direvisi berdasarkan hasil AMI per siklus) sebagai bukti substantif peningkatan standar, bukan sekadar bukti pelaksanaan administratif.</w:t>
      </w:r>
    </w:p>
    <w:p>
      <w:pPr>
        <w:pStyle w:val="ListNumber"/>
        <w:spacing w:after="120"/>
      </w:pPr>
      <w:r>
        <w:t>Menambahkan cakupan pengakuan mutu eksternal di luar akreditasi program studi (audit eksternal, sertifikasi ISO/sejenis) pada bagian perangkat SPMI dan pengakuan mutu eksternal.</w:t>
      </w:r>
    </w:p>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