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PEMETAAN KEPATUHAN STANDAR SARANA, PRASARANA, DAN K3L FTII</w:t>
      </w:r>
    </w:p>
    <w:p>
      <w:pPr>
        <w:jc w:val="center"/>
      </w:pPr>
      <w:r>
        <w:rPr>
          <w:b/>
          <w:sz w:val="24"/>
        </w:rPr>
        <w:t>terhadap Kriteria C.5 Sarana, Prasarana, dan Keselamatan Kesehatan Kerja dan Lingkungan (K3L)</w:t>
      </w:r>
    </w:p>
    <w:p>
      <w:pPr>
        <w:jc w:val="center"/>
      </w:pPr>
      <w:r>
        <w:rPr>
          <w:b w:val="0"/>
          <w:sz w:val="22"/>
        </w:rPr>
        <w:t>Pedoman Penyusunan Laporan Evaluasi Diri Program Studi (LEDPS) — Lampiran 2 Peraturan LAM Teknik Nomor 5 Tahun 2025</w:t>
      </w:r>
    </w:p>
    <w:p/>
    <w:p>
      <w:pPr>
        <w:spacing w:after="120"/>
      </w:pPr>
      <w:r>
        <w:rPr>
          <w:b w:val="0"/>
          <w:i w:val="0"/>
        </w:rPr>
        <w:t>Catatan metodologis (riwayat pencarian dokumen sumber): Pencarian dokumen standar Sarana-Prasarana FTII awalnya mengarah ke seri 'Buku Standar Sarana dan Prasarana Pembelajaran/Penelitian/PkM.pdf' di folder referensispmi, namun dokumen-dokumen tersebut telah dikonfirmasi (pada pemetaan Kriteria C.4 sebelumnya) sebagai template Universitas Dian Nuswantoro, BUKAN dokumen FTII/UNISBANK — dokumen tersebut TIDAK dipakai. Sumber yang benar-benar relevan dan digunakan pada pemetaan ini adalah: (1) standarmasukanpendidikan.docx dan standarmasukanpendidikanunggul.docx di /home/ubuntu/, yang memuat bagian eksplisit 'C. Sarana dan Prasarana' dan 'D. Pembiayaan' — dibaca lengkap beserta tabel IKU/IKT 27 baris; dan (2) DRAFTFLLPembaharuanFTIIStandar kemahasiswaan_fix_OKe.docx untuk unsur sarana-prasarana NON-akademik (kesehatan, konseling, karier), yang ternyata diatur sebagai 'layanan kemahasiswaan' pada standar yang berbeda, bukan pada Standar Masukan Pendidikan. Dicek pula standarmasukanpenelitian(unggul).docx dan standarmasukanpkm(unggul).docx — tidak ditemukan pembahasan sarana-prasarana tambahan di luar yang sudah tercakup pada Standar Masukan Pendidikan.</w:t>
      </w:r>
    </w:p>
    <w:p>
      <w:pPr>
        <w:spacing w:before="280" w:after="120"/>
      </w:pPr>
      <w:r>
        <w:rPr>
          <w:b/>
          <w:sz w:val="26"/>
        </w:rPr>
        <w:t>A. RINGKASAN STATUS KEPATUHAN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Sub-Elemen C.5</w:t>
            </w:r>
          </w:p>
        </w:tc>
        <w:tc>
          <w:tcPr>
            <w:tcW w:type="dxa" w:w="2160"/>
            <w:shd w:val="clear" w:color="auto" w:fill="D9D9D9"/>
          </w:tcPr>
          <w:p>
            <w:r/>
            <w:r>
              <w:rPr>
                <w:b/>
                <w:sz w:val="19"/>
              </w:rPr>
              <w:t>Dokumen Sumber FTII</w:t>
            </w:r>
          </w:p>
        </w:tc>
        <w:tc>
          <w:tcPr>
            <w:tcW w:type="dxa" w:w="2160"/>
            <w:shd w:val="clear" w:color="auto" w:fill="D9D9D9"/>
          </w:tcPr>
          <w:p>
            <w:r/>
            <w:r>
              <w:rPr>
                <w:b/>
                <w:sz w:val="19"/>
              </w:rPr>
              <w:t>Ketentuan yang Ditemukan (ringkas)</w:t>
            </w:r>
          </w:p>
        </w:tc>
        <w:tc>
          <w:tcPr>
            <w:tcW w:type="dxa" w:w="2160"/>
            <w:shd w:val="clear" w:color="auto" w:fill="D9D9D9"/>
          </w:tcPr>
          <w:p>
            <w:r/>
            <w:r>
              <w:rPr>
                <w:b/>
                <w:sz w:val="19"/>
              </w:rPr>
              <w:t>Status</w:t>
            </w:r>
          </w:p>
        </w:tc>
      </w:tr>
      <w:tr>
        <w:tc>
          <w:tcPr>
            <w:tcW w:type="dxa" w:w="2160"/>
          </w:tcPr>
          <w:p>
            <w:r/>
            <w:r>
              <w:rPr>
                <w:b w:val="0"/>
                <w:sz w:val="19"/>
              </w:rPr>
              <w:t>a.I.1 Media pembelajaran, perangkat elektronik, alat praktik laboratorium</w:t>
            </w:r>
          </w:p>
        </w:tc>
        <w:tc>
          <w:tcPr>
            <w:tcW w:type="dxa" w:w="2160"/>
          </w:tcPr>
          <w:p>
            <w:r/>
            <w:r>
              <w:rPr>
                <w:b w:val="0"/>
                <w:sz w:val="19"/>
              </w:rPr>
              <w:t>Masukan Pendidikan Unggul</w:t>
            </w:r>
          </w:p>
        </w:tc>
        <w:tc>
          <w:tcPr>
            <w:tcW w:type="dxa" w:w="2160"/>
          </w:tcPr>
          <w:p>
            <w:r/>
            <w:r>
              <w:rPr>
                <w:b w:val="0"/>
                <w:sz w:val="19"/>
              </w:rPr>
              <w:t>Tidak ada IKU eksplisit untuk kecukupan media pembelajaran/perangkat elektronik/alat praktik; hanya SOP penggunaan laboratorium (K3L)</w:t>
            </w:r>
          </w:p>
        </w:tc>
        <w:tc>
          <w:tcPr>
            <w:tcW w:type="dxa" w:w="2160"/>
            <w:shd w:val="clear" w:color="auto" w:fill="F8CBAD"/>
          </w:tcPr>
          <w:p>
            <w:r/>
            <w:r>
              <w:rPr>
                <w:b w:val="0"/>
                <w:sz w:val="19"/>
              </w:rPr>
              <w:t>BELUM TERPENUHI</w:t>
            </w:r>
          </w:p>
        </w:tc>
      </w:tr>
      <w:tr>
        <w:tc>
          <w:tcPr>
            <w:tcW w:type="dxa" w:w="2160"/>
          </w:tcPr>
          <w:p>
            <w:r/>
            <w:r>
              <w:rPr>
                <w:b w:val="0"/>
                <w:sz w:val="19"/>
              </w:rPr>
              <w:t>a.I.2 Ruang kelas, laboratorium (sesuai panduan asosiasi prodi), perpustakaan</w:t>
            </w:r>
          </w:p>
        </w:tc>
        <w:tc>
          <w:tcPr>
            <w:tcW w:type="dxa" w:w="2160"/>
          </w:tcPr>
          <w:p>
            <w:r/>
            <w:r>
              <w:rPr>
                <w:b w:val="0"/>
                <w:sz w:val="19"/>
              </w:rPr>
              <w:t>Masukan Pendidikan Unggul</w:t>
            </w:r>
          </w:p>
        </w:tc>
        <w:tc>
          <w:tcPr>
            <w:tcW w:type="dxa" w:w="2160"/>
          </w:tcPr>
          <w:p>
            <w:r/>
            <w:r>
              <w:rPr>
                <w:b w:val="0"/>
                <w:sz w:val="19"/>
              </w:rPr>
              <w:t>Laboratorium disebut (SOP K3L); ruang kelas &amp; perpustakaan TIDAK disebut sama sekali</w:t>
            </w:r>
          </w:p>
        </w:tc>
        <w:tc>
          <w:tcPr>
            <w:tcW w:type="dxa" w:w="2160"/>
            <w:shd w:val="clear" w:color="auto" w:fill="FFE699"/>
          </w:tcPr>
          <w:p>
            <w:r/>
            <w:r>
              <w:rPr>
                <w:b w:val="0"/>
                <w:sz w:val="19"/>
              </w:rPr>
              <w:t>TERPENUHI SEBAGIAN — lab saja, tanpa ruang kelas/perpustakaan</w:t>
            </w:r>
          </w:p>
        </w:tc>
      </w:tr>
      <w:tr>
        <w:tc>
          <w:tcPr>
            <w:tcW w:type="dxa" w:w="2160"/>
          </w:tcPr>
          <w:p>
            <w:r/>
            <w:r>
              <w:rPr>
                <w:b w:val="0"/>
                <w:sz w:val="19"/>
              </w:rPr>
              <w:t>a.I.3 Kelayakan sarana-prasarana akademik</w:t>
            </w:r>
          </w:p>
        </w:tc>
        <w:tc>
          <w:tcPr>
            <w:tcW w:type="dxa" w:w="2160"/>
          </w:tcPr>
          <w:p>
            <w:r/>
            <w:r>
              <w:rPr>
                <w:b w:val="0"/>
                <w:sz w:val="19"/>
              </w:rPr>
              <w:t>Masukan Pendidikan Unggul</w:t>
            </w:r>
          </w:p>
        </w:tc>
        <w:tc>
          <w:tcPr>
            <w:tcW w:type="dxa" w:w="2160"/>
          </w:tcPr>
          <w:p>
            <w:r/>
            <w:r>
              <w:rPr>
                <w:b w:val="0"/>
                <w:sz w:val="19"/>
              </w:rPr>
              <w:t>IKU 19 (IKT): 'Ketersediaan SOP K3L laboratorium' mencakup 'evaluasi kelayakan berkala' — tapi khusus lab, bukan sarana akademik secara umum</w:t>
            </w:r>
          </w:p>
        </w:tc>
        <w:tc>
          <w:tcPr>
            <w:tcW w:type="dxa" w:w="2160"/>
            <w:shd w:val="clear" w:color="auto" w:fill="FFE699"/>
          </w:tcPr>
          <w:p>
            <w:r/>
            <w:r>
              <w:rPr>
                <w:b w:val="0"/>
                <w:sz w:val="19"/>
              </w:rPr>
              <w:t>TERPENUHI SEBAGIAN</w:t>
            </w:r>
          </w:p>
        </w:tc>
      </w:tr>
      <w:tr>
        <w:tc>
          <w:tcPr>
            <w:tcW w:type="dxa" w:w="2160"/>
          </w:tcPr>
          <w:p>
            <w:r/>
            <w:r>
              <w:rPr>
                <w:b w:val="0"/>
                <w:sz w:val="19"/>
              </w:rPr>
              <w:t>a.I.4 Kemudahan akses sarana-prasarana akademik</w:t>
            </w:r>
          </w:p>
        </w:tc>
        <w:tc>
          <w:tcPr>
            <w:tcW w:type="dxa" w:w="2160"/>
          </w:tcPr>
          <w:p>
            <w:r/>
            <w:r>
              <w:rPr>
                <w:b w:val="0"/>
                <w:sz w:val="19"/>
              </w:rPr>
              <w:t>Masukan Pendidikan Unggul</w:t>
            </w:r>
          </w:p>
        </w:tc>
        <w:tc>
          <w:tcPr>
            <w:tcW w:type="dxa" w:w="2160"/>
          </w:tcPr>
          <w:p>
            <w:r/>
            <w:r>
              <w:rPr>
                <w:b w:val="0"/>
                <w:sz w:val="19"/>
              </w:rPr>
              <w:t>IKU 20: 'Pemenuhan sistem informasi terintegrasi' 100% — ini akses ke SISTEM INFORMASI, bukan akses fisik ke gedung/lab/kelas</w:t>
            </w:r>
          </w:p>
        </w:tc>
        <w:tc>
          <w:tcPr>
            <w:tcW w:type="dxa" w:w="2160"/>
            <w:shd w:val="clear" w:color="auto" w:fill="F8CBAD"/>
          </w:tcPr>
          <w:p>
            <w:r/>
            <w:r>
              <w:rPr>
                <w:b w:val="0"/>
                <w:sz w:val="19"/>
              </w:rPr>
              <w:t>BELUM TERPENUHI — gap penafsiran akses fisik vs akses sistem</w:t>
            </w:r>
          </w:p>
        </w:tc>
      </w:tr>
      <w:tr>
        <w:tc>
          <w:tcPr>
            <w:tcW w:type="dxa" w:w="2160"/>
          </w:tcPr>
          <w:p>
            <w:r/>
            <w:r>
              <w:rPr>
                <w:b w:val="0"/>
                <w:sz w:val="19"/>
              </w:rPr>
              <w:t>a.II.1 Pusat kesehatan, layanan konseling, layanan karier, fasilitas ibadah</w:t>
            </w:r>
          </w:p>
        </w:tc>
        <w:tc>
          <w:tcPr>
            <w:tcW w:type="dxa" w:w="2160"/>
          </w:tcPr>
          <w:p>
            <w:r/>
            <w:r>
              <w:rPr>
                <w:b w:val="0"/>
                <w:sz w:val="19"/>
              </w:rPr>
              <w:t>Standar Kemahasiswaan (bukan Masukan Pendidikan)</w:t>
            </w:r>
          </w:p>
        </w:tc>
        <w:tc>
          <w:tcPr>
            <w:tcW w:type="dxa" w:w="2160"/>
          </w:tcPr>
          <w:p>
            <w:r/>
            <w:r>
              <w:rPr>
                <w:b w:val="0"/>
                <w:sz w:val="19"/>
              </w:rPr>
              <w:t>Kesehatan, konseling, dan bimbingan karier ADA (sebagai 'layanan kemahasiswaan', para 172/187/211-214); fasilitas ibadah TIDAK DITEMUKAN sama sekali di seluruh dokumen</w:t>
            </w:r>
          </w:p>
        </w:tc>
        <w:tc>
          <w:tcPr>
            <w:tcW w:type="dxa" w:w="2160"/>
            <w:shd w:val="clear" w:color="auto" w:fill="FFE699"/>
          </w:tcPr>
          <w:p>
            <w:r/>
            <w:r>
              <w:rPr>
                <w:b w:val="0"/>
                <w:sz w:val="19"/>
              </w:rPr>
              <w:t>TERPENUHI SEBAGIAN — 3 dari 4, lintas-standar, dan berupa layanan bukan spesifikasi fasilitas fisik</w:t>
            </w:r>
          </w:p>
        </w:tc>
      </w:tr>
      <w:tr>
        <w:tc>
          <w:tcPr>
            <w:tcW w:type="dxa" w:w="2160"/>
          </w:tcPr>
          <w:p>
            <w:r/>
            <w:r>
              <w:rPr>
                <w:b w:val="0"/>
                <w:sz w:val="19"/>
              </w:rPr>
              <w:t>a.II.2 Kelayakan sarana non-akademik</w:t>
            </w:r>
          </w:p>
        </w:tc>
        <w:tc>
          <w:tcPr>
            <w:tcW w:type="dxa" w:w="2160"/>
          </w:tcPr>
          <w:p>
            <w:r/>
            <w:r>
              <w:rPr>
                <w:b w:val="0"/>
                <w:sz w:val="19"/>
              </w:rPr>
              <w:t>Standar Kemahasiswaan</w:t>
            </w:r>
          </w:p>
        </w:tc>
        <w:tc>
          <w:tcPr>
            <w:tcW w:type="dxa" w:w="2160"/>
          </w:tcPr>
          <w:p>
            <w:r/>
            <w:r>
              <w:rPr>
                <w:b w:val="0"/>
                <w:sz w:val="19"/>
              </w:rPr>
              <w:t>Tidak ada IKU kelayakan fisik untuk pusat kesehatan/konseling/karier (hanya 'tersedianya sistem layanan')</w:t>
            </w:r>
          </w:p>
        </w:tc>
        <w:tc>
          <w:tcPr>
            <w:tcW w:type="dxa" w:w="2160"/>
            <w:shd w:val="clear" w:color="auto" w:fill="F8CBAD"/>
          </w:tcPr>
          <w:p>
            <w:r/>
            <w:r>
              <w:rPr>
                <w:b w:val="0"/>
                <w:sz w:val="19"/>
              </w:rPr>
              <w:t>BELUM TERPENUHI</w:t>
            </w:r>
          </w:p>
        </w:tc>
      </w:tr>
      <w:tr>
        <w:tc>
          <w:tcPr>
            <w:tcW w:type="dxa" w:w="2160"/>
          </w:tcPr>
          <w:p>
            <w:r/>
            <w:r>
              <w:rPr>
                <w:b w:val="0"/>
                <w:sz w:val="19"/>
              </w:rPr>
              <w:t>a.II.3 Kemudahan akses sarana non-akademik</w:t>
            </w:r>
          </w:p>
        </w:tc>
        <w:tc>
          <w:tcPr>
            <w:tcW w:type="dxa" w:w="2160"/>
          </w:tcPr>
          <w:p>
            <w:r/>
            <w:r>
              <w:rPr>
                <w:b w:val="0"/>
                <w:sz w:val="19"/>
              </w:rPr>
              <w:t>Standar Kemahasiswaan</w:t>
            </w:r>
          </w:p>
        </w:tc>
        <w:tc>
          <w:tcPr>
            <w:tcW w:type="dxa" w:w="2160"/>
          </w:tcPr>
          <w:p>
            <w:r/>
            <w:r>
              <w:rPr>
                <w:b w:val="0"/>
                <w:sz w:val="19"/>
              </w:rPr>
              <w:t>Tidak ditemukan indikator akses fisik/aksesibilitas terhadap fasilitas non-akademik</w:t>
            </w:r>
          </w:p>
        </w:tc>
        <w:tc>
          <w:tcPr>
            <w:tcW w:type="dxa" w:w="2160"/>
            <w:shd w:val="clear" w:color="auto" w:fill="F8CBAD"/>
          </w:tcPr>
          <w:p>
            <w:r/>
            <w:r>
              <w:rPr>
                <w:b w:val="0"/>
                <w:sz w:val="19"/>
              </w:rPr>
              <w:t>BELUM TERPENUHI</w:t>
            </w:r>
          </w:p>
        </w:tc>
      </w:tr>
      <w:tr>
        <w:tc>
          <w:tcPr>
            <w:tcW w:type="dxa" w:w="2160"/>
          </w:tcPr>
          <w:p>
            <w:r/>
            <w:r>
              <w:rPr>
                <w:b w:val="0"/>
                <w:sz w:val="19"/>
              </w:rPr>
              <w:t>b. K3L — kebijakan &amp; tata kelola (komitmen memenuhi peraturan K3L)</w:t>
            </w:r>
          </w:p>
        </w:tc>
        <w:tc>
          <w:tcPr>
            <w:tcW w:type="dxa" w:w="2160"/>
          </w:tcPr>
          <w:p>
            <w:r/>
            <w:r>
              <w:rPr>
                <w:b w:val="0"/>
                <w:sz w:val="19"/>
              </w:rPr>
              <w:t>Masukan Pendidikan Unggul</w:t>
            </w:r>
          </w:p>
        </w:tc>
        <w:tc>
          <w:tcPr>
            <w:tcW w:type="dxa" w:w="2160"/>
          </w:tcPr>
          <w:p>
            <w:r/>
            <w:r>
              <w:rPr>
                <w:b w:val="0"/>
                <w:sz w:val="19"/>
              </w:rPr>
              <w:t>Pernyataan Standar para 34: 'ruang laboratorium dilengkapi SOP penggunaan, pemeliharaan, evaluasi kelayakan berkala, dan sosialisasi K3L'</w:t>
            </w:r>
          </w:p>
        </w:tc>
        <w:tc>
          <w:tcPr>
            <w:tcW w:type="dxa" w:w="2160"/>
            <w:shd w:val="clear" w:color="auto" w:fill="C6E0B4"/>
          </w:tcPr>
          <w:p>
            <w:r/>
            <w:r>
              <w:rPr>
                <w:b w:val="0"/>
                <w:sz w:val="19"/>
              </w:rPr>
              <w:t>TERPENUHI — khusus lingkup laboratorium, belum lintas-kampus</w:t>
            </w:r>
          </w:p>
        </w:tc>
      </w:tr>
      <w:tr>
        <w:tc>
          <w:tcPr>
            <w:tcW w:type="dxa" w:w="2160"/>
          </w:tcPr>
          <w:p>
            <w:r/>
            <w:r>
              <w:rPr>
                <w:b w:val="0"/>
                <w:sz w:val="19"/>
              </w:rPr>
              <w:t>b. K3L — kecukupan &amp; mutu sarana K3L</w:t>
            </w:r>
          </w:p>
        </w:tc>
        <w:tc>
          <w:tcPr>
            <w:tcW w:type="dxa" w:w="2160"/>
          </w:tcPr>
          <w:p>
            <w:r/>
            <w:r>
              <w:rPr>
                <w:b w:val="0"/>
                <w:sz w:val="19"/>
              </w:rPr>
              <w:t>Masukan Pendidikan Unggul</w:t>
            </w:r>
          </w:p>
        </w:tc>
        <w:tc>
          <w:tcPr>
            <w:tcW w:type="dxa" w:w="2160"/>
          </w:tcPr>
          <w:p>
            <w:r/>
            <w:r>
              <w:rPr>
                <w:b w:val="0"/>
                <w:sz w:val="19"/>
              </w:rPr>
              <w:t>Tersirat dalam SOP pemeliharaan lab; tidak ada IKU terpisah untuk sarana K3L (APAR, jalur evakuasi, dsb.)</w:t>
            </w:r>
          </w:p>
        </w:tc>
        <w:tc>
          <w:tcPr>
            <w:tcW w:type="dxa" w:w="2160"/>
            <w:shd w:val="clear" w:color="auto" w:fill="FFE699"/>
          </w:tcPr>
          <w:p>
            <w:r/>
            <w:r>
              <w:rPr>
                <w:b w:val="0"/>
                <w:sz w:val="19"/>
              </w:rPr>
              <w:t>TERPENUHI SEBAGIAN</w:t>
            </w:r>
          </w:p>
        </w:tc>
      </w:tr>
      <w:tr>
        <w:tc>
          <w:tcPr>
            <w:tcW w:type="dxa" w:w="2160"/>
          </w:tcPr>
          <w:p>
            <w:r/>
            <w:r>
              <w:rPr>
                <w:b w:val="0"/>
                <w:sz w:val="19"/>
              </w:rPr>
              <w:t>b. K3L — bukti sahih pelaksanaan K3L</w:t>
            </w:r>
          </w:p>
        </w:tc>
        <w:tc>
          <w:tcPr>
            <w:tcW w:type="dxa" w:w="2160"/>
          </w:tcPr>
          <w:p>
            <w:r/>
            <w:r>
              <w:rPr>
                <w:b w:val="0"/>
                <w:sz w:val="19"/>
              </w:rPr>
              <w:t>Masukan Pendidikan Unggul</w:t>
            </w:r>
          </w:p>
        </w:tc>
        <w:tc>
          <w:tcPr>
            <w:tcW w:type="dxa" w:w="2160"/>
          </w:tcPr>
          <w:p>
            <w:r/>
            <w:r>
              <w:rPr>
                <w:b w:val="0"/>
                <w:sz w:val="19"/>
              </w:rPr>
              <w:t>IKU 19 (IKT): 'Ketersediaan SOP K3L laboratorium' — Status: Tersedia (2025/26-2027/28)</w:t>
            </w:r>
          </w:p>
        </w:tc>
        <w:tc>
          <w:tcPr>
            <w:tcW w:type="dxa" w:w="2160"/>
            <w:shd w:val="clear" w:color="auto" w:fill="C6E0B4"/>
          </w:tcPr>
          <w:p>
            <w:r/>
            <w:r>
              <w:rPr>
                <w:b w:val="0"/>
                <w:sz w:val="19"/>
              </w:rPr>
              <w:t>TERPENUHI — untuk lab</w:t>
            </w:r>
          </w:p>
        </w:tc>
      </w:tr>
      <w:tr>
        <w:tc>
          <w:tcPr>
            <w:tcW w:type="dxa" w:w="2160"/>
          </w:tcPr>
          <w:p>
            <w:r/>
            <w:r>
              <w:rPr>
                <w:b w:val="0"/>
                <w:sz w:val="19"/>
              </w:rPr>
              <w:t>b. K3L — tinjauan berkala K3L &amp; pelaksanaannya</w:t>
            </w:r>
          </w:p>
        </w:tc>
        <w:tc>
          <w:tcPr>
            <w:tcW w:type="dxa" w:w="2160"/>
          </w:tcPr>
          <w:p>
            <w:r/>
            <w:r>
              <w:rPr>
                <w:b w:val="0"/>
                <w:sz w:val="19"/>
              </w:rPr>
              <w:t>Masukan Pendidikan Unggul</w:t>
            </w:r>
          </w:p>
        </w:tc>
        <w:tc>
          <w:tcPr>
            <w:tcW w:type="dxa" w:w="2160"/>
          </w:tcPr>
          <w:p>
            <w:r/>
            <w:r>
              <w:rPr>
                <w:b w:val="0"/>
                <w:sz w:val="19"/>
              </w:rPr>
              <w:t>'Evaluasi kelayakan berkala' tercantum dalam Pernyataan Standar para 34, namun tidak ada IKU frekuensi eksplisit (mis. X kali/tahun) khusus K3L (berbeda dari AMI umum yang eksplisit ≥1 kali/tahun pada IKT No.26)</w:t>
            </w:r>
          </w:p>
        </w:tc>
        <w:tc>
          <w:tcPr>
            <w:tcW w:type="dxa" w:w="2160"/>
            <w:shd w:val="clear" w:color="auto" w:fill="FFE699"/>
          </w:tcPr>
          <w:p>
            <w:r/>
            <w:r>
              <w:rPr>
                <w:b w:val="0"/>
                <w:sz w:val="19"/>
              </w:rPr>
              <w:t>TERPENUHI SEBAGIAN</w:t>
            </w:r>
          </w:p>
        </w:tc>
      </w:tr>
      <w:tr>
        <w:tc>
          <w:tcPr>
            <w:tcW w:type="dxa" w:w="2160"/>
          </w:tcPr>
          <w:p>
            <w:r/>
            <w:r>
              <w:rPr>
                <w:b w:val="0"/>
                <w:sz w:val="19"/>
              </w:rPr>
              <w:t>4. Analisis Faktor Keberhasilan dan Penghambat</w:t>
            </w:r>
          </w:p>
        </w:tc>
        <w:tc>
          <w:tcPr>
            <w:tcW w:type="dxa" w:w="2160"/>
          </w:tcPr>
          <w:p>
            <w:r/>
            <w:r>
              <w:rPr>
                <w:b w:val="0"/>
                <w:sz w:val="19"/>
              </w:rPr>
              <w:t>Masukan Pendidikan Unggul &amp; Standar Kemahasiswaan</w:t>
            </w:r>
          </w:p>
        </w:tc>
        <w:tc>
          <w:tcPr>
            <w:tcW w:type="dxa" w:w="2160"/>
          </w:tcPr>
          <w:p>
            <w:r/>
            <w:r>
              <w:rPr>
                <w:b w:val="0"/>
                <w:sz w:val="19"/>
              </w:rPr>
              <w:t>Tidak ditemukan pernyataan standar yang mewajibkan output analisis akar masalah/faktor pendukung sebagai dokumen tersendiri</w:t>
            </w:r>
          </w:p>
        </w:tc>
        <w:tc>
          <w:tcPr>
            <w:tcW w:type="dxa" w:w="2160"/>
            <w:shd w:val="clear" w:color="auto" w:fill="F8CBAD"/>
          </w:tcPr>
          <w:p>
            <w:r/>
            <w:r>
              <w:rPr>
                <w:b w:val="0"/>
                <w:sz w:val="19"/>
              </w:rPr>
              <w:t>BELUM TERPENUHI</w:t>
            </w:r>
          </w:p>
        </w:tc>
      </w:tr>
      <w:tr>
        <w:tc>
          <w:tcPr>
            <w:tcW w:type="dxa" w:w="2160"/>
          </w:tcPr>
          <w:p>
            <w:r/>
            <w:r>
              <w:rPr>
                <w:b w:val="0"/>
                <w:sz w:val="19"/>
              </w:rPr>
              <w:t>5. Strategi Perbaikan &amp; Pengembangan (SWOT)</w:t>
            </w:r>
          </w:p>
        </w:tc>
        <w:tc>
          <w:tcPr>
            <w:tcW w:type="dxa" w:w="2160"/>
          </w:tcPr>
          <w:p>
            <w:r/>
            <w:r>
              <w:rPr>
                <w:b w:val="0"/>
                <w:sz w:val="19"/>
              </w:rPr>
              <w:t>Masukan Pendidikan Unggul &amp; Standar Kemahasiswaan</w:t>
            </w:r>
          </w:p>
        </w:tc>
        <w:tc>
          <w:tcPr>
            <w:tcW w:type="dxa" w:w="2160"/>
          </w:tcPr>
          <w:p>
            <w:r/>
            <w:r>
              <w:rPr>
                <w:b w:val="0"/>
                <w:sz w:val="19"/>
              </w:rPr>
              <w:t>Tidak ditemukan penyebutan analisis SWOT pada kedua dokumen</w:t>
            </w:r>
          </w:p>
        </w:tc>
        <w:tc>
          <w:tcPr>
            <w:tcW w:type="dxa" w:w="2160"/>
            <w:shd w:val="clear" w:color="auto" w:fill="F8CBAD"/>
          </w:tcPr>
          <w:p>
            <w:r/>
            <w:r>
              <w:rPr>
                <w:b w:val="0"/>
                <w:sz w:val="19"/>
              </w:rPr>
              <w:t>BELUM TERPENUHI</w:t>
            </w:r>
          </w:p>
        </w:tc>
      </w:tr>
    </w:tbl>
    <w:p/>
    <w:p>
      <w:pPr>
        <w:spacing w:before="280" w:after="120"/>
      </w:pPr>
      <w:r>
        <w:rPr>
          <w:b/>
          <w:sz w:val="26"/>
        </w:rPr>
        <w:t>B. PEMBAHASAN DETAIL</w:t>
      </w:r>
    </w:p>
    <w:p>
      <w:pPr>
        <w:spacing w:after="120"/>
      </w:pPr>
      <w:r>
        <w:rPr>
          <w:b/>
          <w:i w:val="0"/>
        </w:rPr>
        <w:t>Sarana Akademik: Media Pembelajaran, Laboratorium, Perpustakaan</w:t>
      </w:r>
    </w:p>
    <w:p>
      <w:pPr>
        <w:spacing w:after="120"/>
      </w:pPr>
      <w:r>
        <w:rPr>
          <w:b w:val="0"/>
          <w:i w:val="0"/>
        </w:rPr>
        <w:t>LED menuntut deskripsi kecukupan dan mutu 4 unsur sarana-prasarana akademik: (1) media pembelajaran, perangkat elektronik, alat praktik laboratorium; (2) ruang kelas, laboratorium, dan perpustakaan; (3) kelayakan; (4) kemudahan akses. Standar Masukan Pendidikan Unggul FTII memuat ketentuan sarana-prasarana pada Bagian C, namun cakupannya terbatas pada METRIK RUANG (rasio luas bangunan ≥2 m²/mahasiswa, rasio ruang dosen ≥4 m²/dosen) dan LABORATORIUM (SOP K3L). Tidak ada satu pun pernyataan standar atau IKU yang secara eksplisit mengatur kecukupan MEDIA PEMBELAJARAN, PERANGKAT ELEKTRONIK, atau PERPUSTAKAAN — padahal ketiganya adalah unsur inti penilaian LED. Ini adalah gap paling signifikan pada Kriteria C.5: FTII memiliki standar kuantitas ruang yang kuat, tetapi tidak memiliki standar kelengkapan isi/perlengkapan ruang tersebut.</w:t>
      </w:r>
    </w:p>
    <w:p>
      <w:pPr>
        <w:spacing w:after="120"/>
      </w:pPr>
      <w:r>
        <w:rPr>
          <w:b/>
          <w:i w:val="0"/>
        </w:rPr>
        <w:t>Kelayakan dan Akses Sarana Akademik</w:t>
      </w:r>
    </w:p>
    <w:p>
      <w:pPr>
        <w:spacing w:after="120"/>
      </w:pPr>
      <w:r>
        <w:rPr>
          <w:b w:val="0"/>
          <w:i w:val="0"/>
        </w:rPr>
        <w:t>Kelayakan sarana hanya tersirat pada IKT 'SOP K3L laboratorium' yang mencakup 'evaluasi kelayakan berkala' — namun ini spesifik untuk laboratorium, tidak mencakup kelayakan ruang kelas atau perpustakaan (yang bahkan tidak disebut). Untuk kemudahan akses, IKU 'Pemenuhan sistem informasi terintegrasi' (target 100%) hanya mengatur akses terhadap SISTEM INFORMASI administratif (akademik, keuangan, SDM, aset) — bukan aksesibilitas FISIK terhadap gedung, ruang kelas, atau laboratorium sebagaimana dimaksud LED. Kedua konsep 'akses' ini berbeda dan tidak boleh disamakan saat penyusunan narasi LED.</w:t>
      </w:r>
    </w:p>
    <w:p>
      <w:pPr>
        <w:spacing w:after="120"/>
      </w:pPr>
      <w:r>
        <w:rPr>
          <w:b/>
          <w:i w:val="0"/>
        </w:rPr>
        <w:t>Sarana Non-Akademik: Kesehatan, Konseling, Karier, Ibadah</w:t>
      </w:r>
    </w:p>
    <w:p>
      <w:pPr>
        <w:spacing w:after="120"/>
      </w:pPr>
      <w:r>
        <w:rPr>
          <w:b w:val="0"/>
          <w:i w:val="0"/>
        </w:rPr>
        <w:t>LED meminta deskripsi kecukupan-mutu sarana non-akademik: pusat kesehatan, layanan konseling, layanan karier, dan fasilitas ibadah. Ketentuan ini TIDAK ditemukan sama sekali pada Standar Masukan Pendidikan (yang berfokus akademik dan pembiayaan). Namun, penelusuran pada DRAFTFLLPembaharuanFTIIStandar kemahasiswaan_fix_OKe.docx menemukan bahwa layanan kesehatan mahasiswa, bimbingan dan konseling, serta bimbingan karier dan kewirausahaan SUDAH diatur — tetapi sebagai bagian dari 'Pelayanan Kemahasiswaan' (pasal 158, 172, 187, 211-214), bukan sebagai standar SARANA-PRASARANA fisik. Artinya, FTII mengatur keberadaan LAYANAN-nya, namun tidak mengatur kecukupan, kelayakan, dan kemudahan akses FASILITAS FISIKNYA (ruang klinik, ruang konseling, kantor pusat karier) sebagaimana dituntut LED Kriteria C.5. Untuk 'fasilitas ibadah', tidak ditemukan satu pun penyebutan pada Standar Kemahasiswaan maupun Standar Masukan Pendidikan — ini adalah gap total, satu-satunya dari empat unsur sarana non-akademik LED yang sama sekali tidak memiliki padanan pada dokumen FTII manapun yang diperiksa.</w:t>
      </w:r>
    </w:p>
    <w:p>
      <w:pPr>
        <w:spacing w:after="120"/>
      </w:pPr>
      <w:r>
        <w:rPr>
          <w:b/>
          <w:i w:val="0"/>
        </w:rPr>
        <w:t>Keselamatan, Kesehatan Kerja, dan Lingkungan (K3L)</w:t>
      </w:r>
    </w:p>
    <w:p>
      <w:pPr>
        <w:spacing w:after="120"/>
      </w:pPr>
      <w:r>
        <w:rPr>
          <w:b w:val="0"/>
          <w:i w:val="0"/>
        </w:rPr>
        <w:t>LED menuntut 4 unsur K3L: kebijakan/komitmen, kecukupan-mutu sarana K3L, bukti sahih pelaksanaan, dan tinjauan berkala. Standar Masukan Pendidikan Unggul FTII (Pernyataan Standar C, paragraf 34) menyatakan: 'FTII wajib menyediakan ruang laboratorium pembelajaran yang dilengkapi Standar Operasional Prosedur (SOP) penggunaan, pemeliharaan, evaluasi kelayakan berkala, dan sosialisasi Keselamatan, Kesehatan Kerja, dan Lindungan Lingkungan (K3L)' — rumusan ini secara tekstual mencakup KEEMPAT unsur LED sekaligus (kebijakan via SOP, kecukupan via pemeliharaan, bukti pelaksanaan via sosialisasi, tinjauan berkala via evaluasi kelayakan berkala), didukung IKT eksplisit 'Ketersediaan SOP K3L laboratorium' pada tabel IKU. Ini TERPENUHI dengan baik, namun cakupannya TERBATAS PADA LABORATORIUM PEMBELAJARAN SAJA. LED lazimnya menilai K3L pada skala kampus/institusi (termasuk gedung perkantoran, area umum, keselamatan kebakaran, keamanan kampus) — dimensi ini tidak tercakup dalam rumusan FTII saat ini. Tidak ada pula IKU frekuensi eksplisit (mis. 'evaluasi kelayakan K3L minimal 1 kali/tahun') sebagaimana polanya dijumpai pada indikator AMI umum (IKT No.26: 'Frekuensi monitoring, evaluasi, dan AMI ≥1 kali/tahun') — 'evaluasi kelayakan berkala' pada K3L tidak diberi angka frekuensi yang sama presisinya.</w:t>
      </w:r>
    </w:p>
    <w:p>
      <w:pPr>
        <w:spacing w:after="120"/>
      </w:pPr>
      <w:r>
        <w:rPr>
          <w:b/>
          <w:i w:val="0"/>
        </w:rPr>
        <w:t>Analisis Faktor Keberhasilan/Penghambat dan Strategi SWOT</w:t>
      </w:r>
    </w:p>
    <w:p>
      <w:pPr>
        <w:spacing w:after="120"/>
      </w:pPr>
      <w:r>
        <w:rPr>
          <w:b w:val="0"/>
          <w:i w:val="0"/>
        </w:rPr>
        <w:t>Konsisten dengan temuan pada pemetaan Kriteria C.1, C.2, C.3, dan C.4 sebelumnya, baik Standar Masukan Pendidikan Unggul maupun Standar Kemahasiswaan TIDAK memuat pernyataan standar yang mewajibkan output 'Analisis Faktor Keberhasilan dan Penghambat' sebagai dokumen tahunan tersendiri, maupun penggunaan analisis SWOT sebagai siklus evaluasi berkala untuk sarana-prasarana dan K3L. Pola ini menegaskan kembali bahwa gap tersebut bersifat SISTEMIK pada level kebijakan PPEPP Universitas/SPMI, bukan kekurangan pada satu standar tertentu.</w:t>
      </w:r>
    </w:p>
    <w:p>
      <w:pPr>
        <w:spacing w:before="280" w:after="120"/>
      </w:pPr>
      <w:r>
        <w:rPr>
          <w:b/>
          <w:sz w:val="26"/>
        </w:rPr>
        <w:t>C. KESIMPULAN DAN REKOMENDASI</w:t>
      </w:r>
    </w:p>
    <w:p>
      <w:pPr>
        <w:spacing w:after="120"/>
      </w:pPr>
      <w:r>
        <w:rPr>
          <w:b w:val="0"/>
          <w:i w:val="0"/>
        </w:rPr>
        <w:t>Standar Masukan Pendidikan Unggul FTII MEMENUHI SEBAGIAN pada Kriteria C.5, dengan kekuatan pada metrik kuantitas ruang (rasio luas bangunan dan ruang dosen, identik ambang praktik baik referensi) dan K3L laboratorium (mencakup keempat unsur LED, meski terbatas lingkup lab). Namun ditemukan sejumlah gap signifikan — terutama pada kelengkapan sarana akademik (media pembelajaran, perpustakaan), seluruh aspek sarana non-akademik (khususnya fasilitas ibadah yang gap total), dan cakupan K3L yang belum menjangkau skala kampus. Rekomendasi:</w:t>
      </w:r>
    </w:p>
    <w:p>
      <w:pPr>
        <w:pStyle w:val="ListNumber"/>
        <w:spacing w:after="120"/>
      </w:pPr>
      <w:r>
        <w:t>Tambahkan pernyataan standar dan IKU baru untuk kecukupan dan mutu media pembelajaran, perangkat elektronik, alat praktik laboratorium, ruang kelas, dan PERPUSTAKAAN pada Standar Masukan Pendidikan — saat ini hanya metrik luas ruang (m²) yang diatur, tanpa standar kelengkapan/isi ruang tersebut.</w:t>
      </w:r>
    </w:p>
    <w:p>
      <w:pPr>
        <w:pStyle w:val="ListNumber"/>
        <w:spacing w:after="120"/>
      </w:pPr>
      <w:r>
        <w:t>Susun standar sarana-prasarana FISIK tersendiri (atau tambahkan sub-bagian baru) untuk pusat kesehatan, ruang konseling, dan kantor pusat karier — saat ini Standar Kemahasiswaan hanya mengatur keberadaan LAYANANNYA, bukan kecukupan, kelayakan, dan aksesibilitas fasilitas fisiknya sebagaimana dituntut LED.</w:t>
      </w:r>
    </w:p>
    <w:p>
      <w:pPr>
        <w:pStyle w:val="ListNumber"/>
        <w:spacing w:after="120"/>
      </w:pPr>
      <w:r>
        <w:t>Tambahkan ketentuan fasilitas ibadah (ketersediaan, kelayakan, kemudahan akses) — ini satu-satunya unsur C.5 yang gap total, tidak ditemukan pada dokumen FTII manapun yang diperiksa.</w:t>
      </w:r>
    </w:p>
    <w:p>
      <w:pPr>
        <w:pStyle w:val="ListNumber"/>
        <w:spacing w:after="120"/>
      </w:pPr>
      <w:r>
        <w:t>Perluas cakupan K3L dari 'laboratorium pembelajaran saja' menjadi K3L tingkat kampus/institusi, mencakup keselamatan kebakaran, jalur evakuasi, keamanan kampus, dan area kerja non-laboratorium (kantor, ruang dosen, area umum), agar sejalan dengan cakupan LED yang bersifat institusional.</w:t>
      </w:r>
    </w:p>
    <w:p>
      <w:pPr>
        <w:pStyle w:val="ListNumber"/>
        <w:spacing w:after="120"/>
      </w:pPr>
      <w:r>
        <w:t>Tambahkan ambang frekuensi eksplisit untuk 'evaluasi kelayakan berkala K3L' (mis. minimal 1-2 kali/tahun), mengikuti presisi yang sudah diterapkan pada IKT frekuensi AMI umum (≥1 kali/tahun), agar dapat diverifikasi langsung saat audit.</w:t>
      </w:r>
    </w:p>
    <w:p>
      <w:pPr>
        <w:pStyle w:val="ListNumber"/>
        <w:spacing w:after="120"/>
      </w:pPr>
      <w:r>
        <w:t>Pisahkan secara eksplisit konsep 'akses sistem informasi' (administratif) dari 'akses fisik' terhadap gedung, ruang kelas, dan laboratorium pada IKU — keduanya saat ini bercampur dalam satu indikator 'Pemenuhan sistem informasi terintegrasi', padahal LED menilai keduanya sebagai aspek berbeda.</w:t>
      </w:r>
    </w:p>
    <w:p>
      <w:pPr>
        <w:pStyle w:val="ListNumber"/>
        <w:spacing w:after="120"/>
      </w:pPr>
      <w:r>
        <w:t>Tindak lanjuti gap sistemik 'Analisis Faktor Keberhasilan dan Penghambat' serta 'Strategi SWOT berkala' — konsisten ditemukan pada pemetaan Kriteria C.1 hingga C.5 — pada level kebijakan PPEPP Universitas, bukan ditambal satu per satu pada tiap standar turunan.</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