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KEPATUHAN STANDAR TATA KELOLA &amp; KERJASAMA FTII</w:t>
      </w:r>
    </w:p>
    <w:p>
      <w:pPr>
        <w:jc w:val="center"/>
      </w:pPr>
      <w:r>
        <w:rPr>
          <w:b/>
          <w:sz w:val="26"/>
        </w:rPr>
        <w:t>terhadap Kriteria C.2 Akuntabilitas</w:t>
      </w:r>
    </w:p>
    <w:p>
      <w:pPr>
        <w:jc w:val="center"/>
      </w:pPr>
      <w:r>
        <w:rPr>
          <w:b w:val="0"/>
          <w:sz w:val="22"/>
        </w:rPr>
        <w:t>Pedoman Penyusunan Laporan Evaluasi Diri Program Studi (LEDPS) — Lampiran 2 Peraturan LAM Teknik Nomor 5 Tahun 2025</w:t>
      </w:r>
    </w:p>
    <w:p/>
    <w:p>
      <w:pPr>
        <w:spacing w:after="120"/>
      </w:pPr>
      <w:r>
        <w:rPr>
          <w:b w:val="0"/>
          <w:i w:val="0"/>
        </w:rPr>
        <w:t>Dokumen yang dibandingkan: (1) Standar Tata Pamong, Tata Kelola FTII UNISBANK versi berlaku (DRAFTFLLPembaharuanFTIIStandar tata pamong , tata kelola_fix_OKE.docx); (2) draf Standar Tata Kelola Unggul FTII (Standar_Tata_Kelola_Unggul_FTII.docx); (3) Standar Kerjasama FTII UNISBANK versi berlaku (DRAFTFLLPembaharuanFTIIStandar kerjasama_fix_OKE.docx); (4) draf Standar Kerjasama Unggul FTII (Standar_Kerjasama_Unggul_FTII.docx) — dibandingkan terhadap Kriteria C.2 Akuntabilitas (Tata Pamong, Tata Kelola, Kerja Sama, dan Keuangan) pada panduan-penyusunan-led-instrumen-lam-teknik-2025-pasca-akreditasi-pertama-dan-unggul.pdf (halaman 6-9). Analisis disusun berdasarkan ekstraksi teks langsung dari keempat dokumen, bukan ringkasan pihak ketiga.</w:t>
      </w:r>
    </w:p>
    <w:p>
      <w:pPr>
        <w:spacing w:before="280" w:after="120"/>
      </w:pPr>
      <w:r>
        <w:rPr>
          <w:b/>
          <w:sz w:val="26"/>
        </w:rPr>
        <w:t>A. RINGKASAN STATUS KEPATUHAN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
              <w:rPr>
                <w:b/>
                <w:sz w:val="18"/>
              </w:rPr>
              <w:t>Elemen Kriteria C.2 (LEDPS LAM Teknik)</w:t>
            </w:r>
          </w:p>
        </w:tc>
        <w:tc>
          <w:tcPr>
            <w:tcW w:type="dxa" w:w="1440"/>
            <w:shd w:val="clear" w:color="auto" w:fill="D9D9D9"/>
          </w:tcPr>
          <w:p>
            <w:r/>
            <w:r>
              <w:rPr>
                <w:b/>
                <w:sz w:val="18"/>
              </w:rPr>
              <w:t>Tata Kelola existing</w:t>
            </w:r>
          </w:p>
        </w:tc>
        <w:tc>
          <w:tcPr>
            <w:tcW w:type="dxa" w:w="1440"/>
            <w:shd w:val="clear" w:color="auto" w:fill="D9D9D9"/>
          </w:tcPr>
          <w:p>
            <w:r/>
            <w:r>
              <w:rPr>
                <w:b/>
                <w:sz w:val="18"/>
              </w:rPr>
              <w:t>Tata Kelola Unggul</w:t>
            </w:r>
          </w:p>
        </w:tc>
        <w:tc>
          <w:tcPr>
            <w:tcW w:type="dxa" w:w="1440"/>
            <w:shd w:val="clear" w:color="auto" w:fill="D9D9D9"/>
          </w:tcPr>
          <w:p>
            <w:r/>
            <w:r>
              <w:rPr>
                <w:b/>
                <w:sz w:val="18"/>
              </w:rPr>
              <w:t>Kerjasama existing</w:t>
            </w:r>
          </w:p>
        </w:tc>
        <w:tc>
          <w:tcPr>
            <w:tcW w:type="dxa" w:w="1440"/>
            <w:shd w:val="clear" w:color="auto" w:fill="D9D9D9"/>
          </w:tcPr>
          <w:p>
            <w:r/>
            <w:r>
              <w:rPr>
                <w:b/>
                <w:sz w:val="18"/>
              </w:rPr>
              <w:t>Kerjasama Unggul</w:t>
            </w:r>
          </w:p>
        </w:tc>
        <w:tc>
          <w:tcPr>
            <w:tcW w:type="dxa" w:w="1440"/>
            <w:shd w:val="clear" w:color="auto" w:fill="D9D9D9"/>
          </w:tcPr>
          <w:p>
            <w:r/>
            <w:r>
              <w:rPr>
                <w:b/>
                <w:sz w:val="18"/>
              </w:rPr>
              <w:t>Status Akhir</w:t>
            </w:r>
          </w:p>
        </w:tc>
      </w:tr>
      <w:tr>
        <w:tc>
          <w:tcPr>
            <w:tcW w:type="dxa" w:w="1440"/>
          </w:tcPr>
          <w:p>
            <w:r/>
            <w:r>
              <w:rPr>
                <w:b w:val="0"/>
                <w:sz w:val="18"/>
              </w:rPr>
              <w:t>1. Latar Belakang (tata pamong/tata kelola, kerja sama, keuangan)</w:t>
            </w:r>
          </w:p>
        </w:tc>
        <w:tc>
          <w:tcPr>
            <w:tcW w:type="dxa" w:w="1440"/>
          </w:tcPr>
          <w:p>
            <w:r/>
            <w:r>
              <w:rPr>
                <w:b w:val="0"/>
                <w:sz w:val="18"/>
              </w:rPr>
              <w:t>Rasional kuat: tata pamong/tata kelola</w:t>
            </w:r>
          </w:p>
        </w:tc>
        <w:tc>
          <w:tcPr>
            <w:tcW w:type="dxa" w:w="1440"/>
          </w:tcPr>
          <w:p>
            <w:r/>
            <w:r>
              <w:rPr>
                <w:b w:val="0"/>
                <w:sz w:val="18"/>
              </w:rPr>
              <w:t>Tidak diubah</w:t>
            </w:r>
          </w:p>
        </w:tc>
        <w:tc>
          <w:tcPr>
            <w:tcW w:type="dxa" w:w="1440"/>
          </w:tcPr>
          <w:p>
            <w:r/>
            <w:r>
              <w:rPr>
                <w:b w:val="0"/>
                <w:sz w:val="18"/>
              </w:rPr>
              <w:t>Rasional kuat: kerja sama</w:t>
            </w:r>
          </w:p>
        </w:tc>
        <w:tc>
          <w:tcPr>
            <w:tcW w:type="dxa" w:w="1440"/>
          </w:tcPr>
          <w:p>
            <w:r/>
            <w:r>
              <w:rPr>
                <w:b w:val="0"/>
                <w:sz w:val="18"/>
              </w:rPr>
              <w:t>Tidak diubah</w:t>
            </w:r>
          </w:p>
        </w:tc>
        <w:tc>
          <w:tcPr>
            <w:tcW w:type="dxa" w:w="1440"/>
            <w:shd w:val="clear" w:color="auto" w:fill="FFE699"/>
          </w:tcPr>
          <w:p>
            <w:r/>
            <w:r>
              <w:rPr>
                <w:b w:val="0"/>
                <w:sz w:val="18"/>
              </w:rPr>
              <w:t>TERPENUHI SEBAGIAN — governance &amp; kerja sama kuat, rasional KEUANGAN tersendiri tidak ada</w:t>
            </w:r>
          </w:p>
        </w:tc>
      </w:tr>
      <w:tr>
        <w:tc>
          <w:tcPr>
            <w:tcW w:type="dxa" w:w="1440"/>
          </w:tcPr>
          <w:p>
            <w:r/>
            <w:r>
              <w:rPr>
                <w:b w:val="0"/>
                <w:sz w:val="18"/>
              </w:rPr>
              <w:t>2. Kebijakan (dokumen formal regulasi + PT)</w:t>
            </w:r>
          </w:p>
        </w:tc>
        <w:tc>
          <w:tcPr>
            <w:tcW w:type="dxa" w:w="1440"/>
          </w:tcPr>
          <w:p>
            <w:r/>
            <w:r>
              <w:rPr>
                <w:b w:val="0"/>
                <w:sz w:val="18"/>
              </w:rPr>
              <w:t>Acuan lengkap (UU/PP/Permendikbudristek/Statuta/Renstra)</w:t>
            </w:r>
          </w:p>
        </w:tc>
        <w:tc>
          <w:tcPr>
            <w:tcW w:type="dxa" w:w="1440"/>
          </w:tcPr>
          <w:p>
            <w:r/>
            <w:r>
              <w:rPr>
                <w:b w:val="0"/>
                <w:sz w:val="18"/>
              </w:rPr>
              <w:t>Tidak diubah</w:t>
            </w:r>
          </w:p>
        </w:tc>
        <w:tc>
          <w:tcPr>
            <w:tcW w:type="dxa" w:w="1440"/>
          </w:tcPr>
          <w:p>
            <w:r/>
            <w:r>
              <w:rPr>
                <w:b w:val="0"/>
                <w:sz w:val="18"/>
              </w:rPr>
              <w:t>Acuan lengkap serupa</w:t>
            </w:r>
          </w:p>
        </w:tc>
        <w:tc>
          <w:tcPr>
            <w:tcW w:type="dxa" w:w="1440"/>
          </w:tcPr>
          <w:p>
            <w:r/>
            <w:r>
              <w:rPr>
                <w:b w:val="0"/>
                <w:sz w:val="18"/>
              </w:rPr>
              <w:t>Tidak diubah</w:t>
            </w:r>
          </w:p>
        </w:tc>
        <w:tc>
          <w:tcPr>
            <w:tcW w:type="dxa" w:w="1440"/>
            <w:shd w:val="clear" w:color="auto" w:fill="C6E0B4"/>
          </w:tcPr>
          <w:p>
            <w:r/>
            <w:r>
              <w:rPr>
                <w:b w:val="0"/>
                <w:sz w:val="18"/>
              </w:rPr>
              <w:t>TERPENUHI untuk tata pamong &amp; kerja sama</w:t>
            </w:r>
          </w:p>
        </w:tc>
      </w:tr>
      <w:tr>
        <w:tc>
          <w:tcPr>
            <w:tcW w:type="dxa" w:w="1440"/>
          </w:tcPr>
          <w:p>
            <w:r/>
            <w:r>
              <w:rPr>
                <w:b w:val="0"/>
                <w:sz w:val="18"/>
              </w:rPr>
              <w:t>3a-i. Sistem Tata Pamong (struktur organisasi+kebijakan operasional; GUG efektif/transparan/akuntabel)</w:t>
            </w:r>
          </w:p>
        </w:tc>
        <w:tc>
          <w:tcPr>
            <w:tcW w:type="dxa" w:w="1440"/>
          </w:tcPr>
          <w:p>
            <w:r/>
            <w:r>
              <w:rPr>
                <w:b w:val="0"/>
                <w:sz w:val="18"/>
              </w:rPr>
              <w:t>Pernyataan #1-2 (Statuta/OTK) &amp; #4 (GUG 5 aspek)</w:t>
            </w:r>
          </w:p>
        </w:tc>
        <w:tc>
          <w:tcPr>
            <w:tcW w:type="dxa" w:w="1440"/>
          </w:tcPr>
          <w:p>
            <w:r/>
            <w:r>
              <w:rPr>
                <w:b w:val="0"/>
                <w:sz w:val="18"/>
              </w:rPr>
              <w:t>GUG diperluas 6 aspek (+manajemen risiko), IKU #1 &amp; #3 terukur (≥95%→100%, 6/6 aspek)</w:t>
            </w:r>
          </w:p>
        </w:tc>
        <w:tc>
          <w:tcPr>
            <w:tcW w:type="dxa" w:w="1440"/>
          </w:tcPr>
          <w:p>
            <w:r/>
            <w:r>
              <w:rPr>
                <w:b w:val="0"/>
                <w:sz w:val="18"/>
              </w:rPr>
              <w:t>N/A</w:t>
            </w:r>
          </w:p>
        </w:tc>
        <w:tc>
          <w:tcPr>
            <w:tcW w:type="dxa" w:w="1440"/>
          </w:tcPr>
          <w:p>
            <w:r/>
            <w:r>
              <w:rPr>
                <w:b w:val="0"/>
                <w:sz w:val="18"/>
              </w:rPr>
              <w:t>N/A</w:t>
            </w:r>
          </w:p>
        </w:tc>
        <w:tc>
          <w:tcPr>
            <w:tcW w:type="dxa" w:w="1440"/>
            <w:shd w:val="clear" w:color="auto" w:fill="C6E0B4"/>
          </w:tcPr>
          <w:p>
            <w:r/>
            <w:r>
              <w:rPr>
                <w:b w:val="0"/>
                <w:sz w:val="18"/>
              </w:rPr>
              <w:t>TERPENUHI PENUH pada draf Unggul</w:t>
            </w:r>
          </w:p>
        </w:tc>
      </w:tr>
      <w:tr>
        <w:tc>
          <w:tcPr>
            <w:tcW w:type="dxa" w:w="1440"/>
          </w:tcPr>
          <w:p>
            <w:r/>
            <w:r>
              <w:rPr>
                <w:b w:val="0"/>
                <w:sz w:val="18"/>
              </w:rPr>
              <w:t>3a-ii. Komitmen Pimpinan &amp; Kemampuan Manajerial (visi-tujuan, integritas/kode etik, SDM; kepemimpinan/keputusan/konflik)</w:t>
            </w:r>
          </w:p>
        </w:tc>
        <w:tc>
          <w:tcPr>
            <w:tcW w:type="dxa" w:w="1440"/>
          </w:tcPr>
          <w:p>
            <w:r/>
            <w:r>
              <w:rPr>
                <w:b w:val="0"/>
                <w:sz w:val="18"/>
              </w:rPr>
              <w:t>TIDAK ADA pernyataan standar eksplisit</w:t>
            </w:r>
          </w:p>
        </w:tc>
        <w:tc>
          <w:tcPr>
            <w:tcW w:type="dxa" w:w="1440"/>
          </w:tcPr>
          <w:p>
            <w:r/>
            <w:r>
              <w:rPr>
                <w:b w:val="0"/>
                <w:sz w:val="18"/>
              </w:rPr>
              <w:t>DITAMBAHKAN: Pernyataan Standar #3, IKU #4 (≥80%→≥90%)</w:t>
            </w:r>
          </w:p>
        </w:tc>
        <w:tc>
          <w:tcPr>
            <w:tcW w:type="dxa" w:w="1440"/>
          </w:tcPr>
          <w:p>
            <w:r/>
            <w:r>
              <w:rPr>
                <w:b w:val="0"/>
                <w:sz w:val="18"/>
              </w:rPr>
              <w:t>N/A</w:t>
            </w:r>
          </w:p>
        </w:tc>
        <w:tc>
          <w:tcPr>
            <w:tcW w:type="dxa" w:w="1440"/>
          </w:tcPr>
          <w:p>
            <w:r/>
            <w:r>
              <w:rPr>
                <w:b w:val="0"/>
                <w:sz w:val="18"/>
              </w:rPr>
              <w:t>N/A</w:t>
            </w:r>
          </w:p>
        </w:tc>
        <w:tc>
          <w:tcPr>
            <w:tcW w:type="dxa" w:w="1440"/>
            <w:shd w:val="clear" w:color="auto" w:fill="F8CBAD"/>
          </w:tcPr>
          <w:p>
            <w:r/>
            <w:r>
              <w:rPr>
                <w:b w:val="0"/>
                <w:sz w:val="18"/>
              </w:rPr>
              <w:t>existing: BELUM TERPENUHI; Unggul: TERPENUHI PENUH</w:t>
            </w:r>
          </w:p>
        </w:tc>
      </w:tr>
      <w:tr>
        <w:tc>
          <w:tcPr>
            <w:tcW w:type="dxa" w:w="1440"/>
          </w:tcPr>
          <w:p>
            <w:r/>
            <w:r>
              <w:rPr>
                <w:b w:val="0"/>
                <w:sz w:val="18"/>
              </w:rPr>
              <w:t>3b-i. Relevansi &amp; Tingkat Kerja sama (relevansi dgn visi keilmuan prodi; sebaran internasional/nasional/wilayah 3 tahun)</w:t>
            </w:r>
          </w:p>
        </w:tc>
        <w:tc>
          <w:tcPr>
            <w:tcW w:type="dxa" w:w="1440"/>
          </w:tcPr>
          <w:p>
            <w:r/>
            <w:r>
              <w:rPr>
                <w:b w:val="0"/>
                <w:sz w:val="18"/>
              </w:rPr>
              <w:t>N/A</w:t>
            </w:r>
          </w:p>
        </w:tc>
        <w:tc>
          <w:tcPr>
            <w:tcW w:type="dxa" w:w="1440"/>
          </w:tcPr>
          <w:p>
            <w:r/>
            <w:r>
              <w:rPr>
                <w:b w:val="0"/>
                <w:sz w:val="18"/>
              </w:rPr>
              <w:t>N/A</w:t>
            </w:r>
          </w:p>
        </w:tc>
        <w:tc>
          <w:tcPr>
            <w:tcW w:type="dxa" w:w="1440"/>
          </w:tcPr>
          <w:p>
            <w:r/>
            <w:r>
              <w:rPr>
                <w:b w:val="0"/>
                <w:sz w:val="18"/>
              </w:rPr>
              <w:t>IKU angka absolut per bidang/tingkat ADA; 'relevansi dgn visi keilmuan prodi' tidak eksplisit verbatim</w:t>
            </w:r>
          </w:p>
        </w:tc>
        <w:tc>
          <w:tcPr>
            <w:tcW w:type="dxa" w:w="1440"/>
          </w:tcPr>
          <w:p>
            <w:r/>
            <w:r>
              <w:rPr>
                <w:b w:val="0"/>
                <w:sz w:val="18"/>
              </w:rPr>
              <w:t>Ditambah rasio RK=NDTPS (≥3,5→≥4,0) sesuai formula LAM Teknik; relevansi keilmuan prodi tetap implisit</w:t>
            </w:r>
          </w:p>
        </w:tc>
        <w:tc>
          <w:tcPr>
            <w:tcW w:type="dxa" w:w="1440"/>
            <w:shd w:val="clear" w:color="auto" w:fill="FFE699"/>
          </w:tcPr>
          <w:p>
            <w:r/>
            <w:r>
              <w:rPr>
                <w:b w:val="0"/>
                <w:sz w:val="18"/>
              </w:rPr>
              <w:t>existing: TERPENUHI SEBAGIAN; Unggul: TERPENUHI SEBAGIAN (rasio ada, keterkaitan visi keilmuan prodi belum eksplisit)</w:t>
            </w:r>
          </w:p>
        </w:tc>
      </w:tr>
      <w:tr>
        <w:tc>
          <w:tcPr>
            <w:tcW w:type="dxa" w:w="1440"/>
          </w:tcPr>
          <w:p>
            <w:r/>
            <w:r>
              <w:rPr>
                <w:b w:val="0"/>
                <w:sz w:val="18"/>
              </w:rPr>
              <w:t>3b-ii. Pelaksanaan Kerja sama (3 aspek: manfaat prodi; kinerja tridharma &amp; fasilitas; kepuasan mitra)</w:t>
            </w:r>
          </w:p>
        </w:tc>
        <w:tc>
          <w:tcPr>
            <w:tcW w:type="dxa" w:w="1440"/>
          </w:tcPr>
          <w:p>
            <w:r/>
            <w:r>
              <w:rPr>
                <w:b w:val="0"/>
                <w:sz w:val="18"/>
              </w:rPr>
              <w:t>N/A</w:t>
            </w:r>
          </w:p>
        </w:tc>
        <w:tc>
          <w:tcPr>
            <w:tcW w:type="dxa" w:w="1440"/>
          </w:tcPr>
          <w:p>
            <w:r/>
            <w:r>
              <w:rPr>
                <w:b w:val="0"/>
                <w:sz w:val="18"/>
              </w:rPr>
              <w:t>N/A</w:t>
            </w:r>
          </w:p>
        </w:tc>
        <w:tc>
          <w:tcPr>
            <w:tcW w:type="dxa" w:w="1440"/>
          </w:tcPr>
          <w:p>
            <w:r/>
            <w:r>
              <w:rPr>
                <w:b w:val="0"/>
                <w:sz w:val="18"/>
              </w:rPr>
              <w:t>2 dari 3 aspek disebut; 'kepuasan mitra' TIDAK eksplisit, tidak ada IKU-nya</w:t>
            </w:r>
          </w:p>
        </w:tc>
        <w:tc>
          <w:tcPr>
            <w:tcW w:type="dxa" w:w="1440"/>
          </w:tcPr>
          <w:p>
            <w:r/>
            <w:r>
              <w:rPr>
                <w:b w:val="0"/>
                <w:sz w:val="18"/>
              </w:rPr>
              <w:t>Ketiga aspek verbatim + IKU #9 (persentase kerja sama dgn bukti sahih 3 aspek, ≥85%→≥95%)</w:t>
            </w:r>
          </w:p>
        </w:tc>
        <w:tc>
          <w:tcPr>
            <w:tcW w:type="dxa" w:w="1440"/>
            <w:shd w:val="clear" w:color="auto" w:fill="FFE699"/>
          </w:tcPr>
          <w:p>
            <w:r/>
            <w:r>
              <w:rPr>
                <w:b w:val="0"/>
                <w:sz w:val="18"/>
              </w:rPr>
              <w:t>existing: TERPENUHI SEBAGIAN; Unggul: TERPENUHI PENUH</w:t>
            </w:r>
          </w:p>
        </w:tc>
      </w:tr>
      <w:tr>
        <w:tc>
          <w:tcPr>
            <w:tcW w:type="dxa" w:w="1440"/>
          </w:tcPr>
          <w:p>
            <w:r/>
            <w:r>
              <w:rPr>
                <w:b w:val="0"/>
                <w:sz w:val="18"/>
              </w:rPr>
              <w:t>3c-i. Pengelolaan Keuangan (akuntabel/transparan/efektif/efisien)</w:t>
            </w:r>
          </w:p>
        </w:tc>
        <w:tc>
          <w:tcPr>
            <w:tcW w:type="dxa" w:w="1440"/>
          </w:tcPr>
          <w:p>
            <w:r/>
            <w:r>
              <w:rPr>
                <w:b w:val="0"/>
                <w:sz w:val="18"/>
              </w:rPr>
              <w:t>Pernyataan #15 + IKU #22, #24 (audit eksternal keuangan)</w:t>
            </w:r>
          </w:p>
        </w:tc>
        <w:tc>
          <w:tcPr>
            <w:tcW w:type="dxa" w:w="1440"/>
          </w:tcPr>
          <w:p>
            <w:r/>
            <w:r>
              <w:rPr>
                <w:b w:val="0"/>
                <w:sz w:val="18"/>
              </w:rPr>
              <w:t>Diperkuat: manajemen risiko keuangan terdokumentasi, tindak lanjut audit ≥90%</w:t>
            </w:r>
          </w:p>
        </w:tc>
        <w:tc>
          <w:tcPr>
            <w:tcW w:type="dxa" w:w="1440"/>
          </w:tcPr>
          <w:p>
            <w:r/>
            <w:r>
              <w:rPr>
                <w:b w:val="0"/>
                <w:sz w:val="18"/>
              </w:rPr>
              <w:t>N/A</w:t>
            </w:r>
          </w:p>
        </w:tc>
        <w:tc>
          <w:tcPr>
            <w:tcW w:type="dxa" w:w="1440"/>
          </w:tcPr>
          <w:p>
            <w:r/>
            <w:r>
              <w:rPr>
                <w:b w:val="0"/>
                <w:sz w:val="18"/>
              </w:rPr>
              <w:t>N/A</w:t>
            </w:r>
          </w:p>
        </w:tc>
        <w:tc>
          <w:tcPr>
            <w:tcW w:type="dxa" w:w="1440"/>
            <w:shd w:val="clear" w:color="auto" w:fill="C6E0B4"/>
          </w:tcPr>
          <w:p>
            <w:r/>
            <w:r>
              <w:rPr>
                <w:b w:val="0"/>
                <w:sz w:val="18"/>
              </w:rPr>
              <w:t>TERPENUHI (Tata Kelola), MELAMPAUI pada draf Unggul</w:t>
            </w:r>
          </w:p>
        </w:tc>
      </w:tr>
      <w:tr>
        <w:tc>
          <w:tcPr>
            <w:tcW w:type="dxa" w:w="1440"/>
          </w:tcPr>
          <w:p>
            <w:r/>
            <w:r>
              <w:rPr>
                <w:b w:val="0"/>
                <w:sz w:val="18"/>
              </w:rPr>
              <w:t>3c-ii. Biaya Operasional Pendidikan/mahasiswa/tahun</w:t>
            </w:r>
          </w:p>
        </w:tc>
        <w:tc>
          <w:tcPr>
            <w:tcW w:type="dxa" w:w="1440"/>
          </w:tcPr>
          <w:p>
            <w:r/>
            <w:r>
              <w:rPr>
                <w:b w:val="0"/>
                <w:sz w:val="18"/>
              </w:rPr>
              <w:t>TIDAK DITEMUKAN</w:t>
            </w:r>
          </w:p>
        </w:tc>
        <w:tc>
          <w:tcPr>
            <w:tcW w:type="dxa" w:w="1440"/>
          </w:tcPr>
          <w:p>
            <w:r/>
            <w:r>
              <w:rPr>
                <w:b w:val="0"/>
                <w:sz w:val="18"/>
              </w:rPr>
              <w:t>TIDAK DITEMUKAN</w:t>
            </w:r>
          </w:p>
        </w:tc>
        <w:tc>
          <w:tcPr>
            <w:tcW w:type="dxa" w:w="1440"/>
          </w:tcPr>
          <w:p>
            <w:r/>
            <w:r>
              <w:rPr>
                <w:b w:val="0"/>
                <w:sz w:val="18"/>
              </w:rPr>
              <w:t>TIDAK DITEMUKAN</w:t>
            </w:r>
          </w:p>
        </w:tc>
        <w:tc>
          <w:tcPr>
            <w:tcW w:type="dxa" w:w="1440"/>
          </w:tcPr>
          <w:p>
            <w:r/>
            <w:r>
              <w:rPr>
                <w:b w:val="0"/>
                <w:sz w:val="18"/>
              </w:rPr>
              <w:t>TIDAK DITEMUKAN</w:t>
            </w:r>
          </w:p>
        </w:tc>
        <w:tc>
          <w:tcPr>
            <w:tcW w:type="dxa" w:w="1440"/>
            <w:shd w:val="clear" w:color="auto" w:fill="D9D9D9"/>
          </w:tcPr>
          <w:p>
            <w:r/>
            <w:r>
              <w:rPr>
                <w:b w:val="0"/>
                <w:sz w:val="18"/>
              </w:rPr>
              <w:t>DI LUAR SCOPE kedua standar ini — kemungkinan diatur Buku Standar Pembiayaan Pembelajaran tersendiri</w:t>
            </w:r>
          </w:p>
        </w:tc>
      </w:tr>
      <w:tr>
        <w:tc>
          <w:tcPr>
            <w:tcW w:type="dxa" w:w="1440"/>
          </w:tcPr>
          <w:p>
            <w:r/>
            <w:r>
              <w:rPr>
                <w:b w:val="0"/>
                <w:sz w:val="18"/>
              </w:rPr>
              <w:t>3c-iii. Dana Penelitian DTPS/tahun</w:t>
            </w:r>
          </w:p>
        </w:tc>
        <w:tc>
          <w:tcPr>
            <w:tcW w:type="dxa" w:w="1440"/>
          </w:tcPr>
          <w:p>
            <w:r/>
            <w:r>
              <w:rPr>
                <w:b w:val="0"/>
                <w:sz w:val="18"/>
              </w:rPr>
              <w:t>TIDAK DITEMUKAN</w:t>
            </w:r>
          </w:p>
        </w:tc>
        <w:tc>
          <w:tcPr>
            <w:tcW w:type="dxa" w:w="1440"/>
          </w:tcPr>
          <w:p>
            <w:r/>
            <w:r>
              <w:rPr>
                <w:b w:val="0"/>
                <w:sz w:val="18"/>
              </w:rPr>
              <w:t>TIDAK DITEMUKAN</w:t>
            </w:r>
          </w:p>
        </w:tc>
        <w:tc>
          <w:tcPr>
            <w:tcW w:type="dxa" w:w="1440"/>
          </w:tcPr>
          <w:p>
            <w:r/>
            <w:r>
              <w:rPr>
                <w:b w:val="0"/>
                <w:sz w:val="18"/>
              </w:rPr>
              <w:t>TIDAK DITEMUKAN</w:t>
            </w:r>
          </w:p>
        </w:tc>
        <w:tc>
          <w:tcPr>
            <w:tcW w:type="dxa" w:w="1440"/>
          </w:tcPr>
          <w:p>
            <w:r/>
            <w:r>
              <w:rPr>
                <w:b w:val="0"/>
                <w:sz w:val="18"/>
              </w:rPr>
              <w:t>TIDAK DITEMUKAN</w:t>
            </w:r>
          </w:p>
        </w:tc>
        <w:tc>
          <w:tcPr>
            <w:tcW w:type="dxa" w:w="1440"/>
            <w:shd w:val="clear" w:color="auto" w:fill="D9D9D9"/>
          </w:tcPr>
          <w:p>
            <w:r/>
            <w:r>
              <w:rPr>
                <w:b w:val="0"/>
                <w:sz w:val="18"/>
              </w:rPr>
              <w:t>DI LUAR SCOPE — kemungkinan Buku Standar Pendanaan dan Pembiayaan Penelitian</w:t>
            </w:r>
          </w:p>
        </w:tc>
      </w:tr>
      <w:tr>
        <w:tc>
          <w:tcPr>
            <w:tcW w:type="dxa" w:w="1440"/>
          </w:tcPr>
          <w:p>
            <w:r/>
            <w:r>
              <w:rPr>
                <w:b w:val="0"/>
                <w:sz w:val="18"/>
              </w:rPr>
              <w:t>3c-iv. Dana PkM DTPS/tahun</w:t>
            </w:r>
          </w:p>
        </w:tc>
        <w:tc>
          <w:tcPr>
            <w:tcW w:type="dxa" w:w="1440"/>
          </w:tcPr>
          <w:p>
            <w:r/>
            <w:r>
              <w:rPr>
                <w:b w:val="0"/>
                <w:sz w:val="18"/>
              </w:rPr>
              <w:t>TIDAK DITEMUKAN</w:t>
            </w:r>
          </w:p>
        </w:tc>
        <w:tc>
          <w:tcPr>
            <w:tcW w:type="dxa" w:w="1440"/>
          </w:tcPr>
          <w:p>
            <w:r/>
            <w:r>
              <w:rPr>
                <w:b w:val="0"/>
                <w:sz w:val="18"/>
              </w:rPr>
              <w:t>TIDAK DITEMUKAN</w:t>
            </w:r>
          </w:p>
        </w:tc>
        <w:tc>
          <w:tcPr>
            <w:tcW w:type="dxa" w:w="1440"/>
          </w:tcPr>
          <w:p>
            <w:r/>
            <w:r>
              <w:rPr>
                <w:b w:val="0"/>
                <w:sz w:val="18"/>
              </w:rPr>
              <w:t>TIDAK DITEMUKAN</w:t>
            </w:r>
          </w:p>
        </w:tc>
        <w:tc>
          <w:tcPr>
            <w:tcW w:type="dxa" w:w="1440"/>
          </w:tcPr>
          <w:p>
            <w:r/>
            <w:r>
              <w:rPr>
                <w:b w:val="0"/>
                <w:sz w:val="18"/>
              </w:rPr>
              <w:t>TIDAK DITEMUKAN</w:t>
            </w:r>
          </w:p>
        </w:tc>
        <w:tc>
          <w:tcPr>
            <w:tcW w:type="dxa" w:w="1440"/>
            <w:shd w:val="clear" w:color="auto" w:fill="D9D9D9"/>
          </w:tcPr>
          <w:p>
            <w:r/>
            <w:r>
              <w:rPr>
                <w:b w:val="0"/>
                <w:sz w:val="18"/>
              </w:rPr>
              <w:t>DI LUAR SCOPE — kemungkinan Buku Standar Pendanaan dan Pembiayaan PkM</w:t>
            </w:r>
          </w:p>
        </w:tc>
      </w:tr>
      <w:tr>
        <w:tc>
          <w:tcPr>
            <w:tcW w:type="dxa" w:w="1440"/>
          </w:tcPr>
          <w:p>
            <w:r/>
            <w:r>
              <w:rPr>
                <w:b w:val="0"/>
                <w:sz w:val="18"/>
              </w:rPr>
              <w:t>4. Analisis Faktor Keberhasilan dan Penghambat (evaluasi berkala, akar masalah)</w:t>
            </w:r>
          </w:p>
        </w:tc>
        <w:tc>
          <w:tcPr>
            <w:tcW w:type="dxa" w:w="1440"/>
          </w:tcPr>
          <w:p>
            <w:r/>
            <w:r>
              <w:rPr>
                <w:b w:val="0"/>
                <w:sz w:val="18"/>
              </w:rPr>
              <w:t>TIDAK ADA</w:t>
            </w:r>
          </w:p>
        </w:tc>
        <w:tc>
          <w:tcPr>
            <w:tcW w:type="dxa" w:w="1440"/>
          </w:tcPr>
          <w:p>
            <w:r/>
            <w:r>
              <w:rPr>
                <w:b w:val="0"/>
                <w:sz w:val="18"/>
              </w:rPr>
              <w:t>Mekanisme Evaluasi (AMI/RTM/RTL) ADA, tapi belum wajibkan output 'analisis akar masalah' eksplisit</w:t>
            </w:r>
          </w:p>
        </w:tc>
        <w:tc>
          <w:tcPr>
            <w:tcW w:type="dxa" w:w="1440"/>
          </w:tcPr>
          <w:p>
            <w:r/>
            <w:r>
              <w:rPr>
                <w:b w:val="0"/>
                <w:sz w:val="18"/>
              </w:rPr>
              <w:t>TIDAK ADA</w:t>
            </w:r>
          </w:p>
        </w:tc>
        <w:tc>
          <w:tcPr>
            <w:tcW w:type="dxa" w:w="1440"/>
          </w:tcPr>
          <w:p>
            <w:r/>
            <w:r>
              <w:rPr>
                <w:b w:val="0"/>
                <w:sz w:val="18"/>
              </w:rPr>
              <w:t>Sama — mekanisme evaluasi ada, analisis akar masalah tidak eksplisit</w:t>
            </w:r>
          </w:p>
        </w:tc>
        <w:tc>
          <w:tcPr>
            <w:tcW w:type="dxa" w:w="1440"/>
            <w:shd w:val="clear" w:color="auto" w:fill="F8CBAD"/>
          </w:tcPr>
          <w:p>
            <w:r/>
            <w:r>
              <w:rPr>
                <w:b w:val="0"/>
                <w:sz w:val="18"/>
              </w:rPr>
              <w:t>BELUM TERPENUHI PENUH pada keempat dokumen</w:t>
            </w:r>
          </w:p>
        </w:tc>
      </w:tr>
      <w:tr>
        <w:tc>
          <w:tcPr>
            <w:tcW w:type="dxa" w:w="1440"/>
          </w:tcPr>
          <w:p>
            <w:r/>
            <w:r>
              <w:rPr>
                <w:b w:val="0"/>
                <w:sz w:val="18"/>
              </w:rPr>
              <w:t>5. Strategi Perbaikan &amp; Pengembangan Berkelanjutan (SWOT)</w:t>
            </w:r>
          </w:p>
        </w:tc>
        <w:tc>
          <w:tcPr>
            <w:tcW w:type="dxa" w:w="1440"/>
          </w:tcPr>
          <w:p>
            <w:r/>
            <w:r>
              <w:rPr>
                <w:b w:val="0"/>
                <w:sz w:val="18"/>
              </w:rPr>
              <w:t>TIDAK DITEMUKAN — tidak ada satupun penyebutan SWOT</w:t>
            </w:r>
          </w:p>
        </w:tc>
        <w:tc>
          <w:tcPr>
            <w:tcW w:type="dxa" w:w="1440"/>
          </w:tcPr>
          <w:p>
            <w:r/>
            <w:r>
              <w:rPr>
                <w:b w:val="0"/>
                <w:sz w:val="18"/>
              </w:rPr>
              <w:t>TIDAK DITEMUKAN — tidak ditambahkan pada revisi Unggul</w:t>
            </w:r>
          </w:p>
        </w:tc>
        <w:tc>
          <w:tcPr>
            <w:tcW w:type="dxa" w:w="1440"/>
          </w:tcPr>
          <w:p>
            <w:r/>
            <w:r>
              <w:rPr>
                <w:b w:val="0"/>
                <w:sz w:val="18"/>
              </w:rPr>
              <w:t>TIDAK DITEMUKAN</w:t>
            </w:r>
          </w:p>
        </w:tc>
        <w:tc>
          <w:tcPr>
            <w:tcW w:type="dxa" w:w="1440"/>
          </w:tcPr>
          <w:p>
            <w:r/>
            <w:r>
              <w:rPr>
                <w:b w:val="0"/>
                <w:sz w:val="18"/>
              </w:rPr>
              <w:t>TIDAK DITEMUKAN</w:t>
            </w:r>
          </w:p>
        </w:tc>
        <w:tc>
          <w:tcPr>
            <w:tcW w:type="dxa" w:w="1440"/>
            <w:shd w:val="clear" w:color="auto" w:fill="F8CBAD"/>
          </w:tcPr>
          <w:p>
            <w:r/>
            <w:r>
              <w:rPr>
                <w:b w:val="0"/>
                <w:sz w:val="18"/>
              </w:rPr>
              <w:t>BELUM TERPENUHI — gap lebih besar dari C.1 (VMTS eksplisit definisikan SWOT, Tata Kelola/Kerjasama tidak sama sekali)</w:t>
            </w:r>
          </w:p>
        </w:tc>
      </w:tr>
    </w:tbl>
    <w:p/>
    <w:p>
      <w:pPr>
        <w:spacing w:before="280" w:after="120"/>
      </w:pPr>
      <w:r>
        <w:rPr>
          <w:b/>
          <w:sz w:val="26"/>
        </w:rPr>
        <w:t>B. PEMBAHASAN DETAIL</w:t>
      </w:r>
    </w:p>
    <w:p>
      <w:pPr>
        <w:spacing w:after="120"/>
      </w:pPr>
      <w:r>
        <w:rPr>
          <w:b/>
          <w:i w:val="0"/>
        </w:rPr>
        <w:t>1. Latar Belakang</w:t>
      </w:r>
    </w:p>
    <w:p>
      <w:pPr>
        <w:spacing w:after="120"/>
      </w:pPr>
      <w:r>
        <w:rPr>
          <w:b w:val="0"/>
          <w:i w:val="0"/>
        </w:rPr>
        <w:t>LED menuntut latar belakang yang menjelaskan penerapan prinsip tata pamong yang baik, kerja sama yang relevan, DAN transparansi keuangan — ketiganya dalam satu kesatuan narasi Kriteria C.2. Rasional Standar Tata Kelola FTII sudah kuat menjelaskan tata pamong/tata kelola (GUG, kredibilitas, transparansi, akuntabilitas, keadilan, manajemen risiko), dan Rasional Standar Kerjasama FTII sudah kuat menjelaskan urgensi kerja sama sebagai instrumen strategis. Namun tidak ada 'Standar Keuangan' FTII tersendiri di antara lima standar yang direvisi (Visi Misi, Tata Kelola, Kerjasama, Kemahasiswaan, Penjaminan Mutu Internal), sehingga rasional keuangan sebagai bagian integral Akuntabilitas belum terkonsolidasi dalam satu narasi — meskipun sejumlah pernyataan standar keuangan tersebar di dalam Standar Tata Kelola (lihat elemen 3c-i).</w:t>
      </w:r>
    </w:p>
    <w:p>
      <w:pPr>
        <w:spacing w:after="120"/>
      </w:pPr>
      <w:r>
        <w:rPr>
          <w:b/>
          <w:i w:val="0"/>
        </w:rPr>
        <w:t>2. Kebijakan</w:t>
      </w:r>
    </w:p>
    <w:p>
      <w:pPr>
        <w:spacing w:after="120"/>
      </w:pPr>
      <w:r>
        <w:rPr>
          <w:b w:val="0"/>
          <w:i w:val="0"/>
        </w:rPr>
        <w:t>Kedua standar (Tata Kelola dan Kerjasama) memiliki bagian Acuan yang lengkap secara regulasi (UU Dikti, PP Penyelenggaraan PT, Permendikbudristek 53/2023, Peraturan BAN-PT, Statuta, Renstra). TERPENUHI untuk aspek tata pamong dan kerja sama. Kebijakan keuangan spesifik (mis. pedoman pengelolaan keuangan tersendiri) tidak menjadi acuan eksplisit pada kedua standar ini.</w:t>
      </w:r>
    </w:p>
    <w:p>
      <w:pPr>
        <w:spacing w:after="120"/>
      </w:pPr>
      <w:r>
        <w:rPr>
          <w:b/>
          <w:i w:val="0"/>
        </w:rPr>
        <w:t>3a-i. Sistem Tata Pamong</w:t>
      </w:r>
    </w:p>
    <w:p>
      <w:pPr>
        <w:spacing w:after="120"/>
      </w:pPr>
      <w:r>
        <w:rPr>
          <w:b w:val="0"/>
          <w:i w:val="0"/>
        </w:rPr>
        <w:t>LED menuntut kelengkapan struktur organisasi/kebijakan operasional berpedoman statuta, DAN perwujudan Good University Governance yang efektif-transparan-akuntabel. Standar Tata Kelola existing sudah memiliki Pernyataan Standar #1-2 (Statuta, Struktur Organisasi, OTK) dan #4 (GUG 5 aspek: kredibilitas, transparansi, akuntabilitas, tanggung jawab, keadilan). Draf Unggul memperluas menjadi 6 aspek (menambahkan manajemen risiko secara eksplisit dalam definisi GUG) dan memberi ambang terukur (IKU #1: keefektifan struktur ≥95%→100%; IKU #3: 6 dari 6 aspek GUG terpenuhi dengan bukti tahunan). TERPENUHI PENUH pada draf Unggul.</w:t>
      </w:r>
    </w:p>
    <w:p>
      <w:pPr>
        <w:spacing w:after="120"/>
      </w:pPr>
      <w:r>
        <w:rPr>
          <w:b/>
          <w:i w:val="0"/>
        </w:rPr>
        <w:t>3a-ii. Komitmen Pimpinan dan Kemampuan Manajerial</w:t>
      </w:r>
    </w:p>
    <w:p>
      <w:pPr>
        <w:spacing w:after="120"/>
      </w:pPr>
      <w:r>
        <w:rPr>
          <w:b w:val="0"/>
          <w:i w:val="0"/>
        </w:rPr>
        <w:t>LED menuntut penjelasan terpisah mengenai (i) komitmen pimpinan UPPS terkait visi-tujuan strategis, integritas-transparansi-kode etik, dan pengembangan SDM; serta (ii) kemampuan manajerial pimpinan dalam kepemimpinan, pengambilan keputusan, dan manajemen konflik. Standar Tata Kelola FTII versi existing TIDAK memiliki pernyataan standar maupun IKU yang secara eksplisit mengukur kedua hal ini — gap ini sudah teridentifikasi sejak proses pemetaan 5 dokumen rujukan sebelumnya. Draf Standar Tata Kelola Unggul menutup gap ini dengan menambahkan Pernyataan Standar #3 (komitmen kepemimpinan 3 aspek + kapabilitas manajerial) dan IKU #4 (hasil evaluasi kepemimpinan ≥80% meningkat ≥90%, diukur minimal 1 kali/tahun). TERPENUHI PENUH pada draf Unggul, BELUM TERPENUHI pada versi existing.</w:t>
      </w:r>
    </w:p>
    <w:p>
      <w:pPr>
        <w:spacing w:after="120"/>
      </w:pPr>
      <w:r>
        <w:rPr>
          <w:b/>
          <w:i w:val="0"/>
        </w:rPr>
        <w:t>3b-i. Relevansi dan Tingkat Kerja sama</w:t>
      </w:r>
    </w:p>
    <w:p>
      <w:pPr>
        <w:spacing w:after="120"/>
      </w:pPr>
      <w:r>
        <w:rPr>
          <w:b w:val="0"/>
          <w:i w:val="0"/>
        </w:rPr>
        <w:t>LED menuntut penjelasan relevansi kerja sama pendidikan/penelitian/PkM dengan Visi UPPS DAN visi keilmuan program studi, serta data tingkat kerja sama internasional/nasional/wilayah dalam 3 tahun terakhir. Standar Kerjasama FTII existing memiliki IKU dengan data kuantitatif lengkap per bidang dan per tingkat (Tingkat Kerja sama TERPENUHI), namun keterkaitan eksplisit 'relevansi dengan visi keilmuan program studi' tidak dirumuskan verbatim — pernyataan standar existing hanya menyebut 'mendayagunakan sumber daya' dan 'meningkatkan kinerja program studi', bukan keselarasan dengan visi keilmuan. Draf Kerjasama Unggul menambahkan rasio kerja sama terhadap NDTPS (RK = jumlah kerja sama / jumlah dosen tetap program studi) sesuai formula LAM Teknik/LAM INFOKOM sebagai ukuran relevansi kuantitatif, namun keterkaitan verbal ke 'visi keilmuan program studi' tetap belum eksplisit dirumuskan. TERPENUHI SEBAGIAN pada kedua versi.</w:t>
      </w:r>
    </w:p>
    <w:p>
      <w:pPr>
        <w:spacing w:after="120"/>
      </w:pPr>
      <w:r>
        <w:rPr>
          <w:b/>
          <w:i w:val="0"/>
        </w:rPr>
        <w:t>3b-ii. Pelaksanaan Kerja sama (3 Aspek)</w:t>
      </w:r>
    </w:p>
    <w:p>
      <w:pPr>
        <w:spacing w:after="120"/>
      </w:pPr>
      <w:r>
        <w:rPr>
          <w:b w:val="0"/>
          <w:i w:val="0"/>
        </w:rPr>
        <w:t>LED menuntut bukti sahih pemenuhan 3 aspek: (a) manfaat bagi program studi; (b) peningkatan kinerja tridharma dan fasilitas pendukung; dan (c) kepuasan mitra kerja sama. Standar Kerjasama existing menyebut 2 dari 3 aspek (manfaat sumber daya dan peningkatan kinerja program studi) tetapi TIDAK menyebut 'kepuasan mitra' sebagai aspek terpisah maupun sebagai indikator kinerja. Draf Kerjasama Unggul memperbaiki ini secara verbatim — Pernyataan Standar merumuskan ulang persis 3 aspek yang sama dengan LED ('(a) manfaat...; (b) peningkatan kinerja tridharma dan fasilitas...; (c) kepuasan mitra...') dan menambahkan IKU #9 (persentase kerja sama aktif dengan bukti sahih pemenuhan 3 aspek, ≥85% naik ≥95%). TERPENUHI PENUH pada draf Unggul.</w:t>
      </w:r>
    </w:p>
    <w:p>
      <w:pPr>
        <w:spacing w:after="120"/>
      </w:pPr>
      <w:r>
        <w:rPr>
          <w:b/>
          <w:i w:val="0"/>
        </w:rPr>
        <w:t>3c. Keuangan (i-iv)</w:t>
      </w:r>
    </w:p>
    <w:p>
      <w:pPr>
        <w:spacing w:after="120"/>
      </w:pPr>
      <w:r>
        <w:rPr>
          <w:b w:val="0"/>
          <w:i w:val="0"/>
        </w:rPr>
        <w:t>LED memecah elemen Keuangan menjadi 4 sub-indikator: (i) Pengelolaan Keuangan (akuntabel/transparan/efektif/efisien secara kualitatif); (ii) Biaya Operasional Pendidikan per mahasiswa per tahun; (iii) rerata Dana Penelitian DTPS per tahun; dan (iv) rerata Dana PkM DTPS per tahun (ii-iv bersifat kuantitatif, mengacu Tabel 2.b LKPS). Sub-elemen (i) TERPENUHI melalui Standar Tata Kelola FTII: Pernyataan Standar tentang pengelolaan keuangan oleh Divisi Keuangan (DKEU) yang transparan-akuntabel, IKU #22 (dokumen pengelolaan keuangan) dan #24 (audit eksternal keuangan berkala); draf Unggul memperkuat dengan mewajibkan manajemen risiko keuangan terdokumentasi dan tindak lanjut audit ≥90%. Namun sub-elemen (ii), (iii), dan (iv) — yang bersifat rasio/nominal kuantitatif per mahasiswa/per DTPS — TIDAK DITEMUKAN pada Standar Tata Kelola maupun Standar Kerjasama (baik existing maupun draf Unggul). Ini BUKAN berarti FTII/UNISBANK sama sekali tidak memiliki standar terkait, karena folder referensi memuat dokumen '8. Buku Standar Pembiayaan Pembelajaran.pdf', '8. Buku Standar Pendanaan dan Pembiayaan Penelitian.pdf', dan '8. Buku Standar Pendanaan dan Pembiayaan PkM.pdf' — namun ketiganya berada DI LUAR cakupan lima standar FTII yang sedang direvisi/dipetakan dalam rangkaian pekerjaan ini, sehingga statusnya tidak dapat dinilai kepatuhannya di sini.</w:t>
      </w:r>
    </w:p>
    <w:p>
      <w:pPr>
        <w:spacing w:after="120"/>
      </w:pPr>
      <w:r>
        <w:rPr>
          <w:b/>
          <w:i w:val="0"/>
        </w:rPr>
        <w:t>4. Analisis Faktor Keberhasilan dan Penghambat</w:t>
      </w:r>
    </w:p>
    <w:p>
      <w:pPr>
        <w:spacing w:after="120"/>
      </w:pPr>
      <w:r>
        <w:rPr>
          <w:b w:val="0"/>
          <w:i w:val="0"/>
        </w:rPr>
        <w:t>Sama seperti temuan pada Kriteria C.1, baik Standar Tata Kelola maupun Standar Kerjasama (existing maupun draf Unggul) TIDAK memiliki pernyataan standar yang secara eksplisit mewajibkan penyusunan 'Analisis Faktor Keberhasilan dan Penghambat' sebagai dokumen/output tersendiri pada siklus evaluasi tahunan. Mekanisme Evaluasi pada kedua draf Unggul (AMI, RTM, RTL) menyediakan prosedur, tetapi tidak eksplisit mewajibkan root-cause analysis sebagai keluaran formal. BELUM TERPENUHI PENUH pada keempat dokumen — konsisten dengan temuan pada pemetaan C.1 Diferensiasi Misi, mengindikasikan ini adalah gap yang berulang di seluruh keluarga Standar FTII, bukan spesifik pada satu standar saja.</w:t>
      </w:r>
    </w:p>
    <w:p>
      <w:pPr>
        <w:spacing w:after="120"/>
      </w:pPr>
      <w:r>
        <w:rPr>
          <w:b/>
          <w:i w:val="0"/>
        </w:rPr>
        <w:t>5. Strategi Perbaikan dan Pengembangan Berkelanjutan (SWOT)</w:t>
      </w:r>
    </w:p>
    <w:p>
      <w:pPr>
        <w:spacing w:after="120"/>
      </w:pPr>
      <w:r>
        <w:rPr>
          <w:b w:val="0"/>
          <w:i w:val="0"/>
        </w:rPr>
        <w:t>LED menuntut evaluasi menyeluruh terhadap faktor internal (kekuatan-kelemahan) dan faktor eksternal (peluang-ancaman) sebagai dasar strategi perbaikan pada setiap kriteria akreditasi, termasuk C.2. Berbeda dengan Standar Visi Misi FTII yang secara eksplisit mendefinisikan istilah 'Analisis SWOT' dan mewajibkannya sebagai bagian penyusunan/peninjauan VMTS, Standar Tata Kelola dan Standar Kerjasama FTII (baik existing maupun kedua draf Unggul) SAMA SEKALI TIDAK menyebut SWOT atau metode analog manapun sebagai bagian dari proses evaluasi dan strategi perbaikan. BELUM TERPENUHI — ini adalah gap paling signifikan pada Kriteria C.2, dengan tingkat keparahan lebih tinggi dibanding temuan serupa pada C.1, karena pada C.1 setidaknya SWOT sudah didefinisikan dan disebut (meski cakupannya terbatas pada tahap penyusunan awal), sedangkan pada Tata Kelola dan Kerjasama konsep ini tidak muncul sama sekali.</w:t>
      </w:r>
    </w:p>
    <w:p>
      <w:pPr>
        <w:spacing w:before="280" w:after="120"/>
      </w:pPr>
      <w:r>
        <w:rPr>
          <w:b/>
          <w:sz w:val="26"/>
        </w:rPr>
        <w:t>C. KESIMPULAN DAN REKOMENDASI</w:t>
      </w:r>
    </w:p>
    <w:p>
      <w:pPr>
        <w:spacing w:after="120"/>
      </w:pPr>
      <w:r>
        <w:rPr>
          <w:b w:val="0"/>
          <w:i w:val="0"/>
        </w:rPr>
        <w:t>Standar Tata Kelola dan Standar Kerjasama FTII (khususnya draf Unggul) SUDAH MEMENUHI SEBAGIAN BESAR elemen kuantitatif Kriteria C.2 Akuntabilitas — sistem tata pamong, GUG, dan pengelolaan keuangan TERPENUHI dengan baik, dan draf Unggul berhasil menutup 2 gap penting yang teridentifikasi sejak pemetaan 5 dokumen rujukan (komitmen pimpinan/kapabilitas manajerial, dan pemenuhan 3 aspek kualitas kerja sama termasuk kepuasan mitra). Namun terdapat 4 (empat) area yang memerlukan tindak lanjut:</w:t>
      </w:r>
    </w:p>
    <w:p>
      <w:pPr>
        <w:pStyle w:val="ListNumber"/>
        <w:spacing w:after="120"/>
      </w:pPr>
      <w:r>
        <w:t>Menegaskan keterkaitan eksplisit 'relevansi kerja sama dengan visi keilmuan program studi' pada Pernyataan Standar Kerjasama (bukan hanya 'kinerja program studi' secara umum), agar sepenuhnya sesuai rumusan LED elemen 3b-i.</w:t>
      </w:r>
    </w:p>
    <w:p>
      <w:pPr>
        <w:pStyle w:val="ListNumber"/>
        <w:spacing w:after="120"/>
      </w:pPr>
      <w:r>
        <w:t>Mengonfirmasi status dan cakupan Buku Standar Pembiayaan Pembelajaran, Pendanaan Penelitian, dan Pendanaan PkM FTII (dokumen di luar 5 standar yang direvisi) untuk memastikan ketiga indikator kuantitatif keuangan LED (biaya operasional/mahasiswa, dana penelitian DTPS, dana PkM DTPS) tercakup pada standar tersebut, atau menyusun ambang tersebut sebagai pelengkap Standar Tata Kelola apabila belum ada.</w:t>
      </w:r>
    </w:p>
    <w:p>
      <w:pPr>
        <w:pStyle w:val="ListNumber"/>
        <w:spacing w:after="120"/>
      </w:pPr>
      <w:r>
        <w:t>Menambahkan pernyataan standar yang mewajibkan penyusunan 'Analisis Faktor Keberhasilan dan Penghambat' sebagai output tahunan formal pada Standar Tata Kelola dan Standar Kerjasama, konsisten dengan rekomendasi yang sama pada pemetaan Kriteria C.1.</w:t>
      </w:r>
    </w:p>
    <w:p>
      <w:pPr>
        <w:pStyle w:val="ListNumber"/>
        <w:spacing w:after="120"/>
      </w:pPr>
      <w:r>
        <w:t>PALING PRIORITAS: menambahkan ketentuan analisis SWOT (atau metode analog) sebagai bagian wajib siklus evaluasi tahunan pada Standar Tata Kelola dan Standar Kerjasama — saat ini kedua standar sama sekali tidak menyebut SWOT, berbeda dari Standar Visi Misi yang setidaknya sudah mendefinisikannya. Tanpa ini, UPPS akan kesulitan menyusun narasi 'Strategi perbaikan dan pengembangan (Menggunakan Analisis SWOT)' yang dituntut LED pada kedua kriteria terkait tata pamong-kerja sama-keuangan.</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