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UNIVERSITAS STIKUBANK (UNISBANK) SEMARANG</w:t>
      </w:r>
    </w:p>
    <w:p>
      <w:pPr>
        <w:jc w:val="center"/>
      </w:pPr>
      <w:r>
        <w:rPr>
          <w:b/>
          <w:sz w:val="24"/>
        </w:rPr>
        <w:t>FAKULTAS TEKNOLOGI INFORMASI DAN INDUSTRI (FTII)</w:t>
      </w:r>
    </w:p>
    <w:p>
      <w:pPr>
        <w:jc w:val="center"/>
      </w:pPr>
      <w:r>
        <w:rPr>
          <w:b/>
          <w:sz w:val="26"/>
        </w:rPr>
        <w:t>PEMETAAN STANDAR MASUKAN PENDIDIKAN, PENELITIAN, DAN PKM FTII</w:t>
      </w:r>
    </w:p>
    <w:p>
      <w:pPr>
        <w:jc w:val="center"/>
      </w:pPr>
      <w:r>
        <w:rPr>
          <w:b/>
          <w:sz w:val="24"/>
        </w:rPr>
        <w:t>TERHADAP KRITERIA C.4 SUMBER DAYA MANUSIA PEDOMAN PENYUSUNAN LEDPS LAM TEKNIK 2025</w:t>
      </w:r>
    </w:p>
    <w:p>
      <w:pPr>
        <w:jc w:val="center"/>
      </w:pPr>
      <w:r>
        <w:rPr>
          <w:b/>
          <w:sz w:val="24"/>
        </w:rPr>
        <w:t>DAN UNSUR SDM DALAM KRITERIA C.5 AKUNTABILITAS LAPORAN EVALUASI DIRI LAM INFOKOM 2.1 (2025)</w:t>
      </w:r>
    </w:p>
    <w:p/>
    <w:p>
      <w:r>
        <w:rPr>
          <w:b/>
          <w:sz w:val="24"/>
        </w:rPr>
        <w:t>1. TUJUAN PEMETAAN</w:t>
      </w:r>
    </w:p>
    <w:p>
      <w:r>
        <w:rPr>
          <w:sz w:val="21"/>
        </w:rPr>
        <w:t>Dokumen ini memetakan kepatuhan TIGA standar FTII UNISBANK — standarmasukanpendidikanunggul.docx (4 sub-standar, fokus pada sub-standar Dosen dan Tenaga Kependidikan), standarmasukanpenelitianunggul.docx (4 sub-standar, fokus pada sub-standar Peneliti), dan standarmasukanpkmunggul.docx (4 sub-standar, fokus pada sub-standar Pelaksana PkM) — terhadap unsur Sumber Daya Manusia (SDM) pada dua instrumen akreditasi. Catatan klarifikasi permintaan: pengguna menuliskan nama file kedua dan ketiga secara identik ("standarmasukanpendidikanunggul.docx" dua kali); berdasarkan konteks Kriteria SDM yang relevan lintas tridharma, dokumen ketiga yang digunakan pada pemetaan ini adalah standarmasukanpenelitianunggul.docx.</w:t>
      </w:r>
    </w:p>
    <w:p>
      <w:r>
        <w:rPr>
          <w:sz w:val="21"/>
        </w:rPr>
        <w:t>Kriteria C.4 Sumber Daya Manusia — Pedoman Penyusunan LEDPS Instrumen Akreditasi Program Studi (IAPS)-AVP 2025 LAM Teknik, halaman 17-20, berisi 2 unsur naratif (Latar Belakang, Kebijakan) dan Indikator Kinerja Utama (IKU) yang terbagi 5 kelompok: a) Profil Dosen dan Tenaga Kependidikan (kecukupan jumlah DTPS, kualifikasi akademik/Doktor, kualifikasi keinsinyuran [khusus PSPPI], jabatan akademik GB/LK/Lektor, sertifikat kompetensi/profesi/industri, dosen industri/praktisi pengampu MK kompetensi, tenaga kependidikan); b) Beban Kerja DTPS (BKD); c) Kinerja DTPS (penelitian dan PkM mendukung visi, publikasi ilmiah, pagelaran/pameran [khusus Diploma], luaran HKI/paten/produk/buku, produk/jasa diadopsi industri-masyarakat, penulis utama/korespondensi jurnal internasional bereputasi, sitasi karya ilmiah, pengakuan/rekognisi kepakaran); d) Pengembangan Dosen [khusus PSPPI]; e) Pembimbing Lapangan [khusus PSPPI].</w:t>
      </w:r>
    </w:p>
    <w:p>
      <w:r>
        <w:rPr>
          <w:sz w:val="21"/>
        </w:rPr>
        <w:t>Kriteria C.5 Akuntabilitas — Laporan Evaluasi Diri (LED) LAM INFOKOM 2.1 (2025), halaman 25-26, berisi 5 sub-butir mengikuti siklus PPEPP (5.1 Penetapan, 5.2 Pelaksanaan, 5.3 Evaluasi, 5.4 Pengendalian, 5.5 Peningkatan). PENTING: berbeda dari dugaan awal, C.5 LAM INFOKOM BUKAN kriteria SDM murni — kriteria ini menggabungkan tata kelola dan tata pamong, sarana dan prasarana, DAN SDM sebagai SATU kesatuan "tupoksi tata kelola" institusional (unsur A pada setiap sub-butir 5.1-5.5 selalu menyebut "sistem tata kelola dan tata pamong yang otonom, transparan, dan akuntabel yang didukung kapasitas sarana dan prasarana yang memadai dan SDM yang profesional" sebagai satu kalimat gabungan, tanpa rincian granular per-elemen SDM seperti C.4 LAM Teknik). Elemen SDM yang secara eksplisit disebut terpisah dalam C.5 hanya: (5.3) survei kepuasan terhadap tata kelola-tata pamong, sarana-prasarana, SERTA SDM dengan responden dosen, mahasiswa, dan tendik; dan (5.5.B) pengakuan hasil audit internal tingkat nasional/internasional.</w:t>
      </w:r>
    </w:p>
    <w:p>
      <w:r>
        <w:rPr>
          <w:sz w:val="21"/>
        </w:rPr>
        <w:t>Catatan cakupan: karena C.5 LAM INFOKOM membahas SDM secara generik (bundel dengan tata kelola/sarana, bukan indikator SDM terperinci), pemetaan detail SDM pada dokumen ini didominasi oleh perbandingan terhadap C.4 LAM Teknik. Sebagian unsur C.5 (kebijakan tata kelola, audit tupoksi) telah dipetakan pada dokumen sebelumnya (Pemetaan_TataKelola_SPMI_FTII_vs_C7_LAMTeknik_C1_LAMINFOKOM_BudayaMutu.docx dan Standar Tata Kelola/SPMI FTII), sehingga tidak diulang granular di sini kecuali unsur SDM spesifik.</w:t>
      </w:r>
    </w:p>
    <w:p>
      <w:r>
        <w:rPr>
          <w:b/>
          <w:sz w:val="24"/>
        </w:rPr>
        <w:t>2. METODE PEMETAAN</w:t>
      </w:r>
    </w:p>
    <w:p>
      <w:r>
        <w:rPr>
          <w:sz w:val="21"/>
        </w:rPr>
        <w:t>Setiap sub-unsur IKU pada C.4 (LAM Teknik) dan unsur SDM dalam kelima sub-butir PPEPP C.5 (LAM INFOKOM 2.1) dikelompokkan per sub-tema (kecukupan dan kualifikasi dosen, jabatan fungsional, sertifikasi, tenaga kependidikan, beban kerja, kinerja tridharma dosen, rekognisi, pengembangan SDM, survei kepuasan) dan dipetakan terhadap Pernyataan Standar, Strategi Pencapaian, dan/atau Indikator Kinerja pada ketiga standar FTII, dengan penyebutan eksplisit dokumen sumber (Masukan Pendidikan/Penelitian/PkM) pada setiap baris.</w:t>
      </w:r>
    </w:p>
    <w:p>
      <w:r>
        <w:rPr>
          <w:b/>
          <w:sz w:val="24"/>
        </w:rPr>
        <w:t>3. TABEL PEMETAAN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Unsur C.4 LAM Teknik</w:t>
            </w:r>
          </w:p>
        </w:tc>
        <w:tc>
          <w:tcPr>
            <w:tcW w:type="dxa" w:w="2160"/>
          </w:tcPr>
          <w:p>
            <w:r/>
            <w:r>
              <w:rPr>
                <w:b/>
                <w:sz w:val="18"/>
              </w:rPr>
              <w:t>Unsur SDM dalam C.5 LAM INFOKOM 2.1</w:t>
            </w:r>
          </w:p>
        </w:tc>
        <w:tc>
          <w:tcPr>
            <w:tcW w:type="dxa" w:w="2160"/>
          </w:tcPr>
          <w:p>
            <w:r/>
            <w:r>
              <w:rPr>
                <w:b/>
                <w:sz w:val="18"/>
              </w:rPr>
              <w:t>Pemenuhan dalam Standar FTII</w:t>
            </w:r>
          </w:p>
        </w:tc>
        <w:tc>
          <w:tcPr>
            <w:tcW w:type="dxa" w:w="2160"/>
          </w:tcPr>
          <w:p>
            <w:r/>
            <w:r>
              <w:rPr>
                <w:b/>
                <w:sz w:val="18"/>
              </w:rPr>
              <w:t>Status</w:t>
            </w:r>
          </w:p>
        </w:tc>
      </w:tr>
      <w:tr>
        <w:tc>
          <w:tcPr>
            <w:tcW w:type="dxa" w:w="2160"/>
          </w:tcPr>
          <w:p>
            <w:r/>
            <w:r>
              <w:rPr>
                <w:sz w:val="18"/>
              </w:rPr>
              <w:t>a.i) Kecukupan jumlah DTPS yang ditugaskan sesuai kompetensi inti prodi (Tabel 4.a LKPS).</w:t>
            </w:r>
          </w:p>
        </w:tc>
        <w:tc>
          <w:tcPr>
            <w:tcW w:type="dxa" w:w="2160"/>
          </w:tcPr>
          <w:p>
            <w:r/>
            <w:r>
              <w:rPr>
                <w:sz w:val="18"/>
              </w:rPr>
              <w:t>5.1.A/5.2.A — kapasitas SDM profesional (bundel generik, tanpa ambang jumlah eksplisit).</w:t>
            </w:r>
          </w:p>
        </w:tc>
        <w:tc>
          <w:tcPr>
            <w:tcW w:type="dxa" w:w="2160"/>
          </w:tcPr>
          <w:p>
            <w:r/>
            <w:r>
              <w:rPr>
                <w:sz w:val="18"/>
              </w:rPr>
              <w:t>Masukan Pendidikan, Pernyataan #82 (≥12 dosen tetap/prodi), Indikator IKU #2 (≥12).</w:t>
            </w:r>
          </w:p>
        </w:tc>
        <w:tc>
          <w:tcPr>
            <w:tcW w:type="dxa" w:w="2160"/>
          </w:tcPr>
          <w:p>
            <w:r/>
            <w:r>
              <w:rPr>
                <w:sz w:val="18"/>
              </w:rPr>
              <w:t>SELARAS PENUH</w:t>
            </w:r>
          </w:p>
        </w:tc>
      </w:tr>
      <w:tr>
        <w:tc>
          <w:tcPr>
            <w:tcW w:type="dxa" w:w="2160"/>
          </w:tcPr>
          <w:p>
            <w:r/>
            <w:r>
              <w:rPr>
                <w:sz w:val="18"/>
              </w:rPr>
              <w:t>a.ii) Kualifikasi akademik DTPS: persentase DTPS berpendidikan Doktor.</w:t>
            </w:r>
          </w:p>
        </w:tc>
        <w:tc>
          <w:tcPr>
            <w:tcW w:type="dxa" w:w="2160"/>
          </w:tcPr>
          <w:p>
            <w:r/>
            <w:r>
              <w:rPr>
                <w:sz w:val="18"/>
              </w:rPr>
              <w:t>5.1.A/5.2.A (bundel generik "SDM profesional", tanpa ambang %).</w:t>
            </w:r>
          </w:p>
        </w:tc>
        <w:tc>
          <w:tcPr>
            <w:tcW w:type="dxa" w:w="2160"/>
          </w:tcPr>
          <w:p>
            <w:r/>
            <w:r>
              <w:rPr>
                <w:sz w:val="18"/>
              </w:rPr>
              <w:t>Masukan Pendidikan, Pernyataan #83 (≥50% jangka panjang, ambang skor sempurna LAM Teknik ≥50%), Indikator IKU #3 (40%→50%).</w:t>
            </w:r>
          </w:p>
        </w:tc>
        <w:tc>
          <w:tcPr>
            <w:tcW w:type="dxa" w:w="2160"/>
          </w:tcPr>
          <w:p>
            <w:r/>
            <w:r>
              <w:rPr>
                <w:sz w:val="18"/>
              </w:rPr>
              <w:t>SELARAS PENUH</w:t>
            </w:r>
          </w:p>
        </w:tc>
      </w:tr>
      <w:tr>
        <w:tc>
          <w:tcPr>
            <w:tcW w:type="dxa" w:w="2160"/>
          </w:tcPr>
          <w:p>
            <w:r/>
            <w:r>
              <w:rPr>
                <w:sz w:val="18"/>
              </w:rPr>
              <w:t>a.iii) Kualifikasi keinsinyuran DTPSPPI/DI/PL — KHUSUS Program Profesi Insinyur (PSPPI).</w:t>
            </w:r>
          </w:p>
        </w:tc>
        <w:tc>
          <w:tcPr>
            <w:tcW w:type="dxa" w:w="2160"/>
          </w:tcPr>
          <w:p>
            <w:r/>
            <w:r>
              <w:rPr>
                <w:sz w:val="18"/>
              </w:rPr>
              <w:t>(tidak ada unsur setara di C.5).</w:t>
            </w:r>
          </w:p>
        </w:tc>
        <w:tc>
          <w:tcPr>
            <w:tcW w:type="dxa" w:w="2160"/>
          </w:tcPr>
          <w:p>
            <w:r/>
            <w:r>
              <w:rPr>
                <w:sz w:val="18"/>
              </w:rPr>
              <w:t>Tidak berlaku — FTII menyelenggarakan program Sarjana, bukan PSPPI.</w:t>
            </w:r>
          </w:p>
        </w:tc>
        <w:tc>
          <w:tcPr>
            <w:tcW w:type="dxa" w:w="2160"/>
          </w:tcPr>
          <w:p>
            <w:r/>
            <w:r>
              <w:rPr>
                <w:sz w:val="18"/>
              </w:rPr>
              <w:t>TIDAK BERLAKU</w:t>
            </w:r>
          </w:p>
        </w:tc>
      </w:tr>
      <w:tr>
        <w:tc>
          <w:tcPr>
            <w:tcW w:type="dxa" w:w="2160"/>
          </w:tcPr>
          <w:p>
            <w:r/>
            <w:r>
              <w:rPr>
                <w:sz w:val="18"/>
              </w:rPr>
              <w:t>a.iv) Jabatan akademik DTPS: persentase GB+LK (program Sarjana) terhadap jumlah DTPS.</w:t>
            </w:r>
          </w:p>
        </w:tc>
        <w:tc>
          <w:tcPr>
            <w:tcW w:type="dxa" w:w="2160"/>
          </w:tcPr>
          <w:p>
            <w:r/>
            <w:r>
              <w:rPr>
                <w:sz w:val="18"/>
              </w:rPr>
              <w:t>5.1.A/5.2.A (bundel generik, tanpa ambang %).</w:t>
            </w:r>
          </w:p>
        </w:tc>
        <w:tc>
          <w:tcPr>
            <w:tcW w:type="dxa" w:w="2160"/>
          </w:tcPr>
          <w:p>
            <w:r/>
            <w:r>
              <w:rPr>
                <w:sz w:val="18"/>
              </w:rPr>
              <w:t>Masukan Pendidikan, Pernyataan #84 (target 40%, mengakui secara eksplisit MASIH DI BAWAH ambang skor sempurna LAM Teknik PGBLKL ≥70%, dikompensasi capaian Doktor-sertifikasi-publikasi), Indikator IKU #4 (32%→40%).</w:t>
            </w:r>
          </w:p>
        </w:tc>
        <w:tc>
          <w:tcPr>
            <w:tcW w:type="dxa" w:w="2160"/>
          </w:tcPr>
          <w:p>
            <w:r/>
            <w:r>
              <w:rPr>
                <w:sz w:val="18"/>
              </w:rPr>
              <w:t>GAP DIAKUI (dikompensasi, bukan ditutupi)</w:t>
            </w:r>
          </w:p>
        </w:tc>
      </w:tr>
      <w:tr>
        <w:tc>
          <w:tcPr>
            <w:tcW w:type="dxa" w:w="2160"/>
          </w:tcPr>
          <w:p>
            <w:r/>
            <w:r>
              <w:rPr>
                <w:sz w:val="18"/>
              </w:rPr>
              <w:t>a.v) Persentase DTPS bersertifikat kompetensi/profesi/industri.</w:t>
            </w:r>
          </w:p>
        </w:tc>
        <w:tc>
          <w:tcPr>
            <w:tcW w:type="dxa" w:w="2160"/>
          </w:tcPr>
          <w:p>
            <w:r/>
            <w:r>
              <w:rPr>
                <w:sz w:val="18"/>
              </w:rPr>
              <w:t>(tidak ada unsur setara eksplisit di C.5).</w:t>
            </w:r>
          </w:p>
        </w:tc>
        <w:tc>
          <w:tcPr>
            <w:tcW w:type="dxa" w:w="2160"/>
          </w:tcPr>
          <w:p>
            <w:r/>
            <w:r>
              <w:rPr>
                <w:sz w:val="18"/>
              </w:rPr>
              <w:t>Masukan Pendidikan, Pernyataan #86* (20%→40%), Indikator IKU *6.</w:t>
            </w:r>
          </w:p>
        </w:tc>
        <w:tc>
          <w:tcPr>
            <w:tcW w:type="dxa" w:w="2160"/>
          </w:tcPr>
          <w:p>
            <w:r/>
            <w:r>
              <w:rPr>
                <w:sz w:val="18"/>
              </w:rPr>
              <w:t>SELARAS PENUH</w:t>
            </w:r>
          </w:p>
        </w:tc>
      </w:tr>
      <w:tr>
        <w:tc>
          <w:tcPr>
            <w:tcW w:type="dxa" w:w="2160"/>
          </w:tcPr>
          <w:p>
            <w:r/>
            <w:r>
              <w:rPr>
                <w:sz w:val="18"/>
              </w:rPr>
              <w:t>a.vi) Persentase mata kuliah kompetensi diampu dosen industri/praktisi.</w:t>
            </w:r>
          </w:p>
        </w:tc>
        <w:tc>
          <w:tcPr>
            <w:tcW w:type="dxa" w:w="2160"/>
          </w:tcPr>
          <w:p>
            <w:r/>
            <w:r>
              <w:rPr>
                <w:sz w:val="18"/>
              </w:rPr>
              <w:t>(tidak ada unsur setara eksplisit di C.5).</w:t>
            </w:r>
          </w:p>
        </w:tc>
        <w:tc>
          <w:tcPr>
            <w:tcW w:type="dxa" w:w="2160"/>
          </w:tcPr>
          <w:p>
            <w:r/>
            <w:r>
              <w:rPr>
                <w:sz w:val="18"/>
              </w:rPr>
              <w:t>Masukan Pendidikan, Pernyataan #87* (10%→20%), Indikator IKU *7.</w:t>
            </w:r>
          </w:p>
        </w:tc>
        <w:tc>
          <w:tcPr>
            <w:tcW w:type="dxa" w:w="2160"/>
          </w:tcPr>
          <w:p>
            <w:r/>
            <w:r>
              <w:rPr>
                <w:sz w:val="18"/>
              </w:rPr>
              <w:t>SELARAS PENUH</w:t>
            </w:r>
          </w:p>
        </w:tc>
      </w:tr>
      <w:tr>
        <w:tc>
          <w:tcPr>
            <w:tcW w:type="dxa" w:w="2160"/>
          </w:tcPr>
          <w:p>
            <w:r/>
            <w:r>
              <w:rPr>
                <w:sz w:val="18"/>
              </w:rPr>
              <w:t>a.vii) Tenaga Kependidikan: kualifikasi dan kecukupan laboran/teknisi/admin sistem/PLP.</w:t>
            </w:r>
          </w:p>
        </w:tc>
        <w:tc>
          <w:tcPr>
            <w:tcW w:type="dxa" w:w="2160"/>
          </w:tcPr>
          <w:p>
            <w:r/>
            <w:r>
              <w:rPr>
                <w:sz w:val="18"/>
              </w:rPr>
              <w:t>5.1.A/5.2.A (bundel generik "SDM profesional").</w:t>
            </w:r>
          </w:p>
        </w:tc>
        <w:tc>
          <w:tcPr>
            <w:tcW w:type="dxa" w:w="2160"/>
          </w:tcPr>
          <w:p>
            <w:r/>
            <w:r>
              <w:rPr>
                <w:sz w:val="18"/>
              </w:rPr>
              <w:t>Masukan Pendidikan, Pernyataan #92 (kualifikasi min. D3 tendik + D3+sertifikat tenaga fungsional), Indikator IKU #14 (100%) dan *16 (60%→100%).</w:t>
            </w:r>
          </w:p>
        </w:tc>
        <w:tc>
          <w:tcPr>
            <w:tcW w:type="dxa" w:w="2160"/>
          </w:tcPr>
          <w:p>
            <w:r/>
            <w:r>
              <w:rPr>
                <w:sz w:val="18"/>
              </w:rPr>
              <w:t>SELARAS PENUH</w:t>
            </w:r>
          </w:p>
        </w:tc>
      </w:tr>
      <w:tr>
        <w:tc>
          <w:tcPr>
            <w:tcW w:type="dxa" w:w="2160"/>
          </w:tcPr>
          <w:p>
            <w:r/>
            <w:r>
              <w:rPr>
                <w:sz w:val="18"/>
              </w:rPr>
              <w:t>b) Beban Kerja DTPS (BKD): pendidikan-penelitian-PkM-penunjang 12-16 sks/semester.</w:t>
            </w:r>
          </w:p>
        </w:tc>
        <w:tc>
          <w:tcPr>
            <w:tcW w:type="dxa" w:w="2160"/>
          </w:tcPr>
          <w:p>
            <w:r/>
            <w:r>
              <w:rPr>
                <w:sz w:val="18"/>
              </w:rPr>
              <w:t>(tidak ada unsur setara eksplisit di C.5).</w:t>
            </w:r>
          </w:p>
        </w:tc>
        <w:tc>
          <w:tcPr>
            <w:tcW w:type="dxa" w:w="2160"/>
          </w:tcPr>
          <w:p>
            <w:r/>
            <w:r>
              <w:rPr>
                <w:sz w:val="18"/>
              </w:rPr>
              <w:t>Masukan Pendidikan, Pernyataan #93* (12-16 sks, ≥9 sks pendidikan-penelitian, ≥3 sks pengabdian-penunjang), Indikator IKU *18 (90%→100%).</w:t>
            </w:r>
          </w:p>
        </w:tc>
        <w:tc>
          <w:tcPr>
            <w:tcW w:type="dxa" w:w="2160"/>
          </w:tcPr>
          <w:p>
            <w:r/>
            <w:r>
              <w:rPr>
                <w:sz w:val="18"/>
              </w:rPr>
              <w:t>SELARAS PENUH</w:t>
            </w:r>
          </w:p>
        </w:tc>
      </w:tr>
      <w:tr>
        <w:tc>
          <w:tcPr>
            <w:tcW w:type="dxa" w:w="2160"/>
          </w:tcPr>
          <w:p>
            <w:r/>
            <w:r>
              <w:rPr>
                <w:sz w:val="18"/>
              </w:rPr>
              <w:t>c.i-ii) Kinerja DTPS: penelitian dan PkM mendukung visi keilmuan, melibatkan mahasiswa.</w:t>
            </w:r>
          </w:p>
        </w:tc>
        <w:tc>
          <w:tcPr>
            <w:tcW w:type="dxa" w:w="2160"/>
          </w:tcPr>
          <w:p>
            <w:r/>
            <w:r>
              <w:rPr>
                <w:sz w:val="18"/>
              </w:rPr>
              <w:t>(tidak ada unsur setara eksplisit di C.5; dibahas granular di C.3/C.4 LAM INFOKOM, sudah dipetakan terpisah).</w:t>
            </w:r>
          </w:p>
        </w:tc>
        <w:tc>
          <w:tcPr>
            <w:tcW w:type="dxa" w:w="2160"/>
          </w:tcPr>
          <w:p>
            <w:r/>
            <w:r>
              <w:rPr>
                <w:sz w:val="18"/>
              </w:rPr>
              <w:t>Masukan Penelitian, Pernyataan #35 (≥1 penelitian/dosen/tahun + proporsi tingkat); Masukan PkM, Pernyataan #31 (≥1 PkM/dosen/tahun sesuai roadmap).</w:t>
            </w:r>
          </w:p>
        </w:tc>
        <w:tc>
          <w:tcPr>
            <w:tcW w:type="dxa" w:w="2160"/>
          </w:tcPr>
          <w:p>
            <w:r/>
            <w:r>
              <w:rPr>
                <w:sz w:val="18"/>
              </w:rPr>
              <w:t>SELARAS PENUH (lintas-dokumen)</w:t>
            </w:r>
          </w:p>
        </w:tc>
      </w:tr>
      <w:tr>
        <w:tc>
          <w:tcPr>
            <w:tcW w:type="dxa" w:w="2160"/>
          </w:tcPr>
          <w:p>
            <w:r/>
            <w:r>
              <w:rPr>
                <w:sz w:val="18"/>
              </w:rPr>
              <w:t>c.iii-v) Publikasi ilmiah DTPS; luaran HKI/paten/produk/buku ber-ISBN.</w:t>
            </w:r>
          </w:p>
        </w:tc>
        <w:tc>
          <w:tcPr>
            <w:tcW w:type="dxa" w:w="2160"/>
          </w:tcPr>
          <w:p>
            <w:r/>
            <w:r>
              <w:rPr>
                <w:sz w:val="18"/>
              </w:rPr>
              <w:t>(tidak ada unsur setara eksplisit di C.5; dibahas di C.3 LAM INFOKOM luaran penelitian/PkM, sudah dipetakan terpisah).</w:t>
            </w:r>
          </w:p>
        </w:tc>
        <w:tc>
          <w:tcPr>
            <w:tcW w:type="dxa" w:w="2160"/>
          </w:tcPr>
          <w:p>
            <w:r/>
            <w:r>
              <w:rPr>
                <w:sz w:val="18"/>
              </w:rPr>
              <w:t>Masukan Pendidikan, Pernyataan #89 (≥90% dosen aktif publikasi); rincian luaran HKI/paten/buku diatur pada Standar Luaran Penelitian dan Luaran PkM (di luar cakupan dokumen Masukan).</w:t>
            </w:r>
          </w:p>
        </w:tc>
        <w:tc>
          <w:tcPr>
            <w:tcW w:type="dxa" w:w="2160"/>
          </w:tcPr>
          <w:p>
            <w:r/>
            <w:r>
              <w:rPr>
                <w:sz w:val="18"/>
              </w:rPr>
              <w:t>SELARAS PENUH (cross-reference ke Standar Luaran)</w:t>
            </w:r>
          </w:p>
        </w:tc>
      </w:tr>
      <w:tr>
        <w:tc>
          <w:tcPr>
            <w:tcW w:type="dxa" w:w="2160"/>
          </w:tcPr>
          <w:p>
            <w:r/>
            <w:r>
              <w:rPr>
                <w:sz w:val="18"/>
              </w:rPr>
              <w:t>c.vi) Produk/jasa hasil karya dosen yang diadopsi industri/masyarakat.</w:t>
            </w:r>
          </w:p>
        </w:tc>
        <w:tc>
          <w:tcPr>
            <w:tcW w:type="dxa" w:w="2160"/>
          </w:tcPr>
          <w:p>
            <w:r/>
            <w:r>
              <w:rPr>
                <w:sz w:val="18"/>
              </w:rPr>
              <w:t>(tidak ada unsur setara eksplisit di C.5).</w:t>
            </w:r>
          </w:p>
        </w:tc>
        <w:tc>
          <w:tcPr>
            <w:tcW w:type="dxa" w:w="2160"/>
          </w:tcPr>
          <w:p>
            <w:r/>
            <w:r>
              <w:rPr>
                <w:sz w:val="18"/>
              </w:rPr>
              <w:t>Masukan Pendidikan, Pernyataan #90* (≥2→4 produk/jasa per tahun), Indikator IKU *12.</w:t>
            </w:r>
          </w:p>
        </w:tc>
        <w:tc>
          <w:tcPr>
            <w:tcW w:type="dxa" w:w="2160"/>
          </w:tcPr>
          <w:p>
            <w:r/>
            <w:r>
              <w:rPr>
                <w:sz w:val="18"/>
              </w:rPr>
              <w:t>SELARAS PENUH</w:t>
            </w:r>
          </w:p>
        </w:tc>
      </w:tr>
      <w:tr>
        <w:tc>
          <w:tcPr>
            <w:tcW w:type="dxa" w:w="2160"/>
          </w:tcPr>
          <w:p>
            <w:r/>
            <w:r>
              <w:rPr>
                <w:sz w:val="18"/>
              </w:rPr>
              <w:t>c.vii-viii) Penulis utama/korespondensi jurnal internasional bereputasi; sitasi karya ilmiah pada basis data pengindeks internasional.</w:t>
            </w:r>
          </w:p>
        </w:tc>
        <w:tc>
          <w:tcPr>
            <w:tcW w:type="dxa" w:w="2160"/>
          </w:tcPr>
          <w:p>
            <w:r/>
            <w:r>
              <w:rPr>
                <w:sz w:val="18"/>
              </w:rPr>
              <w:t>(tidak ada unsur setara eksplisit di C.5).</w:t>
            </w:r>
          </w:p>
        </w:tc>
        <w:tc>
          <w:tcPr>
            <w:tcW w:type="dxa" w:w="2160"/>
          </w:tcPr>
          <w:p>
            <w:r/>
            <w:r>
              <w:rPr>
                <w:sz w:val="18"/>
              </w:rPr>
              <w:t>Masukan Pendidikan, Pernyataan #94* (30%→50%, ambang skor sempurna LAM Teknik PKDTPS ≥50%), Indikator IKU *17; Pernyataan #91* (≥3-5 sitasi/dosen/tahun), Indikator IKU *13 dan *19 (15%→25%, selaras formula PKIB).</w:t>
            </w:r>
          </w:p>
        </w:tc>
        <w:tc>
          <w:tcPr>
            <w:tcW w:type="dxa" w:w="2160"/>
          </w:tcPr>
          <w:p>
            <w:r/>
            <w:r>
              <w:rPr>
                <w:sz w:val="18"/>
              </w:rPr>
              <w:t>SELARAS PENUH</w:t>
            </w:r>
          </w:p>
        </w:tc>
      </w:tr>
      <w:tr>
        <w:tc>
          <w:tcPr>
            <w:tcW w:type="dxa" w:w="2160"/>
          </w:tcPr>
          <w:p>
            <w:r/>
            <w:r>
              <w:rPr>
                <w:sz w:val="18"/>
              </w:rPr>
              <w:t>c.ix) Persentase DTPS dengan pengakuan/rekognisi kepakaran (keynote/invited speaker, editor/mitra bestari, visiting scholar, penghargaan wilayah/nasional/internasional).</w:t>
            </w:r>
          </w:p>
        </w:tc>
        <w:tc>
          <w:tcPr>
            <w:tcW w:type="dxa" w:w="2160"/>
          </w:tcPr>
          <w:p>
            <w:r/>
            <w:r>
              <w:rPr>
                <w:sz w:val="18"/>
              </w:rPr>
              <w:t>(tidak ada unsur setara eksplisit di C.5).</w:t>
            </w:r>
          </w:p>
        </w:tc>
        <w:tc>
          <w:tcPr>
            <w:tcW w:type="dxa" w:w="2160"/>
          </w:tcPr>
          <w:p>
            <w:r/>
            <w:r>
              <w:rPr>
                <w:sz w:val="18"/>
              </w:rPr>
              <w:t>Masukan Pendidikan, Pernyataan #89 (35%→50%, ambang skor sempurna LAM Teknik PRDTPS ≥50%), Indikator IKU #11.</w:t>
            </w:r>
          </w:p>
        </w:tc>
        <w:tc>
          <w:tcPr>
            <w:tcW w:type="dxa" w:w="2160"/>
          </w:tcPr>
          <w:p>
            <w:r/>
            <w:r>
              <w:rPr>
                <w:sz w:val="18"/>
              </w:rPr>
              <w:t>SELARAS PENUH</w:t>
            </w:r>
          </w:p>
        </w:tc>
      </w:tr>
      <w:tr>
        <w:tc>
          <w:tcPr>
            <w:tcW w:type="dxa" w:w="2160"/>
          </w:tcPr>
          <w:p>
            <w:r/>
            <w:r>
              <w:rPr>
                <w:sz w:val="18"/>
              </w:rPr>
              <w:t>d) Pengembangan Dosen (mengikuti Renstra PT) — KHUSUS PSPPI. e) Pembimbing Lapangan — KHUSUS PSPPI.</w:t>
            </w:r>
          </w:p>
        </w:tc>
        <w:tc>
          <w:tcPr>
            <w:tcW w:type="dxa" w:w="2160"/>
          </w:tcPr>
          <w:p>
            <w:r/>
            <w:r>
              <w:rPr>
                <w:sz w:val="18"/>
              </w:rPr>
              <w:t>(tidak ada unsur setara eksplisit di C.5).</w:t>
            </w:r>
          </w:p>
        </w:tc>
        <w:tc>
          <w:tcPr>
            <w:tcW w:type="dxa" w:w="2160"/>
          </w:tcPr>
          <w:p>
            <w:r/>
            <w:r>
              <w:rPr>
                <w:sz w:val="18"/>
              </w:rPr>
              <w:t>Tidak berlaku langsung (PSPPI-only), namun FTII MELAMPAUI dengan pengembangan dosen generik: Masukan Penelitian, Pernyataan #37 (≥3 kegiatan pengembangan kompetensi peneliti/tahun, ≥95% partisipasi), #38 (penghargaan nasional/internasional per prodi/3 tahun), #39 (mobilitas sabbatical/post-doc); Masukan PkM, Pernyataan #30 (pengembangan kompetensi pelaksana PkM serupa).</w:t>
            </w:r>
          </w:p>
        </w:tc>
        <w:tc>
          <w:tcPr>
            <w:tcW w:type="dxa" w:w="2160"/>
          </w:tcPr>
          <w:p>
            <w:r/>
            <w:r>
              <w:rPr>
                <w:sz w:val="18"/>
              </w:rPr>
              <w:t>MELAMPAUI (praktik pengembangan SDM generik FTII di luar syarat PSPPI)</w:t>
            </w:r>
          </w:p>
        </w:tc>
      </w:tr>
      <w:tr>
        <w:tc>
          <w:tcPr>
            <w:tcW w:type="dxa" w:w="2160"/>
          </w:tcPr>
          <w:p>
            <w:r/>
            <w:r>
              <w:rPr>
                <w:sz w:val="18"/>
              </w:rPr>
              <w:t>(tidak ada unsur setara eksplisit di C.4 — survei kepuasan bukan bagian C.4).</w:t>
            </w:r>
          </w:p>
        </w:tc>
        <w:tc>
          <w:tcPr>
            <w:tcW w:type="dxa" w:w="2160"/>
          </w:tcPr>
          <w:p>
            <w:r/>
            <w:r>
              <w:rPr>
                <w:sz w:val="18"/>
              </w:rPr>
              <w:t>5.3 — survei kepuasan terhadap tata kelola-tata pamong, sarana-prasarana, dan SDM dengan responden dosen, mahasiswa, tendik; 5.5.B — pengakuan hasil audit internal nasional/internasional.</w:t>
            </w:r>
          </w:p>
        </w:tc>
        <w:tc>
          <w:tcPr>
            <w:tcW w:type="dxa" w:w="2160"/>
          </w:tcPr>
          <w:p>
            <w:r/>
            <w:r>
              <w:rPr>
                <w:sz w:val="18"/>
              </w:rPr>
              <w:t>Ditangani pada Standar Tata Kelola FTII (Pernyataan #31, survei kepuasan pemangku kepentingan) dan Standar SPMI FTII (Pernyataan #33*, survei kepuasan; Pernyataan #31*, pengakuan mutu eksternal/ISO) — di luar cakupan langsung dokumen Masukan, dicatat sebagai cross-reference.</w:t>
            </w:r>
          </w:p>
        </w:tc>
        <w:tc>
          <w:tcPr>
            <w:tcW w:type="dxa" w:w="2160"/>
          </w:tcPr>
          <w:p>
            <w:r/>
            <w:r>
              <w:rPr>
                <w:sz w:val="18"/>
              </w:rPr>
              <w:t>SELARAS PENUH (lintas-dokumen, di luar rumpun Masukan)</w:t>
            </w:r>
          </w:p>
        </w:tc>
      </w:tr>
    </w:tbl>
    <w:p/>
    <w:p>
      <w:r>
        <w:rPr>
          <w:b/>
          <w:sz w:val="24"/>
        </w:rPr>
        <w:t>4. TEMUAN DAN KESIMPULAN</w:t>
      </w:r>
    </w:p>
    <w:p>
      <w:r>
        <w:rPr>
          <w:sz w:val="21"/>
        </w:rPr>
        <w:t>Pemetaan menemukan bahwa ketiga standar FTII (Masukan Pendidikan sub-standar Dosen dan Tenaga Kependidikan, Masukan Penelitian sub-standar Peneliti, dan Masukan PkM sub-standar Pelaksana PkM) SECARA GABUNGAN telah SELARAS PENUH terhadap hampir seluruh unsur Kriteria C.4 Sumber Daya Manusia LAM Teknik yang berlaku untuk program Sarjana (non-PSPPI), dan telah mencakup unsur SDM yang disebut dalam Kriteria C.5 Akuntabilitas LAM INFOKOM 2.1 — meskipun C.5 LAM INFOKOM membahas SDM secara generik (bundel dengan tata kelola dan sarana-prasarana) sehingga sebagian besar perbandingan granular bertumpu pada C.4 LAM Teknik.</w:t>
      </w:r>
    </w:p>
    <w:p>
      <w:r>
        <w:rPr>
          <w:sz w:val="21"/>
        </w:rPr>
        <w:t>Ditemukan 1 (satu) GAP YANG DIAKUI SECARA EKSPLISIT oleh FTII sendiri (bukan gap tersembunyi): target persentase dosen berjabatan fungsional Guru Besar dan Lektor Kepala (GB+LK) ditetapkan 40% pada akhir siklus Renstra, MASIH DI BAWAH ambang skor sempurna LAM Teknik (PGBLKL ≥70%). Standar Masukan Pendidikan FTII sendiri (Pernyataan #84) secara transparan mengakui gap ini sebagai keterbatasan profil kepangkatan dosen saat ini, dan menyatakan kompensasi melalui capaian yang setara/melampaui pada indikator kualifikasi Doktor (≥50%, SELARAS PENUH), sertifikasi (≥90% pendidik + 40% kompetensi), dan kinerja publikasi (penulis utama/korespondensi ≥50%, sitasi, rekognisi ≥50% — seluruhnya SELARAS PENUH atau melampaui ambang skor sempurna). Gap ini bersifat STRUKTURAL-JANGKA-PANJANG (bergantung pada waktu tempuh kenaikan jabatan fungsional, tidak dapat dipercepat murni melalui kebijakan SPMI), direncanakan ditinjau ulang untuk elevasi lebih lanjut pada siklus Renstra berikutnya sebagaimana dinyatakan eksplisit dalam standar.</w:t>
      </w:r>
    </w:p>
    <w:p>
      <w:r>
        <w:rPr>
          <w:sz w:val="21"/>
        </w:rPr>
        <w:t>Tiga unsur C.4 LAM Teknik (kualifikasi keinsinyuran DTPSPPI, Pengembangan Dosen mengikuti Renstra PT, dan Pembimbing Lapangan) TIDAK BERLAKU bagi FTII karena secara eksplisit hanya disyaratkan untuk program Profesi Insinyur (PSPPI), sedangkan FTII menyelenggarakan program Sarjana reguler. Meski demikian, FTII tetap MELAMPAUI ekspektasi pada aspek pengembangan SDM generik melalui program pengembangan kompetensi peneliti/pelaksana PkM, penghargaan nasional-internasional, dan mobilitas akademik (sabbatical/post-doc) yang tidak disyaratkan eksplisit bagi program non-PSPPI.</w:t>
      </w:r>
    </w:p>
    <w:p>
      <w:r>
        <w:rPr>
          <w:sz w:val="21"/>
        </w:rPr>
        <w:t>Kesimpulan: TIDAK ada gap struktural yang menghalangi pemenuhan ambang skor tertinggi C.4 LAM Teknik maupun unsur SDM pada C.5 LAM INFOKOM 2.1, kecuali satu gap jangka-panjang pada jabatan fungsional GB+LK yang sudah diakui dan dikompensasi secara eksplisit oleh standar FTII sendiri — bukan temuan baru dari pemetaan ini, melainkan konfirmasi bahwa pengakuan tersebut konsisten dengan realita ambang instrumen LAM Teknik.</w:t>
      </w:r>
    </w:p>
    <w:p>
      <w:r>
        <w:rPr>
          <w:b/>
          <w:sz w:val="24"/>
        </w:rPr>
        <w:t>5. REFERENSI</w:t>
      </w:r>
    </w:p>
    <w:p>
      <w:r>
        <w:rPr>
          <w:sz w:val="21"/>
        </w:rPr>
        <w:t>standarmasukanpendidikanunggul.docx (revisi ke-2, FTII UNISBANK).</w:t>
      </w:r>
    </w:p>
    <w:p>
      <w:r>
        <w:rPr>
          <w:sz w:val="21"/>
        </w:rPr>
        <w:t>standarmasukanpenelitianunggul.docx (revisi ke-2, FTII UNISBANK).</w:t>
      </w:r>
    </w:p>
    <w:p>
      <w:r>
        <w:rPr>
          <w:sz w:val="21"/>
        </w:rPr>
        <w:t>standarmasukanpkmunggul.docx (revisi ke-2, FTII UNISBANK).</w:t>
      </w:r>
    </w:p>
    <w:p>
      <w:r>
        <w:rPr>
          <w:sz w:val="21"/>
        </w:rPr>
        <w:t>Pedoman Penyusunan LEDPS – Instrumen Akreditasi Program Studi (IAPS)-AVP 2025, LAM Teknik, Kriteria C.4 Sumber Daya Manusia, halaman 17-20.</w:t>
      </w:r>
    </w:p>
    <w:p>
      <w:r>
        <w:rPr>
          <w:sz w:val="21"/>
        </w:rPr>
        <w:t>Laporan Evaluasi Diri LAM INFOKOM 2.1 (2025), Instrumen APS untuk Perolehan dan Perpanjangan Status Terakreditasi Unggul S1-LED, Kriteria C.5 Akuntabilitas, halaman 25-26.</w:t>
      </w:r>
    </w:p>
    <w:p/>
    <w:p>
      <w:r>
        <w:rPr>
          <w:sz w:val="21"/>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