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PEMETAAN STANDAR KEMAHASISWAAN</w:t>
      </w:r>
    </w:p>
    <w:p>
      <w:pPr>
        <w:jc w:val="center"/>
      </w:pPr>
      <w:r>
        <w:rPr>
          <w:b w:val="0"/>
          <w:sz w:val="24"/>
        </w:rPr>
        <w:t>Fakultas Teknologi Informasi dan Industri (FTII) UNISBANK terhadap 5 Dokumen Rujukan Eksternal</w:t>
      </w:r>
    </w:p>
    <w:p/>
    <w:p>
      <w:pPr>
        <w:spacing w:after="120"/>
      </w:pPr>
      <w:r>
        <w:rPr>
          <w:b w:val="0"/>
          <w:i w:val="0"/>
        </w:rPr>
        <w:t>Catatan metodologis: pemetaan disusun berdasarkan ekstraksi teks langsung dari kelima dokumen rujukan (bukan ringkasan pihak ketiga) dan dari isi lengkap dokumen Standar Kemahasiswaan FTII (12 pernyataan standar, 12 strategi pencapaian, 5 Indikator Kinerja Utama/IKU, dan 12 Indikator Kinerja Tambahan/IKT). Kutipan pada tabel di bawah diringkas dari teks asli masing-masing dokumen hasil ekstraksi pdftotext -layout; bila suatu rujukan tidak memuat pembahasan eksplisit atas suatu tema, hal itu dinyatakan secara terbuka dan tidak dikarang. Kode dokumen rujukan (R1-R5) konsisten dengan pemetaan Standar Visi Misi FTII sebelumnya.</w:t>
      </w:r>
    </w:p>
    <w:p>
      <w:pPr>
        <w:spacing w:before="280" w:after="120"/>
      </w:pPr>
      <w:r>
        <w:rPr>
          <w:b/>
          <w:sz w:val="26"/>
        </w:rPr>
        <w:t>A. DOKUMEN YANG DIBANDINGKAN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
              <w:rPr>
                <w:b/>
                <w:sz w:val="19"/>
              </w:rPr>
              <w:t>Kode</w:t>
            </w:r>
          </w:p>
        </w:tc>
        <w:tc>
          <w:tcPr>
            <w:tcW w:type="dxa" w:w="2880"/>
            <w:shd w:val="clear" w:color="auto" w:fill="D9D9D9"/>
          </w:tcPr>
          <w:p>
            <w:r/>
            <w:r>
              <w:rPr>
                <w:b/>
                <w:sz w:val="19"/>
              </w:rPr>
              <w:t>Dokumen</w:t>
            </w:r>
          </w:p>
        </w:tc>
        <w:tc>
          <w:tcPr>
            <w:tcW w:type="dxa" w:w="2880"/>
            <w:shd w:val="clear" w:color="auto" w:fill="D9D9D9"/>
          </w:tcPr>
          <w:p>
            <w:r/>
            <w:r>
              <w:rPr>
                <w:b/>
                <w:sz w:val="19"/>
              </w:rPr>
              <w:t>Sumber / Institusi</w:t>
            </w:r>
          </w:p>
        </w:tc>
      </w:tr>
      <w:tr>
        <w:tc>
          <w:tcPr>
            <w:tcW w:type="dxa" w:w="2880"/>
          </w:tcPr>
          <w:p>
            <w:r/>
            <w:r>
              <w:rPr>
                <w:b w:val="0"/>
                <w:sz w:val="19"/>
              </w:rPr>
              <w:t>FTII</w:t>
            </w:r>
          </w:p>
        </w:tc>
        <w:tc>
          <w:tcPr>
            <w:tcW w:type="dxa" w:w="2880"/>
          </w:tcPr>
          <w:p>
            <w:r/>
            <w:r>
              <w:rPr>
                <w:b w:val="0"/>
                <w:sz w:val="19"/>
              </w:rPr>
              <w:t>Standar Kemahasiswaan FTII UNISBANK</w:t>
            </w:r>
          </w:p>
        </w:tc>
        <w:tc>
          <w:tcPr>
            <w:tcW w:type="dxa" w:w="2880"/>
          </w:tcPr>
          <w:p>
            <w:r/>
            <w:r>
              <w:rPr>
                <w:b w:val="0"/>
                <w:sz w:val="19"/>
              </w:rPr>
              <w:t>Fakultas Teknologi Informasi dan Industri, Universitas Stikubank (UNISBANK) Semarang</w:t>
            </w:r>
          </w:p>
        </w:tc>
      </w:tr>
      <w:tr>
        <w:tc>
          <w:tcPr>
            <w:tcW w:type="dxa" w:w="2880"/>
          </w:tcPr>
          <w:p>
            <w:r/>
            <w:r>
              <w:rPr>
                <w:b w:val="0"/>
                <w:sz w:val="19"/>
              </w:rPr>
              <w:t>R1</w:t>
            </w:r>
          </w:p>
        </w:tc>
        <w:tc>
          <w:tcPr>
            <w:tcW w:type="dxa" w:w="2880"/>
          </w:tcPr>
          <w:p>
            <w:r/>
            <w:r>
              <w:rPr>
                <w:b w:val="0"/>
                <w:sz w:val="19"/>
              </w:rPr>
              <w:t>Panduan SPMI Sarjana dan Sarjana Terapan 2024 (SK Rektor) — Standar 3: Mahasiswa dan Layanan Kemahasiswaan (butir 3.1.1-3.3.2)</w:t>
            </w:r>
          </w:p>
        </w:tc>
        <w:tc>
          <w:tcPr>
            <w:tcW w:type="dxa" w:w="2880"/>
          </w:tcPr>
          <w:p>
            <w:r/>
            <w:r>
              <w:rPr>
                <w:b w:val="0"/>
                <w:sz w:val="19"/>
              </w:rPr>
              <w:t>Institut Teknologi Sepuluh Nopember (ITS) — dokumen panduan SPMI/instrumen akreditasi internal</w:t>
            </w:r>
          </w:p>
        </w:tc>
      </w:tr>
      <w:tr>
        <w:tc>
          <w:tcPr>
            <w:tcW w:type="dxa" w:w="2880"/>
          </w:tcPr>
          <w:p>
            <w:r/>
            <w:r>
              <w:rPr>
                <w:b w:val="0"/>
                <w:sz w:val="19"/>
              </w:rPr>
              <w:t>R2</w:t>
            </w:r>
          </w:p>
        </w:tc>
        <w:tc>
          <w:tcPr>
            <w:tcW w:type="dxa" w:w="2880"/>
          </w:tcPr>
          <w:p>
            <w:r/>
            <w:r>
              <w:rPr>
                <w:b w:val="0"/>
                <w:sz w:val="19"/>
              </w:rPr>
              <w:t>Matriks Penilaian LED dan LKPS Sarjana APS Akademik dan Vokasi Teknik 2025 — Kriteria VI. Mahasiswa dan Luaran Mahasiswa (butir 41, 43, 46, 47)</w:t>
            </w:r>
          </w:p>
        </w:tc>
        <w:tc>
          <w:tcPr>
            <w:tcW w:type="dxa" w:w="2880"/>
          </w:tcPr>
          <w:p>
            <w:r/>
            <w:r>
              <w:rPr>
                <w:b w:val="0"/>
                <w:sz w:val="19"/>
              </w:rPr>
              <w:t>LAM Teknik (Lembaga Akreditasi Mandiri Teknik)</w:t>
            </w:r>
          </w:p>
        </w:tc>
      </w:tr>
      <w:tr>
        <w:tc>
          <w:tcPr>
            <w:tcW w:type="dxa" w:w="2880"/>
          </w:tcPr>
          <w:p>
            <w:r/>
            <w:r>
              <w:rPr>
                <w:b w:val="0"/>
                <w:sz w:val="19"/>
              </w:rPr>
              <w:t>R3</w:t>
            </w:r>
          </w:p>
        </w:tc>
        <w:tc>
          <w:tcPr>
            <w:tcW w:type="dxa" w:w="2880"/>
          </w:tcPr>
          <w:p>
            <w:r/>
            <w:r>
              <w:rPr>
                <w:b w:val="0"/>
                <w:sz w:val="19"/>
              </w:rPr>
              <w:t>Kriteria Unggul 2.1 LAM INFOKOM — Kriteria 2: Relevansi Pendidikan, sub-elemen Penerimaan Mahasiswa Baru dan Prestasi Mahasiswa (butir 2.1.A, 2.2.D, 2.3.D, 2.4.A)</w:t>
            </w:r>
          </w:p>
        </w:tc>
        <w:tc>
          <w:tcPr>
            <w:tcW w:type="dxa" w:w="2880"/>
          </w:tcPr>
          <w:p>
            <w:r/>
            <w:r>
              <w:rPr>
                <w:b w:val="0"/>
                <w:sz w:val="19"/>
              </w:rPr>
              <w:t>LAM INFOKOM (Lembaga Akreditasi Mandiri Informatika dan Komputer)</w:t>
            </w:r>
          </w:p>
        </w:tc>
      </w:tr>
      <w:tr>
        <w:tc>
          <w:tcPr>
            <w:tcW w:type="dxa" w:w="2880"/>
          </w:tcPr>
          <w:p>
            <w:r/>
            <w:r>
              <w:rPr>
                <w:b w:val="0"/>
                <w:sz w:val="19"/>
              </w:rPr>
              <w:t>R4</w:t>
            </w:r>
          </w:p>
        </w:tc>
        <w:tc>
          <w:tcPr>
            <w:tcW w:type="dxa" w:w="2880"/>
          </w:tcPr>
          <w:p>
            <w:r/>
            <w:r>
              <w:rPr>
                <w:b w:val="0"/>
                <w:sz w:val="19"/>
              </w:rPr>
              <w:t>Dokumen SPMI Fasilkom 2023 (rev) — Standar Layanan Kemahasiswaan</w:t>
            </w:r>
          </w:p>
        </w:tc>
        <w:tc>
          <w:tcPr>
            <w:tcW w:type="dxa" w:w="2880"/>
          </w:tcPr>
          <w:p>
            <w:r/>
            <w:r>
              <w:rPr>
                <w:b w:val="0"/>
                <w:sz w:val="19"/>
              </w:rPr>
              <w:t>Fakultas Ilmu Komputer, Universitas Pembangunan Nasional "Veteran" Jawa Timur (UPN Veteran Jatim)</w:t>
            </w:r>
          </w:p>
        </w:tc>
      </w:tr>
      <w:tr>
        <w:tc>
          <w:tcPr>
            <w:tcW w:type="dxa" w:w="2880"/>
          </w:tcPr>
          <w:p>
            <w:r/>
            <w:r>
              <w:rPr>
                <w:b w:val="0"/>
                <w:sz w:val="19"/>
              </w:rPr>
              <w:t>R5</w:t>
            </w:r>
          </w:p>
        </w:tc>
        <w:tc>
          <w:tcPr>
            <w:tcW w:type="dxa" w:w="2880"/>
          </w:tcPr>
          <w:p>
            <w:r/>
            <w:r>
              <w:rPr>
                <w:b w:val="0"/>
                <w:sz w:val="19"/>
              </w:rPr>
              <w:t>9. Standar SPMI Tahun 2022 — 6.1. Standar Layanan Kemahasiswaan</w:t>
            </w:r>
          </w:p>
        </w:tc>
        <w:tc>
          <w:tcPr>
            <w:tcW w:type="dxa" w:w="2880"/>
          </w:tcPr>
          <w:p>
            <w:r/>
            <w:r>
              <w:rPr>
                <w:b w:val="0"/>
                <w:sz w:val="19"/>
              </w:rPr>
              <w:t>Universitas Trunojoyo Madura (UTM)</w:t>
            </w:r>
          </w:p>
        </w:tc>
      </w:tr>
    </w:tbl>
    <w:p/>
    <w:p>
      <w:pPr>
        <w:spacing w:before="280" w:after="120"/>
      </w:pPr>
      <w:r>
        <w:rPr>
          <w:b/>
          <w:sz w:val="26"/>
        </w:rPr>
        <w:t>B. PEMETAAN PER TEMA STANDAR</w:t>
      </w:r>
    </w:p>
    <w:p>
      <w:pPr>
        <w:spacing w:after="120"/>
      </w:pPr>
      <w:r>
        <w:rPr>
          <w:b/>
          <w:i w:val="0"/>
        </w:rPr>
        <w:t>Tema 1. Kebijakan dan Sistem Penerimaan Mahasiswa Baru (PMB)</w:t>
      </w:r>
    </w:p>
    <w:p>
      <w:pPr>
        <w:spacing w:after="120"/>
      </w:pPr>
      <w:r>
        <w:rPr>
          <w:b w:val="0"/>
          <w:i w:val="0"/>
        </w:rPr>
        <w:t>Ketentuan FTII UNISBANK: Rektor menetapkan kebijakan, pedoman, dan sistem penerimaan mahasiswa baru yang transparan, objektif, akuntabel, dan berkeadilan; FTII bersama Program Studi melaksanakan promosi, rekrutmen, dan seleksi mahasiswa baru sesuai pedoman universitas.</w:t>
      </w:r>
    </w:p>
    <w:p>
      <w:pPr>
        <w:spacing w:after="120"/>
      </w:pPr>
      <w:r>
        <w:rPr>
          <w:b w:val="0"/>
          <w:i w:val="0"/>
        </w:rPr>
        <w:t>Analisis Kesesuaian: SELARAS PENUH dengan R1 dan R3 — keduanya menempatkan PMB (rasio pendaftar:mahasiswa baru, keragaman asal, afirmasi, mahasiswa berkebutuhan khusus) sebagai indikator/kriteria eksplisit dengan bukti sahih pada skor tertinggi. R2 memuat indikator kuantitatif terkait (persentase mahasiswa asing PMA≥1% untuk skor 4), yang TIDAK ADA padanannya secara eksplisit pada dokumen FTII saat ini — merupakan area potensi penguatan. R4 TIDAK DITEMUKAN pembahasan PMB (dokumen SPMI Fasilkom UPN Veteran Jatim fokus pada layanan kemahasiswaan, bukan rekrutmen — kemungkinan PMB diatur di level universitas, di luar cakupan dokumen yang diekstrak). R5 hanya menyinggung PMB secara tidak langsung melalui penyebutan "laman informasi penerimaan mahasiswa baru" sebagai bagian sistem informasi terintegrasi, tanpa merinci kebijakan/mekanisme seleksi.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3.1.1 Mahasiswa (Indikator Kinerja Utama - Kualitas Input Mahasiswa): 'Rasio jumlah pendaftar terhadap jumlah mahasiswa baru' (Tabel 2.a. LKA Seleksi Mahasiswa Baru); Butir 3.1.2 Mahasiswa asing: 'Persentase jumlah mahasiswa asing terhadap jumlah seluruh mahasiswa'.</w:t>
            </w:r>
          </w:p>
        </w:tc>
      </w:tr>
      <w:tr>
        <w:tc>
          <w:tcPr>
            <w:tcW w:type="dxa" w:w="4320"/>
          </w:tcPr>
          <w:p>
            <w:r/>
            <w:r>
              <w:rPr>
                <w:b w:val="0"/>
                <w:sz w:val="19"/>
              </w:rPr>
              <w:t>R2</w:t>
            </w:r>
          </w:p>
        </w:tc>
        <w:tc>
          <w:tcPr>
            <w:tcW w:type="dxa" w:w="4320"/>
          </w:tcPr>
          <w:p>
            <w:r/>
            <w:r>
              <w:rPr>
                <w:b w:val="0"/>
                <w:sz w:val="19"/>
              </w:rPr>
              <w:t>Butir 41 'Persentase Mahasiswa Asing (PMA)': skor sempurna (4) jika PMA ≥ 1%; skor 2 jika PMA &lt; 1% dengan formula skor = 2 + (200 x PMA).</w:t>
            </w:r>
          </w:p>
        </w:tc>
      </w:tr>
      <w:tr>
        <w:tc>
          <w:tcPr>
            <w:tcW w:type="dxa" w:w="4320"/>
          </w:tcPr>
          <w:p>
            <w:r/>
            <w:r>
              <w:rPr>
                <w:b w:val="0"/>
                <w:sz w:val="19"/>
              </w:rPr>
              <w:t>R3</w:t>
            </w:r>
          </w:p>
        </w:tc>
        <w:tc>
          <w:tcPr>
            <w:tcW w:type="dxa" w:w="4320"/>
          </w:tcPr>
          <w:p>
            <w:r/>
            <w:r>
              <w:rPr>
                <w:b w:val="0"/>
                <w:sz w:val="19"/>
              </w:rPr>
              <w:t>Kriteria 2.1.A [Penetapan] &amp; 2.4.A [Pengendalian]: kebijakan/tindak lanjut terkait '...penerimaan mahasiswa baru dalam rangka perluasan akses, keragaman asal calon mahasiswa (misal: asal, suku, jenis kelamin), program afirmasi, dan calon mahasiswa berkebutuhan khusus', skor 4 'disertai bukti-bukti yang sahih dan sangat lengkap'.</w:t>
            </w:r>
          </w:p>
        </w:tc>
      </w:tr>
      <w:tr>
        <w:tc>
          <w:tcPr>
            <w:tcW w:type="dxa" w:w="4320"/>
          </w:tcPr>
          <w:p>
            <w:r/>
            <w:r>
              <w:rPr>
                <w:b w:val="0"/>
                <w:sz w:val="19"/>
              </w:rPr>
              <w:t>R4</w:t>
            </w:r>
          </w:p>
        </w:tc>
        <w:tc>
          <w:tcPr>
            <w:tcW w:type="dxa" w:w="4320"/>
          </w:tcPr>
          <w:p>
            <w:r/>
            <w:r>
              <w:rPr>
                <w:b w:val="0"/>
                <w:sz w:val="19"/>
              </w:rPr>
              <w:t>tidak ditemukan pembahasan eksplisit mengenai kebijakan/mekanisme PMB pada Standar Layanan Kemahasiswaan Fasilkom.</w:t>
            </w:r>
          </w:p>
        </w:tc>
      </w:tr>
      <w:tr>
        <w:tc>
          <w:tcPr>
            <w:tcW w:type="dxa" w:w="4320"/>
          </w:tcPr>
          <w:p>
            <w:r/>
            <w:r>
              <w:rPr>
                <w:b w:val="0"/>
                <w:sz w:val="19"/>
              </w:rPr>
              <w:t>R5</w:t>
            </w:r>
          </w:p>
        </w:tc>
        <w:tc>
          <w:tcPr>
            <w:tcW w:type="dxa" w:w="4320"/>
          </w:tcPr>
          <w:p>
            <w:r/>
            <w:r>
              <w:rPr>
                <w:b w:val="0"/>
                <w:sz w:val="19"/>
              </w:rPr>
              <w:t>Pernyataan Isi Standar No.7 (sistem informasi terintegrasi) menyebut 'Laman informasi penerimaan mahasiswa baru (PMB)' sebagai salah satu layanan sistem informasi, tanpa merinci kebijakan/mekanisme seleksi PMB tersendiri.</w:t>
            </w:r>
          </w:p>
        </w:tc>
      </w:tr>
    </w:tbl>
    <w:p/>
    <w:p>
      <w:pPr>
        <w:spacing w:after="120"/>
      </w:pPr>
      <w:r>
        <w:rPr>
          <w:b/>
          <w:i w:val="0"/>
        </w:rPr>
        <w:t>Tema 2. Peningkatan Animo Calon Mahasiswa (Lokal, Nasional, Internasional)</w:t>
      </w:r>
    </w:p>
    <w:p>
      <w:pPr>
        <w:spacing w:after="120"/>
      </w:pPr>
      <w:r>
        <w:rPr>
          <w:b w:val="0"/>
          <w:i w:val="0"/>
        </w:rPr>
        <w:t>Ketentuan FTII UNISBANK: Rektor menetapkan kebijakan peningkatan animo calon mahasiswa; FTII berpartisipasi dalam promosi, pameran pendidikan, dan kunjungan sekolah untuk meningkatkan animo calon mahasiswa pada tingkat lokal, nasional, dan internasional.</w:t>
      </w:r>
    </w:p>
    <w:p>
      <w:pPr>
        <w:spacing w:after="120"/>
      </w:pPr>
      <w:r>
        <w:rPr>
          <w:b w:val="0"/>
          <w:i w:val="0"/>
        </w:rPr>
        <w:t>Analisis Kesesuaian: SELARAS dengan R1, dan R1 memberikan AMBANG KUANTITATIF EKSPLISIT yang TIDAK DIMILIKI FTII saat ini — rubrik R1 menyebut skor sempurna tercapai jika peningkatan animo calon mahasiswa (pendaftar) &gt;10% dalam 1 tahun terakhir, sedangkan Standar Kemahasiswaan FTII hanya menyatakan kewajiban peningkatan animo tanpa ambang persentase. R2, R3, R4, dan R5 TIDAK DITEMUKAN pembahasan eksplisit tentang 'animo calon mahasiswa' sebagai indikator terpisah (termuat implisit dalam pembahasan PMB pada R3).</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3.2.1 'Mahasiswa - Keberlanjutan': 'Upaya yang dilakukan UPPS dan PS untuk meningkatkan animo calon mahasiswa dan bukti keberhasilannya'; rubrik terkait menyebut ambang skor sempurna tercapai jika terjadi peningkatan animo calon mahasiswa (&gt;10%) pendaftar dalam 1 tahun terakhir.</w:t>
            </w:r>
          </w:p>
        </w:tc>
      </w:tr>
      <w:tr>
        <w:tc>
          <w:tcPr>
            <w:tcW w:type="dxa" w:w="4320"/>
          </w:tcPr>
          <w:p>
            <w:r/>
            <w:r>
              <w:rPr>
                <w:b w:val="0"/>
                <w:sz w:val="19"/>
              </w:rPr>
              <w:t>R2</w:t>
            </w:r>
          </w:p>
        </w:tc>
        <w:tc>
          <w:tcPr>
            <w:tcW w:type="dxa" w:w="4320"/>
          </w:tcPr>
          <w:p>
            <w:r/>
            <w:r>
              <w:rPr>
                <w:b w:val="0"/>
                <w:sz w:val="19"/>
              </w:rPr>
              <w:t>tidak ditemukan pembahasan eksplisit mengenai animo calon mahasiswa.</w:t>
            </w:r>
          </w:p>
        </w:tc>
      </w:tr>
      <w:tr>
        <w:tc>
          <w:tcPr>
            <w:tcW w:type="dxa" w:w="4320"/>
          </w:tcPr>
          <w:p>
            <w:r/>
            <w:r>
              <w:rPr>
                <w:b w:val="0"/>
                <w:sz w:val="19"/>
              </w:rPr>
              <w:t>R3</w:t>
            </w:r>
          </w:p>
        </w:tc>
        <w:tc>
          <w:tcPr>
            <w:tcW w:type="dxa" w:w="4320"/>
          </w:tcPr>
          <w:p>
            <w:r/>
            <w:r>
              <w:rPr>
                <w:b w:val="0"/>
                <w:sz w:val="19"/>
              </w:rPr>
              <w:t>tidak ditemukan pembahasan eksplisit terpisah mengenai 'animo'; termuat implisit dalam Kriteria 2.1.A terkait perluasan akses PMB.</w:t>
            </w:r>
          </w:p>
        </w:tc>
      </w:tr>
      <w:tr>
        <w:tc>
          <w:tcPr>
            <w:tcW w:type="dxa" w:w="4320"/>
          </w:tcPr>
          <w:p>
            <w:r/>
            <w:r>
              <w:rPr>
                <w:b w:val="0"/>
                <w:sz w:val="19"/>
              </w:rPr>
              <w:t>R4</w:t>
            </w:r>
          </w:p>
        </w:tc>
        <w:tc>
          <w:tcPr>
            <w:tcW w:type="dxa" w:w="4320"/>
          </w:tcPr>
          <w:p>
            <w:r/>
            <w:r>
              <w:rPr>
                <w:b w:val="0"/>
                <w:sz w:val="19"/>
              </w:rPr>
              <w:t>tidak ditemukan pembahasan eksplisit mengenai animo calon mahasiswa.</w:t>
            </w:r>
          </w:p>
        </w:tc>
      </w:tr>
      <w:tr>
        <w:tc>
          <w:tcPr>
            <w:tcW w:type="dxa" w:w="4320"/>
          </w:tcPr>
          <w:p>
            <w:r/>
            <w:r>
              <w:rPr>
                <w:b w:val="0"/>
                <w:sz w:val="19"/>
              </w:rPr>
              <w:t>R5</w:t>
            </w:r>
          </w:p>
        </w:tc>
        <w:tc>
          <w:tcPr>
            <w:tcW w:type="dxa" w:w="4320"/>
          </w:tcPr>
          <w:p>
            <w:r/>
            <w:r>
              <w:rPr>
                <w:b w:val="0"/>
                <w:sz w:val="19"/>
              </w:rPr>
              <w:t>tidak ditemukan pembahasan eksplisit mengenai animo calon mahasiswa.</w:t>
            </w:r>
          </w:p>
        </w:tc>
      </w:tr>
    </w:tbl>
    <w:p/>
    <w:p>
      <w:pPr>
        <w:spacing w:after="120"/>
      </w:pPr>
      <w:r>
        <w:rPr>
          <w:b/>
          <w:i w:val="0"/>
        </w:rPr>
        <w:t>Tema 3. Layanan Kemahasiswaan (Minat-Bakat, Organisasi, Bimbingan Karier, Kewirausahaan, Beasiswa, Konseling, Kesehatan)</w:t>
      </w:r>
    </w:p>
    <w:p>
      <w:pPr>
        <w:spacing w:after="120"/>
      </w:pPr>
      <w:r>
        <w:rPr>
          <w:b w:val="0"/>
          <w:i w:val="0"/>
        </w:rPr>
        <w:t>Ketentuan FTII UNISBANK: FTII wajib memiliki dan melaksanakan pedoman layanan kemahasiswaan yang mencakup pembinaan minat dan bakat, organisasi kemahasiswaan, bimbingan karier, kewirausahaan, layanan beasiswa, bimbingan dan konseling, serta layanan kesehatan mahasiswa.</w:t>
      </w:r>
    </w:p>
    <w:p>
      <w:pPr>
        <w:spacing w:after="120"/>
      </w:pPr>
      <w:r>
        <w:rPr>
          <w:b w:val="0"/>
          <w:i w:val="0"/>
        </w:rPr>
        <w:t>Analisis Kesesuaian: SANGAT SELARAS dan RINCIANNYA IDENTIK dengan R4 dan R5 — ketiganya (FTII, R4, R5) memerinci komponen layanan yang hampir sama persis: bimbingan karier/informasi kerja, kewirausahaan, beasiswa, konseling, kesehatan, dan pembinaan minat-bakat. R1 menilai ketersediaan dan mutu layanan kemahasiswaan sebagai indikator tersendiri namun tanpa merinci komponen layanan. R2 dan R3 TIDAK DITEMUKAN kriteria tersendiri tentang struktur layanan kemahasiswaan — keduanya berfokus pada indikator input/prestasi/luaran mahasiswa, bukan struktur layanan.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R1</w:t>
            </w:r>
          </w:p>
        </w:tc>
        <w:tc>
          <w:tcPr>
            <w:tcW w:type="dxa" w:w="4320"/>
          </w:tcPr>
          <w:p>
            <w:r/>
            <w:r>
              <w:rPr>
                <w:b w:val="0"/>
                <w:sz w:val="19"/>
              </w:rPr>
              <w:t>Butir 3.3.1 'Layanan Kemahasiswaan': 'A. Ketersediaan layanan kemahasiswaan'; Butir 3.3.2 'Mahasiswa – Mutu Layanan Kemahasiswaan': 'B. Akses dan mutu layanan kemahasiswaan'.</w:t>
            </w:r>
          </w:p>
        </w:tc>
      </w:tr>
      <w:tr>
        <w:tc>
          <w:tcPr>
            <w:tcW w:type="dxa" w:w="4320"/>
          </w:tcPr>
          <w:p>
            <w:r/>
            <w:r>
              <w:rPr>
                <w:b w:val="0"/>
                <w:sz w:val="19"/>
              </w:rPr>
              <w:t>R2</w:t>
            </w:r>
          </w:p>
        </w:tc>
        <w:tc>
          <w:tcPr>
            <w:tcW w:type="dxa" w:w="4320"/>
          </w:tcPr>
          <w:p>
            <w:r/>
            <w:r>
              <w:rPr>
                <w:b w:val="0"/>
                <w:sz w:val="19"/>
              </w:rPr>
              <w:t>tidak ditemukan kriteria tersendiri mengenai struktur/komponen layanan kemahasiswaan pada Kriteria VI.</w:t>
            </w:r>
          </w:p>
        </w:tc>
      </w:tr>
      <w:tr>
        <w:tc>
          <w:tcPr>
            <w:tcW w:type="dxa" w:w="4320"/>
          </w:tcPr>
          <w:p>
            <w:r/>
            <w:r>
              <w:rPr>
                <w:b w:val="0"/>
                <w:sz w:val="19"/>
              </w:rPr>
              <w:t>R3</w:t>
            </w:r>
          </w:p>
        </w:tc>
        <w:tc>
          <w:tcPr>
            <w:tcW w:type="dxa" w:w="4320"/>
          </w:tcPr>
          <w:p>
            <w:r/>
            <w:r>
              <w:rPr>
                <w:b w:val="0"/>
                <w:sz w:val="19"/>
              </w:rPr>
              <w:t>tidak ditemukan kriteria tersendiri mengenai struktur/komponen layanan kemahasiswaan pada Kriteria 2.</w:t>
            </w:r>
          </w:p>
        </w:tc>
      </w:tr>
      <w:tr>
        <w:tc>
          <w:tcPr>
            <w:tcW w:type="dxa" w:w="4320"/>
          </w:tcPr>
          <w:p>
            <w:r/>
            <w:r>
              <w:rPr>
                <w:b w:val="0"/>
                <w:sz w:val="19"/>
              </w:rPr>
              <w:t>R4</w:t>
            </w:r>
          </w:p>
        </w:tc>
        <w:tc>
          <w:tcPr>
            <w:tcW w:type="dxa" w:w="4320"/>
          </w:tcPr>
          <w:p>
            <w:r/>
            <w:r>
              <w:rPr>
                <w:b w:val="0"/>
                <w:sz w:val="19"/>
              </w:rPr>
              <w:t>Rasional &amp; Pernyataan Standar: 'Fakultas mengimplementasikan dan mengendalikan layanan kemahasiswaan...'; IKU No.1: persentase program studi/unit yang menerapkan Standar Layanan Kemahasiswaan universitas (target ≥90% naik menjadi 100%).</w:t>
            </w:r>
          </w:p>
        </w:tc>
      </w:tr>
      <w:tr>
        <w:tc>
          <w:tcPr>
            <w:tcW w:type="dxa" w:w="4320"/>
          </w:tcPr>
          <w:p>
            <w:r/>
            <w:r>
              <w:rPr>
                <w:b w:val="0"/>
                <w:sz w:val="19"/>
              </w:rPr>
              <w:t>R5</w:t>
            </w:r>
          </w:p>
        </w:tc>
        <w:tc>
          <w:tcPr>
            <w:tcW w:type="dxa" w:w="4320"/>
          </w:tcPr>
          <w:p>
            <w:r/>
            <w:r>
              <w:rPr>
                <w:b w:val="0"/>
                <w:sz w:val="19"/>
              </w:rPr>
              <w:t>Pernyataan Isi Standar No.3-4: dokumen kebijakan dan program kegiatan kemahasiswaan mencakup 'pemberian layanan, bimbingan karir dan informasi kerja...penyelenggaraan bursa kerja secara berkala, perencanaan karir, pelatihan melamar kerja dan layanan penempatan kerja', serta unit pembinaan 'bimbingan konseling, penyaluran minat dan bakat, pembinaan soft skills, beasiswa dan layanan kesehatan'.</w:t>
            </w:r>
          </w:p>
        </w:tc>
      </w:tr>
    </w:tbl>
    <w:p/>
    <w:p>
      <w:pPr>
        <w:spacing w:after="120"/>
      </w:pPr>
      <w:r>
        <w:rPr>
          <w:b/>
          <w:i w:val="0"/>
        </w:rPr>
        <w:t>Tema 4. Optimalisasi dan Evaluasi Berkala Layanan Kemahasiswaan</w:t>
      </w:r>
    </w:p>
    <w:p>
      <w:pPr>
        <w:spacing w:after="120"/>
      </w:pPr>
      <w:r>
        <w:rPr>
          <w:b w:val="0"/>
          <w:i w:val="0"/>
        </w:rPr>
        <w:t>Ketentuan FTII UNISBANK: FTII wajib melakukan upaya optimalisasi secara berkelanjutan terhadap layanan kemahasiswaan dan mengevaluasi efektivitas layanan tersebut secara berkala.</w:t>
      </w:r>
    </w:p>
    <w:p>
      <w:pPr>
        <w:spacing w:after="120"/>
      </w:pPr>
      <w:r>
        <w:rPr>
          <w:b w:val="0"/>
          <w:i w:val="0"/>
        </w:rPr>
        <w:t>Analisis Kesesuaian: SELARAS, dan R4 LEBIH TERUKUR — R4 menetapkan ambang frekuensi monev eksplisit (≥1 kali/tahun) dan target persentase tindak lanjut hasil monev (dari ≥70% naik menjadi ≥95%), sedangkan FTII hanya menyatakan 'secara berkelanjutan/berkala' tanpa ambang kuantitatif. R5 turut menegaskan evaluasi kepuasan mahasiswa dilakukan setiap tahun akademik dan audit internal oleh Pusat Jaminan Mutu. R1 memuat optimalisasi secara implisit dalam indikator mutu layanan (butir 3.3.2) tanpa indikator optimalisasi terpisah. R3 TIDAK DITEMUKAN pembahasan eksplisit.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IKU No.6: 'Frekuensi monitoring dan evaluasi internal ketercapaian layanan kemahasiswaan di tingkat fakultas per tahun' (target ≥1 kali); IKU No.7: 'Persentase rekomendasi hasil monitoring dan evaluasi internal layanan kemahasiswaan yang ditindaklanjuti menjadi perbaikan layanan' (target ≥70% naik menjadi ≥95%); Mekanisme Evaluasi No.1-4.</w:t>
            </w:r>
          </w:p>
        </w:tc>
      </w:tr>
      <w:tr>
        <w:tc>
          <w:tcPr>
            <w:tcW w:type="dxa" w:w="4320"/>
          </w:tcPr>
          <w:p>
            <w:r/>
            <w:r>
              <w:rPr>
                <w:b w:val="0"/>
                <w:sz w:val="19"/>
              </w:rPr>
              <w:t>R5</w:t>
            </w:r>
          </w:p>
        </w:tc>
        <w:tc>
          <w:tcPr>
            <w:tcW w:type="dxa" w:w="4320"/>
          </w:tcPr>
          <w:p>
            <w:r/>
            <w:r>
              <w:rPr>
                <w:b w:val="0"/>
                <w:sz w:val="19"/>
              </w:rPr>
              <w:t>Pernyataan Isi Standar No.6: 'Ketua Biro Akademik dan Kemahasiswaan memastikan tersusunnya instrumen dan tata cara pengukuran kepuasan mahasiswa...yang dievaluasi setiap tahun akademik'; Strategi No.3: 'Pusat Jaminan Mutu melaksanakan audit internal untuk mengukur pelaksanaan dan ketercapaian standar layanan kemahasiswaan'.</w:t>
            </w:r>
          </w:p>
        </w:tc>
      </w:tr>
      <w:tr>
        <w:tc>
          <w:tcPr>
            <w:tcW w:type="dxa" w:w="4320"/>
          </w:tcPr>
          <w:p>
            <w:r/>
            <w:r>
              <w:rPr>
                <w:b w:val="0"/>
                <w:sz w:val="19"/>
              </w:rPr>
              <w:t>R1</w:t>
            </w:r>
          </w:p>
        </w:tc>
        <w:tc>
          <w:tcPr>
            <w:tcW w:type="dxa" w:w="4320"/>
          </w:tcPr>
          <w:p>
            <w:r/>
            <w:r>
              <w:rPr>
                <w:b w:val="0"/>
                <w:sz w:val="19"/>
              </w:rPr>
              <w:t>termuat implisit dalam Butir 3.3.2 (akses dan mutu layanan kemahasiswaan), tanpa indikator optimalisasi/evaluasi berkala yang eksplisit dan terpisah.</w:t>
            </w:r>
          </w:p>
        </w:tc>
      </w:tr>
      <w:tr>
        <w:tc>
          <w:tcPr>
            <w:tcW w:type="dxa" w:w="4320"/>
          </w:tcPr>
          <w:p>
            <w:r/>
            <w:r>
              <w:rPr>
                <w:b w:val="0"/>
                <w:sz w:val="19"/>
              </w:rPr>
              <w:t>R2</w:t>
            </w:r>
          </w:p>
        </w:tc>
        <w:tc>
          <w:tcPr>
            <w:tcW w:type="dxa" w:w="4320"/>
          </w:tcPr>
          <w:p>
            <w:r/>
            <w:r>
              <w:rPr>
                <w:b w:val="0"/>
                <w:sz w:val="19"/>
              </w:rPr>
              <w:t>tidak ditemukan pembahasan eksplisit mengenai optimalisasi/evaluasi berkala layanan kemahasiswaan.</w:t>
            </w:r>
          </w:p>
        </w:tc>
      </w:tr>
      <w:tr>
        <w:tc>
          <w:tcPr>
            <w:tcW w:type="dxa" w:w="4320"/>
          </w:tcPr>
          <w:p>
            <w:r/>
            <w:r>
              <w:rPr>
                <w:b w:val="0"/>
                <w:sz w:val="19"/>
              </w:rPr>
              <w:t>R3</w:t>
            </w:r>
          </w:p>
        </w:tc>
        <w:tc>
          <w:tcPr>
            <w:tcW w:type="dxa" w:w="4320"/>
          </w:tcPr>
          <w:p>
            <w:r/>
            <w:r>
              <w:rPr>
                <w:b w:val="0"/>
                <w:sz w:val="19"/>
              </w:rPr>
              <w:t>tidak ditemukan pembahasan eksplisit mengenai optimalisasi/evaluasi berkala layanan kemahasiswaan.</w:t>
            </w:r>
          </w:p>
        </w:tc>
      </w:tr>
    </w:tbl>
    <w:p/>
    <w:p>
      <w:pPr>
        <w:spacing w:after="120"/>
      </w:pPr>
      <w:r>
        <w:rPr>
          <w:b/>
          <w:i w:val="0"/>
        </w:rPr>
        <w:t>Tema 5. Fasilitasi Partisipasi Mahasiswa dalam Kegiatan Akademik/Non-akademik untuk Prestasi dan Rekognisi</w:t>
      </w:r>
    </w:p>
    <w:p>
      <w:pPr>
        <w:spacing w:after="120"/>
      </w:pPr>
      <w:r>
        <w:rPr>
          <w:b w:val="0"/>
          <w:i w:val="0"/>
        </w:rPr>
        <w:t>Ketentuan FTII UNISBANK: FTII wajib memfasilitasi mahasiswa mengikuti kegiatan akademik dan non-akademik pada tingkat lokal, nasional, maupun internasional guna meningkatkan prestasi dan rekognisi mahasiswa.</w:t>
      </w:r>
    </w:p>
    <w:p>
      <w:pPr>
        <w:spacing w:after="120"/>
      </w:pPr>
      <w:r>
        <w:rPr>
          <w:b w:val="0"/>
          <w:i w:val="0"/>
        </w:rPr>
        <w:t>Analisis Kesesuaian: SELARAS dengan R3 pada aspek rekognisi — R3 menilai prestasi mahasiswa dari sisi 'pengakuan (rekognisi) dan apresiasi' oleh masyarakat/DUDIKA sebagai bagian penilaian pelaksanaan dan evaluasi (butir 2.2.D dan 2.3.D). R1, R2, R4, dan R5 tidak memuat pernyataan terpisah tentang 'fasilitasi partisipasi' (termuat menyatu dengan indikator jumlah/rasio prestasi pada Tema 6).</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R3</w:t>
            </w:r>
          </w:p>
        </w:tc>
        <w:tc>
          <w:tcPr>
            <w:tcW w:type="dxa" w:w="4320"/>
          </w:tcPr>
          <w:p>
            <w:r/>
            <w:r>
              <w:rPr>
                <w:b w:val="0"/>
                <w:sz w:val="19"/>
              </w:rPr>
              <w:t>Butir 2.2.D [Pelaksanaan] &amp; 2.3.D [Evaluasi]: '...prestasi mahasiswa dan kompetensi lulusan yang dapat dinilai dari: 1. Pengakuan (rekognisi)...'; skor 4: '...disertai bukti-bukti yang sahih dan sangat lengkap'.</w:t>
            </w:r>
          </w:p>
        </w:tc>
      </w:tr>
      <w:tr>
        <w:tc>
          <w:tcPr>
            <w:tcW w:type="dxa" w:w="4320"/>
          </w:tcPr>
          <w:p>
            <w:r/>
            <w:r>
              <w:rPr>
                <w:b w:val="0"/>
                <w:sz w:val="19"/>
              </w:rPr>
              <w:t>R1</w:t>
            </w:r>
          </w:p>
        </w:tc>
        <w:tc>
          <w:tcPr>
            <w:tcW w:type="dxa" w:w="4320"/>
          </w:tcPr>
          <w:p>
            <w:r/>
            <w:r>
              <w:rPr>
                <w:b w:val="0"/>
                <w:sz w:val="19"/>
              </w:rPr>
              <w:t>tidak ditemukan pernyataan terpisah mengenai fasilitasi partisipasi (termuat dalam indikator jumlah prestasi lain).</w:t>
            </w:r>
          </w:p>
        </w:tc>
      </w:tr>
      <w:tr>
        <w:tc>
          <w:tcPr>
            <w:tcW w:type="dxa" w:w="4320"/>
          </w:tcPr>
          <w:p>
            <w:r/>
            <w:r>
              <w:rPr>
                <w:b w:val="0"/>
                <w:sz w:val="19"/>
              </w:rPr>
              <w:t>R2</w:t>
            </w:r>
          </w:p>
        </w:tc>
        <w:tc>
          <w:tcPr>
            <w:tcW w:type="dxa" w:w="4320"/>
          </w:tcPr>
          <w:p>
            <w:r/>
            <w:r>
              <w:rPr>
                <w:b w:val="0"/>
                <w:sz w:val="19"/>
              </w:rPr>
              <w:t>tidak ditemukan pernyataan terpisah; fasilitasi partisipasi termuat implisit dalam perhitungan rasio prestasi (lihat Tema 6).</w:t>
            </w:r>
          </w:p>
        </w:tc>
      </w:tr>
      <w:tr>
        <w:tc>
          <w:tcPr>
            <w:tcW w:type="dxa" w:w="4320"/>
          </w:tcPr>
          <w:p>
            <w:r/>
            <w:r>
              <w:rPr>
                <w:b w:val="0"/>
                <w:sz w:val="19"/>
              </w:rPr>
              <w:t>R4</w:t>
            </w:r>
          </w:p>
        </w:tc>
        <w:tc>
          <w:tcPr>
            <w:tcW w:type="dxa" w:w="4320"/>
          </w:tcPr>
          <w:p>
            <w:r/>
            <w:r>
              <w:rPr>
                <w:b w:val="0"/>
                <w:sz w:val="19"/>
              </w:rPr>
              <w:t>tidak ditemukan pernyataan terpisah; fasilitasi termuat implisit dalam IKU jumlah prestasi (lihat Tema 6).</w:t>
            </w:r>
          </w:p>
        </w:tc>
      </w:tr>
      <w:tr>
        <w:tc>
          <w:tcPr>
            <w:tcW w:type="dxa" w:w="4320"/>
          </w:tcPr>
          <w:p>
            <w:r/>
            <w:r>
              <w:rPr>
                <w:b w:val="0"/>
                <w:sz w:val="19"/>
              </w:rPr>
              <w:t>R5</w:t>
            </w:r>
          </w:p>
        </w:tc>
        <w:tc>
          <w:tcPr>
            <w:tcW w:type="dxa" w:w="4320"/>
          </w:tcPr>
          <w:p>
            <w:r/>
            <w:r>
              <w:rPr>
                <w:b w:val="0"/>
                <w:sz w:val="19"/>
              </w:rPr>
              <w:t>tidak ditemukan pernyataan terpisah; fasilitasi termuat implisit dalam kebijakan pembinaan prestasi (lihat Tema 6).</w:t>
            </w:r>
          </w:p>
        </w:tc>
      </w:tr>
    </w:tbl>
    <w:p/>
    <w:p>
      <w:pPr>
        <w:spacing w:after="120"/>
      </w:pPr>
      <w:r>
        <w:rPr>
          <w:b/>
          <w:i w:val="0"/>
        </w:rPr>
        <w:t>Tema 6. Pendataan, Pembinaan, dan Pelaporan Prestasi Mahasiswa (Akademik dan Non-akademik)</w:t>
      </w:r>
    </w:p>
    <w:p>
      <w:pPr>
        <w:spacing w:after="120"/>
      </w:pPr>
      <w:r>
        <w:rPr>
          <w:b w:val="0"/>
          <w:i w:val="0"/>
        </w:rPr>
        <w:t>Ketentuan FTII UNISBANK: FTII wajib melakukan pendataan, pembinaan, monitoring, dan pelaporan terhadap prestasi mahasiswa akademik maupun non-akademik secara berkala dan terdokumentasi, dengan target jumlah prestasi akademik 4 (2023/24) naik menjadi 7 (2026/27), dan non-akademik 12 naik menjadi 18 (angka absolut, gabungan seluruh tingkat lokal/nasional/internasional, tingkat fakultas).</w:t>
      </w:r>
    </w:p>
    <w:p>
      <w:pPr>
        <w:spacing w:after="120"/>
      </w:pPr>
      <w:r>
        <w:rPr>
          <w:b w:val="0"/>
          <w:i w:val="0"/>
        </w:rPr>
        <w:t>Analisis Kesesuaian: SELARAS SECARA KUALITATIF namun GAP METODOLOGIS pada satuan pengukuran — R2, R4, dan R5 secara konsisten menggunakan RASIO atau JUMLAH PER PROGRAM STUDI, bukan angka absolut gabungan tingkat fakultas seperti FTII. R2 menghitung rasio jumlah prestasi terhadap jumlah mahasiswa (ambang skor 4: rasio internasional &gt;0,2%, nasional &gt;2%, wilayah/lokal &gt;4%). R4 dan R5 SECARA IDENTIK menetapkan ambang 'minimal 3 prestasi akademik dan minimal 6 prestasi non-akademik dalam 3 tahun terakhir PER PROGRAM STUDI' — berbeda unit waktu (3 tahun, bukan 1 tahun) dan berbeda unit analisis (per program studi, bukan gabungan fakultas) dari target FTII. Tanpa mengetahui jumlah program studi dan populasi mahasiswa FTII, target 4-7 (akademik) dan 12-18 (non-akademik) per tahun tidak dapat langsung diverifikasi kesetaraannya terhadap ambang R2/R4/R5. Temuan ini KONSISTEN dengan gap metodologis serupa yang telah teridentifikasi pada pemetaan Standar Luaran Pendidikan FTII sebelumnya. R1 TIDAK DITEMUKAN indikator prestasi mahasiswa tersendiri pada bagian yang diekstrak (butir 3.x berfokus pada input dan layanan, bukan luaran prestasi).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R2</w:t>
            </w:r>
          </w:p>
        </w:tc>
        <w:tc>
          <w:tcPr>
            <w:tcW w:type="dxa" w:w="4320"/>
          </w:tcPr>
          <w:p>
            <w:r/>
            <w:r>
              <w:rPr>
                <w:b w:val="0"/>
                <w:sz w:val="19"/>
              </w:rPr>
              <w:t>Butir 43 'Prestasi akademik dan nonakademik mahasiswa': skor 4 jika RI (rasio internasional) &gt; a=0,2% dan RN (rasio nasional) &gt; b=2% (dari jumlah mahasiswa NM), turut memperhitungkan RW (rasio wilayah/lokal, c=4%); dihitung terpisah untuk prestasi akademik (I) dan non-akademik (II).</w:t>
            </w:r>
          </w:p>
        </w:tc>
      </w:tr>
      <w:tr>
        <w:tc>
          <w:tcPr>
            <w:tcW w:type="dxa" w:w="4320"/>
          </w:tcPr>
          <w:p>
            <w:r/>
            <w:r>
              <w:rPr>
                <w:b w:val="0"/>
                <w:sz w:val="19"/>
              </w:rPr>
              <w:t>R4</w:t>
            </w:r>
          </w:p>
        </w:tc>
        <w:tc>
          <w:tcPr>
            <w:tcW w:type="dxa" w:w="4320"/>
          </w:tcPr>
          <w:p>
            <w:r/>
            <w:r>
              <w:rPr>
                <w:b w:val="0"/>
                <w:sz w:val="19"/>
              </w:rPr>
              <w:t>IKU No.4: 'Jumlah prestasi akademik mahasiswa dalam 3 tahun terakhir per program studi di fakultas' (target ≥3); IKU No.5: 'Jumlah prestasi non-akademik mahasiswa dalam 3 tahun terakhir per program studi di fakultas' (target ≥6).</w:t>
            </w:r>
          </w:p>
        </w:tc>
      </w:tr>
      <w:tr>
        <w:tc>
          <w:tcPr>
            <w:tcW w:type="dxa" w:w="4320"/>
          </w:tcPr>
          <w:p>
            <w:r/>
            <w:r>
              <w:rPr>
                <w:b w:val="0"/>
                <w:sz w:val="19"/>
              </w:rPr>
              <w:t>R5</w:t>
            </w:r>
          </w:p>
        </w:tc>
        <w:tc>
          <w:tcPr>
            <w:tcW w:type="dxa" w:w="4320"/>
          </w:tcPr>
          <w:p>
            <w:r/>
            <w:r>
              <w:rPr>
                <w:b w:val="0"/>
                <w:sz w:val="19"/>
              </w:rPr>
              <w:t>Indikator No.5: 'Jumlah prestasi akademik mahasiswa di tingkat wilayah/nasional/internasional minimal 3 dalam 3 tahun terakhir per masing-masing program studi; Jumlah prestasi non akademik...minimal 6 dalam 3 tahun terakhir per masing-masing program studi' — identik dengan R4.</w:t>
            </w:r>
          </w:p>
        </w:tc>
      </w:tr>
      <w:tr>
        <w:tc>
          <w:tcPr>
            <w:tcW w:type="dxa" w:w="4320"/>
          </w:tcPr>
          <w:p>
            <w:r/>
            <w:r>
              <w:rPr>
                <w:b w:val="0"/>
                <w:sz w:val="19"/>
              </w:rPr>
              <w:t>R1</w:t>
            </w:r>
          </w:p>
        </w:tc>
        <w:tc>
          <w:tcPr>
            <w:tcW w:type="dxa" w:w="4320"/>
          </w:tcPr>
          <w:p>
            <w:r/>
            <w:r>
              <w:rPr>
                <w:b w:val="0"/>
                <w:sz w:val="19"/>
              </w:rPr>
              <w:t>tidak ditemukan indikator prestasi mahasiswa tersendiri pada bagian Standar 3 (Mahasiswa dan Layanan Kemahasiswaan) yang diekstrak.</w:t>
            </w:r>
          </w:p>
        </w:tc>
      </w:tr>
      <w:tr>
        <w:tc>
          <w:tcPr>
            <w:tcW w:type="dxa" w:w="4320"/>
          </w:tcPr>
          <w:p>
            <w:r/>
            <w:r>
              <w:rPr>
                <w:b w:val="0"/>
                <w:sz w:val="19"/>
              </w:rPr>
              <w:t>R3</w:t>
            </w:r>
          </w:p>
        </w:tc>
        <w:tc>
          <w:tcPr>
            <w:tcW w:type="dxa" w:w="4320"/>
          </w:tcPr>
          <w:p>
            <w:r/>
            <w:r>
              <w:rPr>
                <w:b w:val="0"/>
                <w:sz w:val="19"/>
              </w:rPr>
              <w:t>prestasi mahasiswa dinilai secara kualitatif melalui rekognisi/apresiasi (lihat Tema 5), tanpa ambang jumlah/rasio kuantitatif eksplisit pada Kriteria 2.</w:t>
            </w:r>
          </w:p>
        </w:tc>
      </w:tr>
    </w:tbl>
    <w:p/>
    <w:p>
      <w:pPr>
        <w:spacing w:after="120"/>
      </w:pPr>
      <w:r>
        <w:rPr>
          <w:b/>
          <w:i w:val="0"/>
        </w:rPr>
        <w:t>Tema 7. Luaran Penelitian dan Pengabdian kepada Masyarakat (PkM) Mahasiswa (Publikasi, HKI)</w:t>
      </w:r>
    </w:p>
    <w:p>
      <w:pPr>
        <w:spacing w:after="120"/>
      </w:pPr>
      <w:r>
        <w:rPr>
          <w:b w:val="0"/>
          <w:i w:val="0"/>
        </w:rPr>
        <w:t>Ketentuan FTII UNISBANK: FTII bersama Program Studi wajib mendorong dan memfasilitasi mahasiswa menghasilkan luaran penelitian dan PkM, baik mandiri maupun bersama dosen, dipublikasikan pada jurnal, prosiding, HKI, atau bentuk luaran lain yang diakui, dengan target jumlah luaran 93 (2023/24) naik menjadi 105 (2026/27).</w:t>
      </w:r>
    </w:p>
    <w:p>
      <w:pPr>
        <w:spacing w:after="120"/>
      </w:pPr>
      <w:r>
        <w:rPr>
          <w:b w:val="0"/>
          <w:i w:val="0"/>
        </w:rPr>
        <w:t>Analisis Kesesuaian: SELARAS PENUH dengan R2 — R2 secara spesifik memiliki dua indikator terpisah yang persis mencakup ketentuan FTII ini: publikasi ilmiah mahasiswa (butir 46) dan luaran penelitian/PkM mahasiswa dalam bentuk paten, teknologi tepat guna, buku, dan HKI (butir 47, ambang skor 4 jika NLP≥10). R1, R3, R4, dan R5 TIDAK DITEMUKAN pembahasan eksplisit tentang publikasi/luaran mahasiswa sebagai indikator tersendiri pada bagian kemahasiswaan yang diekstrak (kemungkinan termuat pada standar penelitian/PkM institusi yang terpisah, di luar cakupan dokumen ini).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R2</w:t>
            </w:r>
          </w:p>
        </w:tc>
        <w:tc>
          <w:tcPr>
            <w:tcW w:type="dxa" w:w="4320"/>
          </w:tcPr>
          <w:p>
            <w:r/>
            <w:r>
              <w:rPr>
                <w:b w:val="0"/>
                <w:sz w:val="19"/>
              </w:rPr>
              <w:t>Butir 46 'Publikasi ilmiah mahasiswa...dihasilkan secara mandiri atau bersama DTPS': skor 4 jika RI&gt;a(0,01) dan RN&gt;b(0,1); Butir 47 'Luaran penelitian dan PkM yang dihasilkan mahasiswa untuk mendukung visi UPPS dan Visi Keilmuan Program Studi': skor 4 jika NLP (paten, TTG, buku/book chapter, HKI) ≥ 10.</w:t>
            </w:r>
          </w:p>
        </w:tc>
      </w:tr>
      <w:tr>
        <w:tc>
          <w:tcPr>
            <w:tcW w:type="dxa" w:w="4320"/>
          </w:tcPr>
          <w:p>
            <w:r/>
            <w:r>
              <w:rPr>
                <w:b w:val="0"/>
                <w:sz w:val="19"/>
              </w:rPr>
              <w:t>R1</w:t>
            </w:r>
          </w:p>
        </w:tc>
        <w:tc>
          <w:tcPr>
            <w:tcW w:type="dxa" w:w="4320"/>
          </w:tcPr>
          <w:p>
            <w:r/>
            <w:r>
              <w:rPr>
                <w:b w:val="0"/>
                <w:sz w:val="19"/>
              </w:rPr>
              <w:t>tidak ditemukan pembahasan eksplisit mengenai publikasi/luaran penelitian-PkM mahasiswa pada bagian Standar 3 yang diekstrak.</w:t>
            </w:r>
          </w:p>
        </w:tc>
      </w:tr>
      <w:tr>
        <w:tc>
          <w:tcPr>
            <w:tcW w:type="dxa" w:w="4320"/>
          </w:tcPr>
          <w:p>
            <w:r/>
            <w:r>
              <w:rPr>
                <w:b w:val="0"/>
                <w:sz w:val="19"/>
              </w:rPr>
              <w:t>R3</w:t>
            </w:r>
          </w:p>
        </w:tc>
        <w:tc>
          <w:tcPr>
            <w:tcW w:type="dxa" w:w="4320"/>
          </w:tcPr>
          <w:p>
            <w:r/>
            <w:r>
              <w:rPr>
                <w:b w:val="0"/>
                <w:sz w:val="19"/>
              </w:rPr>
              <w:t>tidak ditemukan pembahasan eksplisit mengenai publikasi/luaran mahasiswa pada Kriteria 2.</w:t>
            </w:r>
          </w:p>
        </w:tc>
      </w:tr>
      <w:tr>
        <w:tc>
          <w:tcPr>
            <w:tcW w:type="dxa" w:w="4320"/>
          </w:tcPr>
          <w:p>
            <w:r/>
            <w:r>
              <w:rPr>
                <w:b w:val="0"/>
                <w:sz w:val="19"/>
              </w:rPr>
              <w:t>R4</w:t>
            </w:r>
          </w:p>
        </w:tc>
        <w:tc>
          <w:tcPr>
            <w:tcW w:type="dxa" w:w="4320"/>
          </w:tcPr>
          <w:p>
            <w:r/>
            <w:r>
              <w:rPr>
                <w:b w:val="0"/>
                <w:sz w:val="19"/>
              </w:rPr>
              <w:t>tidak ditemukan pembahasan eksplisit mengenai publikasi/luaran penelitian-PkM mahasiswa pada Standar Layanan Kemahasiswaan.</w:t>
            </w:r>
          </w:p>
        </w:tc>
      </w:tr>
      <w:tr>
        <w:tc>
          <w:tcPr>
            <w:tcW w:type="dxa" w:w="4320"/>
          </w:tcPr>
          <w:p>
            <w:r/>
            <w:r>
              <w:rPr>
                <w:b w:val="0"/>
                <w:sz w:val="19"/>
              </w:rPr>
              <w:t>R5</w:t>
            </w:r>
          </w:p>
        </w:tc>
        <w:tc>
          <w:tcPr>
            <w:tcW w:type="dxa" w:w="4320"/>
          </w:tcPr>
          <w:p>
            <w:r/>
            <w:r>
              <w:rPr>
                <w:b w:val="0"/>
                <w:sz w:val="19"/>
              </w:rPr>
              <w:t>tidak ditemukan pembahasan eksplisit mengenai publikasi/luaran penelitian-PkM mahasiswa pada 6.1.</w:t>
            </w:r>
          </w:p>
        </w:tc>
      </w:tr>
    </w:tbl>
    <w:p/>
    <w:p>
      <w:pPr>
        <w:spacing w:after="120"/>
      </w:pPr>
      <w:r>
        <w:rPr>
          <w:b/>
          <w:i w:val="0"/>
        </w:rPr>
        <w:t>Tema 8. Tracer Study dan Survei Kepuasan Pengguna Lulusan</w:t>
      </w:r>
    </w:p>
    <w:p>
      <w:pPr>
        <w:spacing w:after="120"/>
      </w:pPr>
      <w:r>
        <w:rPr>
          <w:b w:val="0"/>
          <w:i w:val="0"/>
        </w:rPr>
        <w:t>Ketentuan FTII UNISBANK: FTII bersama Program Studi wajib melaksanakan tracer study dan survei kepuasan pengguna lulusan secara berkala sebagai dasar evaluasi mutu layanan kemahasiswaan dan pengembangan kurikulum.</w:t>
      </w:r>
    </w:p>
    <w:p>
      <w:pPr>
        <w:spacing w:after="120"/>
      </w:pPr>
      <w:r>
        <w:rPr>
          <w:b w:val="0"/>
          <w:i w:val="0"/>
        </w:rPr>
        <w:t>Analisis Kesesuaian: SELARAS PENUH dengan R2 (pelaksanaan tracer study dinilai berjenjang berdasarkan koordinasi, keteraturan, kuesioner inti DIKTI, cakupan populasi, dan pemanfaatan hasil). Tema ini TUMPANG TINDIH dengan Standar Luaran Pendidikan FTII yang telah dipetakan secara rinci pada dokumen 'standarkomptensilulusan.docx' sebelumnya — rincian kutipan R1/R3/R4/R5 terkait tracer study dan kepuasan pengguna lulusan tidak diulang secara detail di sini untuk menghindari duplikasi; hasil pemetaan tersebut menyatakan SELARAS PENUH dengan seluruh 5 rujukan.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R2</w:t>
            </w:r>
          </w:p>
        </w:tc>
        <w:tc>
          <w:tcPr>
            <w:tcW w:type="dxa" w:w="4320"/>
          </w:tcPr>
          <w:p>
            <w:r/>
            <w:r>
              <w:rPr>
                <w:b w:val="0"/>
                <w:sz w:val="19"/>
              </w:rPr>
              <w:t>Butir 48 'Pelaksanaan tracer study': skor dinilai berjenjang berdasarkan koordinasi tingkat universitas, keteraturan tahunan, kuesioner inti DIKTI, cakupan populasi lulusan, dan pemanfaatan hasil untuk pengembangan kurikulum.</w:t>
            </w:r>
          </w:p>
        </w:tc>
      </w:tr>
      <w:tr>
        <w:tc>
          <w:tcPr>
            <w:tcW w:type="dxa" w:w="4320"/>
          </w:tcPr>
          <w:p>
            <w:r/>
            <w:r>
              <w:rPr>
                <w:b w:val="0"/>
                <w:sz w:val="19"/>
              </w:rPr>
              <w:t>R1, R3, R4, R5</w:t>
            </w:r>
          </w:p>
        </w:tc>
        <w:tc>
          <w:tcPr>
            <w:tcW w:type="dxa" w:w="4320"/>
          </w:tcPr>
          <w:p>
            <w:r/>
            <w:r>
              <w:rPr>
                <w:b w:val="0"/>
                <w:sz w:val="19"/>
              </w:rPr>
              <w:t>lihat rincian pemetaan lengkap pada dokumen 'Pemetaan Standar Luaran Pendidikan FTII vs 5 Dokumen Rujukan' (standarkomptensilulusan.docx) — tema tracer study &amp; kepuasan pengguna lulusan SELARAS PENUH dengan kelima rujukan tersebut.</w:t>
            </w:r>
          </w:p>
        </w:tc>
      </w:tr>
    </w:tbl>
    <w:p/>
    <w:p>
      <w:pPr>
        <w:spacing w:after="120"/>
      </w:pPr>
      <w:r>
        <w:rPr>
          <w:b/>
          <w:i w:val="0"/>
        </w:rPr>
        <w:t>Tema 9. Evaluasi Berkala Kebijakan, Pelaksanaan, dan Ketercapaian Standar Kemahasiswaan</w:t>
      </w:r>
    </w:p>
    <w:p>
      <w:pPr>
        <w:spacing w:after="120"/>
      </w:pPr>
      <w:r>
        <w:rPr>
          <w:b w:val="0"/>
          <w:i w:val="0"/>
        </w:rPr>
        <w:t>Ketentuan FTII UNISBANK: FTII wajib melakukan evaluasi secara berkala terhadap kebijakan, pelaksanaan, dan ketercapaian Standar Kemahasiswaan serta menyusun tindak lanjut untuk peningkatan mutu secara berkelanjutan.</w:t>
      </w:r>
    </w:p>
    <w:p>
      <w:pPr>
        <w:spacing w:after="120"/>
      </w:pPr>
      <w:r>
        <w:rPr>
          <w:b w:val="0"/>
          <w:i w:val="0"/>
        </w:rPr>
        <w:t>Analisis Kesesuaian: SELARAS PENUH dengan R4 dan R5 — keduanya menerapkan siklus evaluasi-audit-tindak lanjut yang setara: R4 melalui monev GPM, AMI, dan RTM; R5 melalui audit internal Pusat Jaminan Mutu (LP3MP) serta 5 manual PPEPP tersendiri untuk Standar Layanan Kemahasiswaan. R1 menilai hal ini secara implisit dalam rubrik mutu layanan (3.3.2). R3 TIDAK DITEMUKAN pembahasan eksplisit pada Kriteria 2 terkait evaluasi berkala standar kemahasiswaan secara spesifik (evaluasi Kriteria 2 lebih berfokus pada CPL/kurikulum/sarana pendidikan).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Mekanisme Evaluasi No.1-4: 'Monitoring dan evaluasi internal layanan kemahasiswaan oleh GPM Fakultas setiap tahun'; 'Audit Mutu Internal (AMI)'; 'Rapat tinjauan manajemen fakultas untuk menetapkan tindak lanjut'.</w:t>
            </w:r>
          </w:p>
        </w:tc>
      </w:tr>
      <w:tr>
        <w:tc>
          <w:tcPr>
            <w:tcW w:type="dxa" w:w="4320"/>
          </w:tcPr>
          <w:p>
            <w:r/>
            <w:r>
              <w:rPr>
                <w:b w:val="0"/>
                <w:sz w:val="19"/>
              </w:rPr>
              <w:t>R5</w:t>
            </w:r>
          </w:p>
        </w:tc>
        <w:tc>
          <w:tcPr>
            <w:tcW w:type="dxa" w:w="4320"/>
          </w:tcPr>
          <w:p>
            <w:r/>
            <w:r>
              <w:rPr>
                <w:b w:val="0"/>
                <w:sz w:val="19"/>
              </w:rPr>
              <w:t>Pernyataan Isi Standar No.10: 'LP3MP melakukan monitoring dan evaluasi Standar layanan kemahasiswaan'; Strategi No.3: audit internal Pusat Jaminan Mutu; Dokumen Terkait No.2-6: 5 manual PPEPP (Penetapan, Pelaksanaan, Evaluasi, Pengendalian, Peningkatan) Standar Layanan Kemahasiswaan.</w:t>
            </w:r>
          </w:p>
        </w:tc>
      </w:tr>
      <w:tr>
        <w:tc>
          <w:tcPr>
            <w:tcW w:type="dxa" w:w="4320"/>
          </w:tcPr>
          <w:p>
            <w:r/>
            <w:r>
              <w:rPr>
                <w:b w:val="0"/>
                <w:sz w:val="19"/>
              </w:rPr>
              <w:t>R1</w:t>
            </w:r>
          </w:p>
        </w:tc>
        <w:tc>
          <w:tcPr>
            <w:tcW w:type="dxa" w:w="4320"/>
          </w:tcPr>
          <w:p>
            <w:r/>
            <w:r>
              <w:rPr>
                <w:b w:val="0"/>
                <w:sz w:val="19"/>
              </w:rPr>
              <w:t>termuat implisit dalam rubrik Butir 3.3.2 (mutu layanan kemahasiswaan), tanpa siklus evaluasi eksplisit tersendiri.</w:t>
            </w:r>
          </w:p>
        </w:tc>
      </w:tr>
      <w:tr>
        <w:tc>
          <w:tcPr>
            <w:tcW w:type="dxa" w:w="4320"/>
          </w:tcPr>
          <w:p>
            <w:r/>
            <w:r>
              <w:rPr>
                <w:b w:val="0"/>
                <w:sz w:val="19"/>
              </w:rPr>
              <w:t>R3</w:t>
            </w:r>
          </w:p>
        </w:tc>
        <w:tc>
          <w:tcPr>
            <w:tcW w:type="dxa" w:w="4320"/>
          </w:tcPr>
          <w:p>
            <w:r/>
            <w:r>
              <w:rPr>
                <w:b w:val="0"/>
                <w:sz w:val="19"/>
              </w:rPr>
              <w:t>tidak ditemukan pembahasan eksplisit mengenai evaluasi berkala standar kemahasiswaan secara spesifik pada Kriteria 2.</w:t>
            </w:r>
          </w:p>
        </w:tc>
      </w:tr>
    </w:tbl>
    <w:p/>
    <w:p>
      <w:pPr>
        <w:spacing w:after="120"/>
      </w:pPr>
      <w:r>
        <w:rPr>
          <w:b/>
          <w:i w:val="0"/>
        </w:rPr>
        <w:t>Tema 10. Budaya Prestasi, Kreativitas, Inovasi, dan Kewirausahaan Mahasiswa</w:t>
      </w:r>
    </w:p>
    <w:p>
      <w:pPr>
        <w:spacing w:after="120"/>
      </w:pPr>
      <w:r>
        <w:rPr>
          <w:b w:val="0"/>
          <w:i w:val="0"/>
        </w:rPr>
        <w:t>Ketentuan FTII UNISBANK: FTII wajib mengembangkan budaya prestasi, kreativitas, inovasi, dan kewirausahaan mahasiswa yang selaras dengan visi, misi, dan tujuan fakultas.</w:t>
      </w:r>
    </w:p>
    <w:p>
      <w:pPr>
        <w:spacing w:after="120"/>
      </w:pPr>
      <w:r>
        <w:rPr>
          <w:b w:val="0"/>
          <w:i w:val="0"/>
        </w:rPr>
        <w:t>Analisis Kesesuaian: SELARAS dengan R4 — R4 memiliki pernyataan standar dan IKU tersendiri untuk kewirausahaan mahasiswa dengan ambang kuantitatif eksplisit (≥200 mahasiswa terlibat/tahun) yang TIDAK DIMILIKI FTII saat ini. R5 turut memuat 'kewirausahaan' sebagai salah satu unsur layanan pembinaan dan mendefinisikannya secara eksplisit sebagai istilah tersendiri. R1 menyebut adanya unit khusus (PK2M - Pengembangan Karir dan Kewirausahaan Mahasiswa) serta pembekalan kewirausahaan berbasis teknologi. R2 dan R3 TIDAK DITEMUKAN pembahasan eksplisit mengenai kewirausahaan mahasiswa sebagai kriteria tersendiri.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Pernyataan Standar No.3 &amp; IKU No.3: 'Fakultas memfasilitasi dan mengoordinasikan pengembangan kewirausahaan mahasiswa' — 'Jumlah mahasiswa di fakultas yang terlibat dalam kegiatan kewirausahaan setiap tahun' (target ≥200 orang/tahun).</w:t>
            </w:r>
          </w:p>
        </w:tc>
      </w:tr>
      <w:tr>
        <w:tc>
          <w:tcPr>
            <w:tcW w:type="dxa" w:w="4320"/>
          </w:tcPr>
          <w:p>
            <w:r/>
            <w:r>
              <w:rPr>
                <w:b w:val="0"/>
                <w:sz w:val="19"/>
              </w:rPr>
              <w:t>R5</w:t>
            </w:r>
          </w:p>
        </w:tc>
        <w:tc>
          <w:tcPr>
            <w:tcW w:type="dxa" w:w="4320"/>
          </w:tcPr>
          <w:p>
            <w:r/>
            <w:r>
              <w:rPr>
                <w:b w:val="0"/>
                <w:sz w:val="19"/>
              </w:rPr>
              <w:t>Definisi Istilah No.20: 'Kewirausahaan adalah kesatuan rangkaian...'; Pernyataan Isi Standar No.4 poin f: layanan unit pembinaan mencakup 'Kewirausahaan' sebagai salah satu unsur.</w:t>
            </w:r>
          </w:p>
        </w:tc>
      </w:tr>
      <w:tr>
        <w:tc>
          <w:tcPr>
            <w:tcW w:type="dxa" w:w="4320"/>
          </w:tcPr>
          <w:p>
            <w:r/>
            <w:r>
              <w:rPr>
                <w:b w:val="0"/>
                <w:sz w:val="19"/>
              </w:rPr>
              <w:t>R1</w:t>
            </w:r>
          </w:p>
        </w:tc>
        <w:tc>
          <w:tcPr>
            <w:tcW w:type="dxa" w:w="4320"/>
          </w:tcPr>
          <w:p>
            <w:r/>
            <w:r>
              <w:rPr>
                <w:b w:val="0"/>
                <w:sz w:val="19"/>
              </w:rPr>
              <w:t>menyebut 'PK2M: Sub Direktorat Pengembangan Karir dan Kewirausahaan Mahasiswa' sebagai unit terkait, serta rubrik yang menyebut 'membekali lulusan dengan pengetahuan kewirausahaan berbasis teknologi'.</w:t>
            </w:r>
          </w:p>
        </w:tc>
      </w:tr>
      <w:tr>
        <w:tc>
          <w:tcPr>
            <w:tcW w:type="dxa" w:w="4320"/>
          </w:tcPr>
          <w:p>
            <w:r/>
            <w:r>
              <w:rPr>
                <w:b w:val="0"/>
                <w:sz w:val="19"/>
              </w:rPr>
              <w:t>R2</w:t>
            </w:r>
          </w:p>
        </w:tc>
        <w:tc>
          <w:tcPr>
            <w:tcW w:type="dxa" w:w="4320"/>
          </w:tcPr>
          <w:p>
            <w:r/>
            <w:r>
              <w:rPr>
                <w:b w:val="0"/>
                <w:sz w:val="19"/>
              </w:rPr>
              <w:t>tidak ditemukan pembahasan eksplisit mengenai kewirausahaan mahasiswa.</w:t>
            </w:r>
          </w:p>
        </w:tc>
      </w:tr>
      <w:tr>
        <w:tc>
          <w:tcPr>
            <w:tcW w:type="dxa" w:w="4320"/>
          </w:tcPr>
          <w:p>
            <w:r/>
            <w:r>
              <w:rPr>
                <w:b w:val="0"/>
                <w:sz w:val="19"/>
              </w:rPr>
              <w:t>R3</w:t>
            </w:r>
          </w:p>
        </w:tc>
        <w:tc>
          <w:tcPr>
            <w:tcW w:type="dxa" w:w="4320"/>
          </w:tcPr>
          <w:p>
            <w:r/>
            <w:r>
              <w:rPr>
                <w:b w:val="0"/>
                <w:sz w:val="19"/>
              </w:rPr>
              <w:t>tidak ditemukan pembahasan eksplisit mengenai kewirausahaan mahasiswa.</w:t>
            </w:r>
          </w:p>
        </w:tc>
      </w:tr>
    </w:tbl>
    <w:p/>
    <w:p>
      <w:pPr>
        <w:spacing w:after="120"/>
      </w:pPr>
      <w:r>
        <w:rPr>
          <w:b/>
          <w:i w:val="0"/>
        </w:rPr>
        <w:t>Tema 11. Dokumentasi dan Pelaporan Kegiatan Kemahasiswaan dalam SPMI</w:t>
      </w:r>
    </w:p>
    <w:p>
      <w:pPr>
        <w:spacing w:after="120"/>
      </w:pPr>
      <w:r>
        <w:rPr>
          <w:b w:val="0"/>
          <w:i w:val="0"/>
        </w:rPr>
        <w:t>Ketentuan FTII UNISBANK: FTII wajib mendokumentasikan seluruh kegiatan dan capaian kemahasiswaan secara sistematis serta melaporkannya kepada Universitas sebagai bagian dari implementasi Sistem Penjaminan Mutu Internal (SPMI).</w:t>
      </w:r>
    </w:p>
    <w:p>
      <w:pPr>
        <w:spacing w:after="120"/>
      </w:pPr>
      <w:r>
        <w:rPr>
          <w:b w:val="0"/>
          <w:i w:val="0"/>
        </w:rPr>
        <w:t>Analisis Kesesuaian: SELARAS dengan R4 dan R5 — keduanya memiliki daftar dokumen/bukti pendukung yang setara: R4 memuat 7 jenis dokumen (kebijakan, instrumen kepuasan, program kewirausahaan, data prestasi, laporan monev, laporan AMI, dokumen tindak lanjut); R5 memuat Kebijakan SPMI ditambah 5 manual PPEPP dan formulir evaluasi. R1, R2, dan R3 TIDAK DITEMUKAN persyaratan dokumentasi khusus untuk bidang kemahasiswaan secara terpisah — dokumentasi bagi ketiganya termuat dalam kerangka umum bukti akreditasi/SPMI institusi.</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19"/>
              </w:rPr>
              <w:t>Dokumen Rujukan</w:t>
            </w:r>
          </w:p>
        </w:tc>
        <w:tc>
          <w:tcPr>
            <w:tcW w:type="dxa" w:w="4320"/>
            <w:shd w:val="clear" w:color="auto" w:fill="D9D9D9"/>
          </w:tcPr>
          <w:p>
            <w:r/>
            <w:r>
              <w:rPr>
                <w:b/>
                <w:sz w:val="19"/>
              </w:rPr>
              <w:t>Ketentuan / Indikator Terkait</w:t>
            </w:r>
          </w:p>
        </w:tc>
      </w:tr>
      <w:tr>
        <w:tc>
          <w:tcPr>
            <w:tcW w:type="dxa" w:w="4320"/>
          </w:tcPr>
          <w:p>
            <w:r/>
            <w:r>
              <w:rPr>
                <w:b w:val="0"/>
                <w:sz w:val="19"/>
              </w:rPr>
              <w:t>R4</w:t>
            </w:r>
          </w:p>
        </w:tc>
        <w:tc>
          <w:tcPr>
            <w:tcW w:type="dxa" w:w="4320"/>
          </w:tcPr>
          <w:p>
            <w:r/>
            <w:r>
              <w:rPr>
                <w:b w:val="0"/>
                <w:sz w:val="19"/>
              </w:rPr>
              <w:t>Dokumen/Bukti Pendukung No.1-7: dokumen standar &amp; kebijakan; instrumen &amp; laporan kepuasan mahasiswa; dokumen program kewirausahaan; data prestasi; laporan monev; laporan AMI; dokumen tindak lanjut.</w:t>
            </w:r>
          </w:p>
        </w:tc>
      </w:tr>
      <w:tr>
        <w:tc>
          <w:tcPr>
            <w:tcW w:type="dxa" w:w="4320"/>
          </w:tcPr>
          <w:p>
            <w:r/>
            <w:r>
              <w:rPr>
                <w:b w:val="0"/>
                <w:sz w:val="19"/>
              </w:rPr>
              <w:t>R5</w:t>
            </w:r>
          </w:p>
        </w:tc>
        <w:tc>
          <w:tcPr>
            <w:tcW w:type="dxa" w:w="4320"/>
          </w:tcPr>
          <w:p>
            <w:r/>
            <w:r>
              <w:rPr>
                <w:b w:val="0"/>
                <w:sz w:val="19"/>
              </w:rPr>
              <w:t>Dokumen Terkait No.1-7: Kebijakan SPMI; Manual Penetapan/Pelaksanaan/Evaluasi/Pengendalian/Peningkatan Standar Layanan Kemahasiswaan; Formulir Evaluasi Pelaksanaan Standar.</w:t>
            </w:r>
          </w:p>
        </w:tc>
      </w:tr>
      <w:tr>
        <w:tc>
          <w:tcPr>
            <w:tcW w:type="dxa" w:w="4320"/>
          </w:tcPr>
          <w:p>
            <w:r/>
            <w:r>
              <w:rPr>
                <w:b w:val="0"/>
                <w:sz w:val="19"/>
              </w:rPr>
              <w:t>R1</w:t>
            </w:r>
          </w:p>
        </w:tc>
        <w:tc>
          <w:tcPr>
            <w:tcW w:type="dxa" w:w="4320"/>
          </w:tcPr>
          <w:p>
            <w:r/>
            <w:r>
              <w:rPr>
                <w:b w:val="0"/>
                <w:sz w:val="19"/>
              </w:rPr>
              <w:t>tidak ditemukan persyaratan dokumentasi khusus bidang kemahasiswaan yang terpisah dari kerangka bukti akreditasi umum.</w:t>
            </w:r>
          </w:p>
        </w:tc>
      </w:tr>
      <w:tr>
        <w:tc>
          <w:tcPr>
            <w:tcW w:type="dxa" w:w="4320"/>
          </w:tcPr>
          <w:p>
            <w:r/>
            <w:r>
              <w:rPr>
                <w:b w:val="0"/>
                <w:sz w:val="19"/>
              </w:rPr>
              <w:t>R2</w:t>
            </w:r>
          </w:p>
        </w:tc>
        <w:tc>
          <w:tcPr>
            <w:tcW w:type="dxa" w:w="4320"/>
          </w:tcPr>
          <w:p>
            <w:r/>
            <w:r>
              <w:rPr>
                <w:b w:val="0"/>
                <w:sz w:val="19"/>
              </w:rPr>
              <w:t>tidak ditemukan persyaratan dokumentasi khusus; bukti kemahasiswaan termuat dalam Tabel LKPS/LED umum.</w:t>
            </w:r>
          </w:p>
        </w:tc>
      </w:tr>
      <w:tr>
        <w:tc>
          <w:tcPr>
            <w:tcW w:type="dxa" w:w="4320"/>
          </w:tcPr>
          <w:p>
            <w:r/>
            <w:r>
              <w:rPr>
                <w:b w:val="0"/>
                <w:sz w:val="19"/>
              </w:rPr>
              <w:t>R3</w:t>
            </w:r>
          </w:p>
        </w:tc>
        <w:tc>
          <w:tcPr>
            <w:tcW w:type="dxa" w:w="4320"/>
          </w:tcPr>
          <w:p>
            <w:r/>
            <w:r>
              <w:rPr>
                <w:b w:val="0"/>
                <w:sz w:val="19"/>
              </w:rPr>
              <w:t>tidak ditemukan persyaratan dokumentasi khusus yang terpisah dari bukti sahih pada rubrik Kriteria 2.</w:t>
            </w:r>
          </w:p>
        </w:tc>
      </w:tr>
    </w:tbl>
    <w:p/>
    <w:p>
      <w:pPr>
        <w:spacing w:before="280" w:after="120"/>
      </w:pPr>
      <w:r>
        <w:rPr>
          <w:b/>
          <w:sz w:val="26"/>
        </w:rPr>
        <w:t>C. TABEL RINGKASAN KESESUAIAN</w:t>
      </w:r>
    </w:p>
    <w:p>
      <w:pPr>
        <w:spacing w:after="120"/>
      </w:pPr>
      <w:r>
        <w:rPr>
          <w:b w:val="0"/>
          <w:i w:val="0"/>
        </w:rPr>
        <w:t>Ringkasan status kesesuaian Standar Kemahasiswaan FTII terhadap kelima dokumen rujukan per tema, disusun berdasarkan analisis pada bagian B di atas.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9"/>
              </w:rPr>
              <w:t>Indikator/Tema</w:t>
            </w:r>
          </w:p>
        </w:tc>
        <w:tc>
          <w:tcPr>
            <w:tcW w:type="dxa" w:w="2160"/>
            <w:shd w:val="clear" w:color="auto" w:fill="D9D9D9"/>
          </w:tcPr>
          <w:p>
            <w:r/>
            <w:r>
              <w:rPr>
                <w:b/>
                <w:sz w:val="19"/>
              </w:rPr>
              <w:t>Ketentuan FTII</w:t>
            </w:r>
          </w:p>
        </w:tc>
        <w:tc>
          <w:tcPr>
            <w:tcW w:type="dxa" w:w="2160"/>
            <w:shd w:val="clear" w:color="auto" w:fill="D9D9D9"/>
          </w:tcPr>
          <w:p>
            <w:r/>
            <w:r>
              <w:rPr>
                <w:b/>
                <w:sz w:val="19"/>
              </w:rPr>
              <w:t>Rujukan Relevan (R1-R5)</w:t>
            </w:r>
          </w:p>
        </w:tc>
        <w:tc>
          <w:tcPr>
            <w:tcW w:type="dxa" w:w="2160"/>
            <w:shd w:val="clear" w:color="auto" w:fill="D9D9D9"/>
          </w:tcPr>
          <w:p>
            <w:r/>
            <w:r>
              <w:rPr>
                <w:b/>
                <w:sz w:val="19"/>
              </w:rPr>
              <w:t>Status Kesesuaian</w:t>
            </w:r>
          </w:p>
        </w:tc>
      </w:tr>
      <w:tr>
        <w:tc>
          <w:tcPr>
            <w:tcW w:type="dxa" w:w="2160"/>
          </w:tcPr>
          <w:p>
            <w:r/>
            <w:r>
              <w:rPr>
                <w:b w:val="0"/>
                <w:sz w:val="19"/>
              </w:rPr>
              <w:t>Kebijakan &amp; sistem PMB</w:t>
            </w:r>
          </w:p>
        </w:tc>
        <w:tc>
          <w:tcPr>
            <w:tcW w:type="dxa" w:w="2160"/>
          </w:tcPr>
          <w:p>
            <w:r/>
            <w:r>
              <w:rPr>
                <w:b w:val="0"/>
                <w:sz w:val="19"/>
              </w:rPr>
              <w:t>Wajib transparan, objektif, akuntabel, berkeadilan</w:t>
            </w:r>
          </w:p>
        </w:tc>
        <w:tc>
          <w:tcPr>
            <w:tcW w:type="dxa" w:w="2160"/>
          </w:tcPr>
          <w:p>
            <w:r/>
            <w:r>
              <w:rPr>
                <w:b w:val="0"/>
                <w:sz w:val="19"/>
              </w:rPr>
              <w:t>R1 (3.1.1-3.1.2), R2 (butir 41), R3 (2.1.A, 2.4.A)</w:t>
            </w:r>
          </w:p>
        </w:tc>
        <w:tc>
          <w:tcPr>
            <w:tcW w:type="dxa" w:w="2160"/>
          </w:tcPr>
          <w:p>
            <w:r/>
            <w:r>
              <w:rPr>
                <w:b w:val="0"/>
                <w:sz w:val="19"/>
              </w:rPr>
              <w:t>Selaras penuh (R4 tidak eksplisit)</w:t>
            </w:r>
          </w:p>
        </w:tc>
      </w:tr>
      <w:tr>
        <w:tc>
          <w:tcPr>
            <w:tcW w:type="dxa" w:w="2160"/>
          </w:tcPr>
          <w:p>
            <w:r/>
            <w:r>
              <w:rPr>
                <w:b w:val="0"/>
                <w:sz w:val="19"/>
              </w:rPr>
              <w:t>Peningkatan animo calon mahasiswa</w:t>
            </w:r>
          </w:p>
        </w:tc>
        <w:tc>
          <w:tcPr>
            <w:tcW w:type="dxa" w:w="2160"/>
          </w:tcPr>
          <w:p>
            <w:r/>
            <w:r>
              <w:rPr>
                <w:b w:val="0"/>
                <w:sz w:val="19"/>
              </w:rPr>
              <w:t>Wajib meningkatkan animo, tanpa ambang %</w:t>
            </w:r>
          </w:p>
        </w:tc>
        <w:tc>
          <w:tcPr>
            <w:tcW w:type="dxa" w:w="2160"/>
          </w:tcPr>
          <w:p>
            <w:r/>
            <w:r>
              <w:rPr>
                <w:b w:val="0"/>
                <w:sz w:val="19"/>
              </w:rPr>
              <w:t>R1 (3.2.1, ambang &gt;10%/tahun)</w:t>
            </w:r>
          </w:p>
        </w:tc>
        <w:tc>
          <w:tcPr>
            <w:tcW w:type="dxa" w:w="2160"/>
          </w:tcPr>
          <w:p>
            <w:r/>
            <w:r>
              <w:rPr>
                <w:b w:val="0"/>
                <w:sz w:val="19"/>
              </w:rPr>
              <w:t>Selaras; FTII tanpa ambang kuantitatif (gap kecil)</w:t>
            </w:r>
          </w:p>
        </w:tc>
      </w:tr>
      <w:tr>
        <w:tc>
          <w:tcPr>
            <w:tcW w:type="dxa" w:w="2160"/>
          </w:tcPr>
          <w:p>
            <w:r/>
            <w:r>
              <w:rPr>
                <w:b w:val="0"/>
                <w:sz w:val="19"/>
              </w:rPr>
              <w:t>Layanan kemahasiswaan (7 komponen)</w:t>
            </w:r>
          </w:p>
        </w:tc>
        <w:tc>
          <w:tcPr>
            <w:tcW w:type="dxa" w:w="2160"/>
          </w:tcPr>
          <w:p>
            <w:r/>
            <w:r>
              <w:rPr>
                <w:b w:val="0"/>
                <w:sz w:val="19"/>
              </w:rPr>
              <w:t>Minat-bakat, organisasi, karier, wirausaha, beasiswa, konseling, kesehatan</w:t>
            </w:r>
          </w:p>
        </w:tc>
        <w:tc>
          <w:tcPr>
            <w:tcW w:type="dxa" w:w="2160"/>
          </w:tcPr>
          <w:p>
            <w:r/>
            <w:r>
              <w:rPr>
                <w:b w:val="0"/>
                <w:sz w:val="19"/>
              </w:rPr>
              <w:t>R1 (3.3.1-3.3.2), R4 (Std lengkap+IKU1), R5 (Isi Std 3-4)</w:t>
            </w:r>
          </w:p>
        </w:tc>
        <w:tc>
          <w:tcPr>
            <w:tcW w:type="dxa" w:w="2160"/>
          </w:tcPr>
          <w:p>
            <w:r/>
            <w:r>
              <w:rPr>
                <w:b w:val="0"/>
                <w:sz w:val="19"/>
              </w:rPr>
              <w:t>Sangat selaras, rincian identik dgn R4/R5</w:t>
            </w:r>
          </w:p>
        </w:tc>
      </w:tr>
      <w:tr>
        <w:tc>
          <w:tcPr>
            <w:tcW w:type="dxa" w:w="2160"/>
          </w:tcPr>
          <w:p>
            <w:r/>
            <w:r>
              <w:rPr>
                <w:b w:val="0"/>
                <w:sz w:val="19"/>
              </w:rPr>
              <w:t>Optimalisasi &amp; evaluasi layanan</w:t>
            </w:r>
          </w:p>
        </w:tc>
        <w:tc>
          <w:tcPr>
            <w:tcW w:type="dxa" w:w="2160"/>
          </w:tcPr>
          <w:p>
            <w:r/>
            <w:r>
              <w:rPr>
                <w:b w:val="0"/>
                <w:sz w:val="19"/>
              </w:rPr>
              <w:t>Wajib optimalisasi &amp; evaluasi berkala</w:t>
            </w:r>
          </w:p>
        </w:tc>
        <w:tc>
          <w:tcPr>
            <w:tcW w:type="dxa" w:w="2160"/>
          </w:tcPr>
          <w:p>
            <w:r/>
            <w:r>
              <w:rPr>
                <w:b w:val="0"/>
                <w:sz w:val="19"/>
              </w:rPr>
              <w:t>R4 (IKU 6-7, freq &amp; % tindak lanjut), R5 (Isi Std 6, Strategi 3)</w:t>
            </w:r>
          </w:p>
        </w:tc>
        <w:tc>
          <w:tcPr>
            <w:tcW w:type="dxa" w:w="2160"/>
          </w:tcPr>
          <w:p>
            <w:r/>
            <w:r>
              <w:rPr>
                <w:b w:val="0"/>
                <w:sz w:val="19"/>
              </w:rPr>
              <w:t>Selaras; R4 lebih terukur</w:t>
            </w:r>
          </w:p>
        </w:tc>
      </w:tr>
      <w:tr>
        <w:tc>
          <w:tcPr>
            <w:tcW w:type="dxa" w:w="2160"/>
          </w:tcPr>
          <w:p>
            <w:r/>
            <w:r>
              <w:rPr>
                <w:b w:val="0"/>
                <w:sz w:val="19"/>
              </w:rPr>
              <w:t>Fasilitasi partisipasi &amp; rekognisi</w:t>
            </w:r>
          </w:p>
        </w:tc>
        <w:tc>
          <w:tcPr>
            <w:tcW w:type="dxa" w:w="2160"/>
          </w:tcPr>
          <w:p>
            <w:r/>
            <w:r>
              <w:rPr>
                <w:b w:val="0"/>
                <w:sz w:val="19"/>
              </w:rPr>
              <w:t>Wajib fasilitasi kegiatan akademik/non-akademik</w:t>
            </w:r>
          </w:p>
        </w:tc>
        <w:tc>
          <w:tcPr>
            <w:tcW w:type="dxa" w:w="2160"/>
          </w:tcPr>
          <w:p>
            <w:r/>
            <w:r>
              <w:rPr>
                <w:b w:val="0"/>
                <w:sz w:val="19"/>
              </w:rPr>
              <w:t>R3 (2.2.D, 2.3.D — rekognisi/apresiasi)</w:t>
            </w:r>
          </w:p>
        </w:tc>
        <w:tc>
          <w:tcPr>
            <w:tcW w:type="dxa" w:w="2160"/>
          </w:tcPr>
          <w:p>
            <w:r/>
            <w:r>
              <w:rPr>
                <w:b w:val="0"/>
                <w:sz w:val="19"/>
              </w:rPr>
              <w:t>Selaras dengan R3</w:t>
            </w:r>
          </w:p>
        </w:tc>
      </w:tr>
      <w:tr>
        <w:tc>
          <w:tcPr>
            <w:tcW w:type="dxa" w:w="2160"/>
          </w:tcPr>
          <w:p>
            <w:r/>
            <w:r>
              <w:rPr>
                <w:b w:val="0"/>
                <w:sz w:val="19"/>
              </w:rPr>
              <w:t>Prestasi mahasiswa (akademik &amp; non-akademik)</w:t>
            </w:r>
          </w:p>
        </w:tc>
        <w:tc>
          <w:tcPr>
            <w:tcW w:type="dxa" w:w="2160"/>
          </w:tcPr>
          <w:p>
            <w:r/>
            <w:r>
              <w:rPr>
                <w:b w:val="0"/>
                <w:sz w:val="19"/>
              </w:rPr>
              <w:t>4→7 (akademik), 12→18 (non-akademik), absolut gabungan fakultas</w:t>
            </w:r>
          </w:p>
        </w:tc>
        <w:tc>
          <w:tcPr>
            <w:tcW w:type="dxa" w:w="2160"/>
          </w:tcPr>
          <w:p>
            <w:r/>
            <w:r>
              <w:rPr>
                <w:b w:val="0"/>
                <w:sz w:val="19"/>
              </w:rPr>
              <w:t>R2 (butir 43, rasio thd populasi), R4 &amp; R5 (≥3/≥6 per prodi/3 tahun)</w:t>
            </w:r>
          </w:p>
        </w:tc>
        <w:tc>
          <w:tcPr>
            <w:tcW w:type="dxa" w:w="2160"/>
          </w:tcPr>
          <w:p>
            <w:r/>
            <w:r>
              <w:rPr>
                <w:b w:val="0"/>
                <w:sz w:val="19"/>
              </w:rPr>
              <w:t>GAP METODOLOGIS — satuan tidak sebanding</w:t>
            </w:r>
          </w:p>
        </w:tc>
      </w:tr>
      <w:tr>
        <w:tc>
          <w:tcPr>
            <w:tcW w:type="dxa" w:w="2160"/>
          </w:tcPr>
          <w:p>
            <w:r/>
            <w:r>
              <w:rPr>
                <w:b w:val="0"/>
                <w:sz w:val="19"/>
              </w:rPr>
              <w:t>Luaran penelitian &amp; PKM mahasiswa</w:t>
            </w:r>
          </w:p>
        </w:tc>
        <w:tc>
          <w:tcPr>
            <w:tcW w:type="dxa" w:w="2160"/>
          </w:tcPr>
          <w:p>
            <w:r/>
            <w:r>
              <w:rPr>
                <w:b w:val="0"/>
                <w:sz w:val="19"/>
              </w:rPr>
              <w:t>Publikasi &amp; HKI mahasiswa, target 93→105/tahun</w:t>
            </w:r>
          </w:p>
        </w:tc>
        <w:tc>
          <w:tcPr>
            <w:tcW w:type="dxa" w:w="2160"/>
          </w:tcPr>
          <w:p>
            <w:r/>
            <w:r>
              <w:rPr>
                <w:b w:val="0"/>
                <w:sz w:val="19"/>
              </w:rPr>
              <w:t>R2 (butir 46-47, NLP≥10 skor 4)</w:t>
            </w:r>
          </w:p>
        </w:tc>
        <w:tc>
          <w:tcPr>
            <w:tcW w:type="dxa" w:w="2160"/>
          </w:tcPr>
          <w:p>
            <w:r/>
            <w:r>
              <w:rPr>
                <w:b w:val="0"/>
                <w:sz w:val="19"/>
              </w:rPr>
              <w:t>Selaras penuh dengan R2; tidak eksplisit di R1/R3/R4/R5</w:t>
            </w:r>
          </w:p>
        </w:tc>
      </w:tr>
      <w:tr>
        <w:tc>
          <w:tcPr>
            <w:tcW w:type="dxa" w:w="2160"/>
          </w:tcPr>
          <w:p>
            <w:r/>
            <w:r>
              <w:rPr>
                <w:b w:val="0"/>
                <w:sz w:val="19"/>
              </w:rPr>
              <w:t>Tracer study &amp; kepuasan pengguna lulusan</w:t>
            </w:r>
          </w:p>
        </w:tc>
        <w:tc>
          <w:tcPr>
            <w:tcW w:type="dxa" w:w="2160"/>
          </w:tcPr>
          <w:p>
            <w:r/>
            <w:r>
              <w:rPr>
                <w:b w:val="0"/>
                <w:sz w:val="19"/>
              </w:rPr>
              <w:t>Wajib tracer study &amp; survei berkala</w:t>
            </w:r>
          </w:p>
        </w:tc>
        <w:tc>
          <w:tcPr>
            <w:tcW w:type="dxa" w:w="2160"/>
          </w:tcPr>
          <w:p>
            <w:r/>
            <w:r>
              <w:rPr>
                <w:b w:val="0"/>
                <w:sz w:val="19"/>
              </w:rPr>
              <w:t>R2 (butir 48); lihat pemetaan Luaran Pendidikan</w:t>
            </w:r>
          </w:p>
        </w:tc>
        <w:tc>
          <w:tcPr>
            <w:tcW w:type="dxa" w:w="2160"/>
          </w:tcPr>
          <w:p>
            <w:r/>
            <w:r>
              <w:rPr>
                <w:b w:val="0"/>
                <w:sz w:val="19"/>
              </w:rPr>
              <w:t>Selaras penuh (rujuk pemetaan sebelumnya)</w:t>
            </w:r>
          </w:p>
        </w:tc>
      </w:tr>
      <w:tr>
        <w:tc>
          <w:tcPr>
            <w:tcW w:type="dxa" w:w="2160"/>
          </w:tcPr>
          <w:p>
            <w:r/>
            <w:r>
              <w:rPr>
                <w:b w:val="0"/>
                <w:sz w:val="19"/>
              </w:rPr>
              <w:t>Evaluasi berkala standar kemahasiswaan</w:t>
            </w:r>
          </w:p>
        </w:tc>
        <w:tc>
          <w:tcPr>
            <w:tcW w:type="dxa" w:w="2160"/>
          </w:tcPr>
          <w:p>
            <w:r/>
            <w:r>
              <w:rPr>
                <w:b w:val="0"/>
                <w:sz w:val="19"/>
              </w:rPr>
              <w:t>Wajib evaluasi &amp; tindak lanjut berkelanjutan</w:t>
            </w:r>
          </w:p>
        </w:tc>
        <w:tc>
          <w:tcPr>
            <w:tcW w:type="dxa" w:w="2160"/>
          </w:tcPr>
          <w:p>
            <w:r/>
            <w:r>
              <w:rPr>
                <w:b w:val="0"/>
                <w:sz w:val="19"/>
              </w:rPr>
              <w:t>R4 (Mekanisme Evaluasi 1-4), R5 (Isi Std 10, 5 Manual PPEPP)</w:t>
            </w:r>
          </w:p>
        </w:tc>
        <w:tc>
          <w:tcPr>
            <w:tcW w:type="dxa" w:w="2160"/>
          </w:tcPr>
          <w:p>
            <w:r/>
            <w:r>
              <w:rPr>
                <w:b w:val="0"/>
                <w:sz w:val="19"/>
              </w:rPr>
              <w:t>Selaras penuh</w:t>
            </w:r>
          </w:p>
        </w:tc>
      </w:tr>
      <w:tr>
        <w:tc>
          <w:tcPr>
            <w:tcW w:type="dxa" w:w="2160"/>
          </w:tcPr>
          <w:p>
            <w:r/>
            <w:r>
              <w:rPr>
                <w:b w:val="0"/>
                <w:sz w:val="19"/>
              </w:rPr>
              <w:t>Budaya prestasi &amp; kewirausahaan mahasiswa</w:t>
            </w:r>
          </w:p>
        </w:tc>
        <w:tc>
          <w:tcPr>
            <w:tcW w:type="dxa" w:w="2160"/>
          </w:tcPr>
          <w:p>
            <w:r/>
            <w:r>
              <w:rPr>
                <w:b w:val="0"/>
                <w:sz w:val="19"/>
              </w:rPr>
              <w:t>Wajib mengembangkan budaya prestasi &amp; wirausaha</w:t>
            </w:r>
          </w:p>
        </w:tc>
        <w:tc>
          <w:tcPr>
            <w:tcW w:type="dxa" w:w="2160"/>
          </w:tcPr>
          <w:p>
            <w:r/>
            <w:r>
              <w:rPr>
                <w:b w:val="0"/>
                <w:sz w:val="19"/>
              </w:rPr>
              <w:t>R4 (Pernyataan 3, IKU 3: ≥200 mhs/tahun), R5 (definisi &amp; Isi Std 4f), R1 (unit PK2M)</w:t>
            </w:r>
          </w:p>
        </w:tc>
        <w:tc>
          <w:tcPr>
            <w:tcW w:type="dxa" w:w="2160"/>
          </w:tcPr>
          <w:p>
            <w:r/>
            <w:r>
              <w:rPr>
                <w:b w:val="0"/>
                <w:sz w:val="19"/>
              </w:rPr>
              <w:t>Selaras; FTII tanpa ambang jumlah eksplisit</w:t>
            </w:r>
          </w:p>
        </w:tc>
      </w:tr>
      <w:tr>
        <w:tc>
          <w:tcPr>
            <w:tcW w:type="dxa" w:w="2160"/>
          </w:tcPr>
          <w:p>
            <w:r/>
            <w:r>
              <w:rPr>
                <w:b w:val="0"/>
                <w:sz w:val="19"/>
              </w:rPr>
              <w:t>Dokumentasi &amp; pelaporan SPMI</w:t>
            </w:r>
          </w:p>
        </w:tc>
        <w:tc>
          <w:tcPr>
            <w:tcW w:type="dxa" w:w="2160"/>
          </w:tcPr>
          <w:p>
            <w:r/>
            <w:r>
              <w:rPr>
                <w:b w:val="0"/>
                <w:sz w:val="19"/>
              </w:rPr>
              <w:t>Wajib dokumentasi sistematis &amp; pelaporan</w:t>
            </w:r>
          </w:p>
        </w:tc>
        <w:tc>
          <w:tcPr>
            <w:tcW w:type="dxa" w:w="2160"/>
          </w:tcPr>
          <w:p>
            <w:r/>
            <w:r>
              <w:rPr>
                <w:b w:val="0"/>
                <w:sz w:val="19"/>
              </w:rPr>
              <w:t>R4 (7 dokumen bukti), R5 (Kebijakan SPMI + 5 Manual PPEPP)</w:t>
            </w:r>
          </w:p>
        </w:tc>
        <w:tc>
          <w:tcPr>
            <w:tcW w:type="dxa" w:w="2160"/>
          </w:tcPr>
          <w:p>
            <w:r/>
            <w:r>
              <w:rPr>
                <w:b w:val="0"/>
                <w:sz w:val="19"/>
              </w:rPr>
              <w:t>Selaras penuh</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