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PEMETAAN STANDAR KERJASAMA</w:t>
      </w:r>
    </w:p>
    <w:p>
      <w:pPr>
        <w:jc w:val="center"/>
      </w:pPr>
      <w:r>
        <w:rPr>
          <w:b w:val="0"/>
          <w:sz w:val="24"/>
        </w:rPr>
        <w:t>Fakultas Teknologi Informasi dan Industri (FTII) UNISBANK terhadap 5 Dokumen Rujukan Eksternal</w:t>
      </w:r>
    </w:p>
    <w:p/>
    <w:p>
      <w:pPr>
        <w:spacing w:after="120"/>
      </w:pPr>
      <w:r>
        <w:rPr>
          <w:b w:val="0"/>
          <w:i/>
        </w:rPr>
        <w:t>Catatan metodologis: pemetaan disusun berdasarkan ekstraksi teks langsung dari kelima dokumen rujukan (bukan ringkasan pihak ketiga) dan dari isi lengkap dokumen Standar Kerjasama FTII (2 pernyataan standar berbentuk narasi ruang lingkup, 11 strategi pencapaian, 16 Indikator Kinerja Utama/IKU, dan 2 Indikator Kinerja Tambahan/IKT). Kutipan pada tabel di bawah diringkas dari teks asli masing-masing dokumen hasil ekstraksi pdftotext -layout; bila suatu rujukan tidak memuat pembahasan eksplisit atas suatu tema, hal itu dinyatakan secara terbuka dan tidak dikarang.</w:t>
      </w:r>
    </w:p>
    <w:p>
      <w:pPr>
        <w:spacing w:before="280" w:after="120"/>
      </w:pPr>
      <w:r>
        <w:rPr>
          <w:b/>
          <w:sz w:val="26"/>
        </w:rPr>
        <w:t>A. DOKUMEN YANG DIBANDINGKAN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D9D9"/>
          </w:tcPr>
          <w:p>
            <w:r/>
            <w:r>
              <w:rPr>
                <w:b/>
                <w:sz w:val="19"/>
              </w:rPr>
              <w:t>Kode</w:t>
            </w:r>
          </w:p>
        </w:tc>
        <w:tc>
          <w:tcPr>
            <w:tcW w:type="dxa" w:w="2880"/>
            <w:shd w:val="clear" w:color="auto" w:fill="D9D9D9"/>
          </w:tcPr>
          <w:p>
            <w:r/>
            <w:r>
              <w:rPr>
                <w:b/>
                <w:sz w:val="19"/>
              </w:rPr>
              <w:t>Dokumen</w:t>
            </w:r>
          </w:p>
        </w:tc>
        <w:tc>
          <w:tcPr>
            <w:tcW w:type="dxa" w:w="2880"/>
            <w:shd w:val="clear" w:color="auto" w:fill="D9D9D9"/>
          </w:tcPr>
          <w:p>
            <w:r/>
            <w:r>
              <w:rPr>
                <w:b/>
                <w:sz w:val="19"/>
              </w:rPr>
              <w:t>Sumber / Institusi</w:t>
            </w:r>
          </w:p>
        </w:tc>
      </w:tr>
      <w:tr>
        <w:tc>
          <w:tcPr>
            <w:tcW w:type="dxa" w:w="2880"/>
          </w:tcPr>
          <w:p>
            <w:r/>
            <w:r>
              <w:rPr>
                <w:b w:val="0"/>
                <w:sz w:val="19"/>
              </w:rPr>
              <w:t>FTII</w:t>
            </w:r>
          </w:p>
        </w:tc>
        <w:tc>
          <w:tcPr>
            <w:tcW w:type="dxa" w:w="2880"/>
          </w:tcPr>
          <w:p>
            <w:r/>
            <w:r>
              <w:rPr>
                <w:b w:val="0"/>
                <w:sz w:val="19"/>
              </w:rPr>
              <w:t>Standar Kerjasama FTII UNISBANK</w:t>
            </w:r>
          </w:p>
        </w:tc>
        <w:tc>
          <w:tcPr>
            <w:tcW w:type="dxa" w:w="2880"/>
          </w:tcPr>
          <w:p>
            <w:r/>
            <w:r>
              <w:rPr>
                <w:b w:val="0"/>
                <w:sz w:val="19"/>
              </w:rPr>
              <w:t>Fakultas Teknologi Informasi dan Industri, Universitas Stikubank (UNISBANK) Semarang</w:t>
            </w:r>
          </w:p>
        </w:tc>
      </w:tr>
      <w:tr>
        <w:tc>
          <w:tcPr>
            <w:tcW w:type="dxa" w:w="2880"/>
          </w:tcPr>
          <w:p>
            <w:r/>
            <w:r>
              <w:rPr>
                <w:b w:val="0"/>
                <w:sz w:val="19"/>
              </w:rPr>
              <w:t>R1</w:t>
            </w:r>
          </w:p>
        </w:tc>
        <w:tc>
          <w:tcPr>
            <w:tcW w:type="dxa" w:w="2880"/>
          </w:tcPr>
          <w:p>
            <w:r/>
            <w:r>
              <w:rPr>
                <w:b w:val="0"/>
                <w:sz w:val="19"/>
              </w:rPr>
              <w:t>Panduan SPMI Sarjana dan Sarjana Terapan 2024 (SK Rektor) — Standar 2: Tata Pamong, Tata Kelola dan Kerjasama, butir 2.3.1-2.3.2</w:t>
            </w:r>
          </w:p>
        </w:tc>
        <w:tc>
          <w:tcPr>
            <w:tcW w:type="dxa" w:w="2880"/>
          </w:tcPr>
          <w:p>
            <w:r/>
            <w:r>
              <w:rPr>
                <w:b w:val="0"/>
                <w:sz w:val="19"/>
              </w:rPr>
              <w:t>Institut Teknologi Sepuluh Nopember (ITS) — dokumen panduan SPMI/instrumen akreditasi internal</w:t>
            </w:r>
          </w:p>
        </w:tc>
      </w:tr>
      <w:tr>
        <w:tc>
          <w:tcPr>
            <w:tcW w:type="dxa" w:w="2880"/>
          </w:tcPr>
          <w:p>
            <w:r/>
            <w:r>
              <w:rPr>
                <w:b w:val="0"/>
                <w:sz w:val="19"/>
              </w:rPr>
              <w:t>R2</w:t>
            </w:r>
          </w:p>
        </w:tc>
        <w:tc>
          <w:tcPr>
            <w:tcW w:type="dxa" w:w="2880"/>
          </w:tcPr>
          <w:p>
            <w:r/>
            <w:r>
              <w:rPr>
                <w:b w:val="0"/>
                <w:sz w:val="19"/>
              </w:rPr>
              <w:t>Matriks Penilaian LED dan LKPS Sarjana APS Akademik dan Vokasi Teknik 2025 (Pasca-Akreditasi Pertama dan Unggul) — Kriteria 2.2 Kerjasama (butir 6-7)</w:t>
            </w:r>
          </w:p>
        </w:tc>
        <w:tc>
          <w:tcPr>
            <w:tcW w:type="dxa" w:w="2880"/>
          </w:tcPr>
          <w:p>
            <w:r/>
            <w:r>
              <w:rPr>
                <w:b w:val="0"/>
                <w:sz w:val="19"/>
              </w:rPr>
              <w:t>LAM Teknik (Lembaga Akreditasi Mandiri Teknik)</w:t>
            </w:r>
          </w:p>
        </w:tc>
      </w:tr>
      <w:tr>
        <w:tc>
          <w:tcPr>
            <w:tcW w:type="dxa" w:w="2880"/>
          </w:tcPr>
          <w:p>
            <w:r/>
            <w:r>
              <w:rPr>
                <w:b w:val="0"/>
                <w:sz w:val="19"/>
              </w:rPr>
              <w:t>R3</w:t>
            </w:r>
          </w:p>
        </w:tc>
        <w:tc>
          <w:tcPr>
            <w:tcW w:type="dxa" w:w="2880"/>
          </w:tcPr>
          <w:p>
            <w:r/>
            <w:r>
              <w:rPr>
                <w:b w:val="0"/>
                <w:sz w:val="19"/>
              </w:rPr>
              <w:t>Kriteria Unggul 2.1 LAM INFOKOM — kerjasama penelitian dan kerjasama PkM disebut sebagai bagian elemen penilaian Kriteria 3 (Penelitian) dan Kriteria 4 (PkM), bukan kriteria tersendiri</w:t>
            </w:r>
          </w:p>
        </w:tc>
        <w:tc>
          <w:tcPr>
            <w:tcW w:type="dxa" w:w="2880"/>
          </w:tcPr>
          <w:p>
            <w:r/>
            <w:r>
              <w:rPr>
                <w:b w:val="0"/>
                <w:sz w:val="19"/>
              </w:rPr>
              <w:t>LAM INFOKOM (Lembaga Akreditasi Mandiri Informatika dan Komputer)</w:t>
            </w:r>
          </w:p>
        </w:tc>
      </w:tr>
      <w:tr>
        <w:tc>
          <w:tcPr>
            <w:tcW w:type="dxa" w:w="2880"/>
          </w:tcPr>
          <w:p>
            <w:r/>
            <w:r>
              <w:rPr>
                <w:b w:val="0"/>
                <w:sz w:val="19"/>
              </w:rPr>
              <w:t>R4</w:t>
            </w:r>
          </w:p>
        </w:tc>
        <w:tc>
          <w:tcPr>
            <w:tcW w:type="dxa" w:w="2880"/>
          </w:tcPr>
          <w:p>
            <w:r/>
            <w:r>
              <w:rPr>
                <w:b w:val="0"/>
                <w:sz w:val="19"/>
              </w:rPr>
              <w:t>Dokumen SPMI Fasilkom 2023 (rev) — Standar Pengelolaan Kerja Sama</w:t>
            </w:r>
          </w:p>
        </w:tc>
        <w:tc>
          <w:tcPr>
            <w:tcW w:type="dxa" w:w="2880"/>
          </w:tcPr>
          <w:p>
            <w:r/>
            <w:r>
              <w:rPr>
                <w:b w:val="0"/>
                <w:sz w:val="19"/>
              </w:rPr>
              <w:t>Fakultas Ilmu Komputer, Universitas Pembangunan Nasional "Veteran" Jawa Timur (UPN Veteran Jatim)</w:t>
            </w:r>
          </w:p>
        </w:tc>
      </w:tr>
      <w:tr>
        <w:tc>
          <w:tcPr>
            <w:tcW w:type="dxa" w:w="2880"/>
          </w:tcPr>
          <w:p>
            <w:r/>
            <w:r>
              <w:rPr>
                <w:b w:val="0"/>
                <w:sz w:val="19"/>
              </w:rPr>
              <w:t>R5</w:t>
            </w:r>
          </w:p>
        </w:tc>
        <w:tc>
          <w:tcPr>
            <w:tcW w:type="dxa" w:w="2880"/>
          </w:tcPr>
          <w:p>
            <w:r/>
            <w:r>
              <w:rPr>
                <w:b w:val="0"/>
                <w:sz w:val="19"/>
              </w:rPr>
              <w:t>9. Standar SPMI Tahun 2022 — 7.1. Standar Pengelolaan Kerjasama</w:t>
            </w:r>
          </w:p>
        </w:tc>
        <w:tc>
          <w:tcPr>
            <w:tcW w:type="dxa" w:w="2880"/>
          </w:tcPr>
          <w:p>
            <w:r/>
            <w:r>
              <w:rPr>
                <w:b w:val="0"/>
                <w:sz w:val="19"/>
              </w:rPr>
              <w:t>Universitas Trunojoyo Madura (UTM)</w:t>
            </w:r>
          </w:p>
        </w:tc>
      </w:tr>
    </w:tbl>
    <w:p/>
    <w:p>
      <w:pPr>
        <w:spacing w:before="280" w:after="120"/>
      </w:pPr>
      <w:r>
        <w:rPr>
          <w:b/>
          <w:sz w:val="26"/>
        </w:rPr>
        <w:t>B. PEMETAAN PER TEMA STANDAR</w:t>
      </w:r>
    </w:p>
    <w:p>
      <w:pPr>
        <w:spacing w:after="120"/>
      </w:pPr>
      <w:r>
        <w:rPr>
          <w:b/>
          <w:i w:val="0"/>
        </w:rPr>
        <w:t>Tema 1. Kebijakan, Kelembagaan, dan Pedoman Kerjasama</w:t>
      </w:r>
    </w:p>
    <w:p>
      <w:pPr>
        <w:spacing w:after="120"/>
      </w:pPr>
      <w:r>
        <w:rPr>
          <w:b w:val="0"/>
          <w:i w:val="0"/>
        </w:rPr>
        <w:t>Ketentuan FTII UNISBANK: FTII wajib memiliki dokumen kebijakan, standar, IKU, IKT, serta pedoman/SOP kerja sama yang menjadi acuan seluruh unit kerja, dan wajib tersedia lembaga pengelola kerja sama di tingkat universitas maupun fakultas.</w:t>
      </w:r>
    </w:p>
    <w:p>
      <w:pPr>
        <w:spacing w:after="120"/>
      </w:pPr>
      <w:r>
        <w:rPr>
          <w:b w:val="0"/>
          <w:i w:val="0"/>
        </w:rPr>
        <w:t>Analisis Kesesuaian: SELARAS PENUH dengan seluruh 5 rujukan — kelimanya mensyaratkan keberadaan kebijakan/standar formal dan unit pengelola kerja sama sebagai syarat dasar (R1 dokumen pendukung butir 2.3.1: 'Kebijakan pengembangan Kerjasama'; R4 IKU No.1: 'Persentase program studi/unit kerja yang menerapkan Standar Pengelolaan Kerja Sama universitas', target ≥90%→100%; R5 Pernyataan Isi Standar No.1: 'Rektor menetapkan Standar Pengelolaan Kerjasama dalam Peraturan Rektor'). Tidak ada gap pada tema ini.</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
              <w:rPr>
                <w:b/>
                <w:sz w:val="19"/>
              </w:rPr>
              <w:t>Dokumen Rujukan</w:t>
            </w:r>
          </w:p>
        </w:tc>
        <w:tc>
          <w:tcPr>
            <w:tcW w:type="dxa" w:w="4320"/>
            <w:shd w:val="clear" w:color="auto" w:fill="D9D9D9"/>
          </w:tcPr>
          <w:p>
            <w:r/>
            <w:r>
              <w:rPr>
                <w:b/>
                <w:sz w:val="19"/>
              </w:rPr>
              <w:t>Ketentuan / Indikator Terkait</w:t>
            </w:r>
          </w:p>
        </w:tc>
      </w:tr>
      <w:tr>
        <w:tc>
          <w:tcPr>
            <w:tcW w:type="dxa" w:w="4320"/>
          </w:tcPr>
          <w:p>
            <w:r/>
            <w:r>
              <w:rPr>
                <w:b w:val="0"/>
                <w:sz w:val="19"/>
              </w:rPr>
              <w:t>R1</w:t>
            </w:r>
          </w:p>
        </w:tc>
        <w:tc>
          <w:tcPr>
            <w:tcW w:type="dxa" w:w="4320"/>
          </w:tcPr>
          <w:p>
            <w:r/>
            <w:r>
              <w:rPr>
                <w:b w:val="0"/>
                <w:sz w:val="19"/>
              </w:rPr>
              <w:t>Dokumen pendukung Butir 2.3.1 Kerjasama mensyaratkan 'Kebijakan pengembangan Kerjasama' sebagai dasar bukti sahih kerja sama skor 4.</w:t>
            </w:r>
          </w:p>
        </w:tc>
      </w:tr>
      <w:tr>
        <w:tc>
          <w:tcPr>
            <w:tcW w:type="dxa" w:w="4320"/>
          </w:tcPr>
          <w:p>
            <w:r/>
            <w:r>
              <w:rPr>
                <w:b w:val="0"/>
                <w:sz w:val="19"/>
              </w:rPr>
              <w:t>R2</w:t>
            </w:r>
          </w:p>
        </w:tc>
        <w:tc>
          <w:tcPr>
            <w:tcW w:type="dxa" w:w="4320"/>
          </w:tcPr>
          <w:p>
            <w:r/>
            <w:r>
              <w:rPr>
                <w:b w:val="0"/>
                <w:sz w:val="19"/>
              </w:rPr>
              <w:t>Kriteria 2.2 Kerjasama (butir 6-7) menilai relevansi dan pelaksanaan kerja sama berbasis data LKPS, tidak secara eksplisit mensyaratkan dokumen kebijakan/pedoman tersendiri sebagai indikator terpisah.</w:t>
            </w:r>
          </w:p>
        </w:tc>
      </w:tr>
      <w:tr>
        <w:tc>
          <w:tcPr>
            <w:tcW w:type="dxa" w:w="4320"/>
          </w:tcPr>
          <w:p>
            <w:r/>
            <w:r>
              <w:rPr>
                <w:b w:val="0"/>
                <w:sz w:val="19"/>
              </w:rPr>
              <w:t>R3</w:t>
            </w:r>
          </w:p>
        </w:tc>
        <w:tc>
          <w:tcPr>
            <w:tcW w:type="dxa" w:w="4320"/>
          </w:tcPr>
          <w:p>
            <w:r/>
            <w:r>
              <w:rPr>
                <w:b w:val="0"/>
                <w:sz w:val="19"/>
              </w:rPr>
              <w:t>tidak ditemukan pembahasan eksplisit mengenai kebijakan/pedoman kerja sama sebagai kriteria tersendiri; kerja sama muncul sebagai salah satu elemen penilaian pada Kriteria Penelitian dan PkM.</w:t>
            </w:r>
          </w:p>
        </w:tc>
      </w:tr>
      <w:tr>
        <w:tc>
          <w:tcPr>
            <w:tcW w:type="dxa" w:w="4320"/>
          </w:tcPr>
          <w:p>
            <w:r/>
            <w:r>
              <w:rPr>
                <w:b w:val="0"/>
                <w:sz w:val="19"/>
              </w:rPr>
              <w:t>R4</w:t>
            </w:r>
          </w:p>
        </w:tc>
        <w:tc>
          <w:tcPr>
            <w:tcW w:type="dxa" w:w="4320"/>
          </w:tcPr>
          <w:p>
            <w:r/>
            <w:r>
              <w:rPr>
                <w:b w:val="0"/>
                <w:sz w:val="19"/>
              </w:rPr>
              <w:t>IKU No.1: 'Persentase program studi/unit kerja di fakultas yang menerapkan Standar Pengelolaan Kerja Sama universitas' (target ≥90% tahun 2023 meningkat menjadi 100% tahun 2025-2026); IKT No.2: 'Persentase program studi/unit kerja yang memahami dan menerapkan prosedur kerja sama universitas'.</w:t>
            </w:r>
          </w:p>
        </w:tc>
      </w:tr>
      <w:tr>
        <w:tc>
          <w:tcPr>
            <w:tcW w:type="dxa" w:w="4320"/>
          </w:tcPr>
          <w:p>
            <w:r/>
            <w:r>
              <w:rPr>
                <w:b w:val="0"/>
                <w:sz w:val="19"/>
              </w:rPr>
              <w:t>R5</w:t>
            </w:r>
          </w:p>
        </w:tc>
        <w:tc>
          <w:tcPr>
            <w:tcW w:type="dxa" w:w="4320"/>
          </w:tcPr>
          <w:p>
            <w:r/>
            <w:r>
              <w:rPr>
                <w:b w:val="0"/>
                <w:sz w:val="19"/>
              </w:rPr>
              <w:t>Pernyataan Isi Standar No.1: 'Rektor menetapkan Standar Pengelolaan Kerjasama dalam Peraturan Rektor'; Definisi Istilah No.4: 'Standar pengelola kerjasama merupakan kriteria minimal tentang lingkup, mitra dan persyaratannya, organisasi dan administrasi, dan pelaksanaan kerjasama'.</w:t>
            </w:r>
          </w:p>
        </w:tc>
      </w:tr>
    </w:tbl>
    <w:p/>
    <w:p>
      <w:pPr>
        <w:spacing w:after="120"/>
      </w:pPr>
      <w:r>
        <w:rPr>
          <w:b/>
          <w:i w:val="0"/>
        </w:rPr>
        <w:t>Tema 2. Ruang Lingkup Kerjasama (Bidang Pendidikan, Penelitian, PkM, dan Non-Akademik)</w:t>
      </w:r>
    </w:p>
    <w:p>
      <w:pPr>
        <w:spacing w:after="120"/>
      </w:pPr>
      <w:r>
        <w:rPr>
          <w:b w:val="0"/>
          <w:i w:val="0"/>
        </w:rPr>
        <w:t>Ketentuan FTII UNISBANK: Kerja sama FTII mencakup penyelenggaraan pendidikan, penelitian dan publikasi, pengabdian kepada masyarakat, pengembangan kompetensi SDM, kurikulum, serta inovasi/kewirausahaan/hilirisasi, dengan bentuk kerja sama antara lain joint/twinning program, pertukaran dosen-mahasiswa-tendik, penelitian dan publikasi bersama, PkM bersama, magang/MBKM, pemanfaatan sarana bersama, seminar/pelatihan, dan inkubasi bisnis.</w:t>
      </w:r>
    </w:p>
    <w:p>
      <w:pPr>
        <w:spacing w:after="120"/>
      </w:pPr>
      <w:r>
        <w:rPr>
          <w:b w:val="0"/>
          <w:i w:val="0"/>
        </w:rPr>
        <w:t>Analisis Kesesuaian: SELARAS PENUH dan LEBIH RINCI dibanding seluruh 5 rujukan pada cakupan bentuk kegiatan — R1, R2, R4, dan R5 sama-sama menegaskan tridharma (pendidikan-penelitian-PkM) sebagai lingkup inti kerja sama yang dinilai/diwajibkan, sedangkan R3 memasukkan kerja sama sebagai elemen di dalam kriteria penelitian dan PkM (bukan lingkup tersendiri). FTII unggul karena eksplisit menambahkan kerja sama non-akademik dan kewirausahaan/hilirisasi sebagai kategori formal, sejalan dengan R4 (IKU No.6, No.9: kerja sama non-akademik) dan R5 (Pernyataan Isi Standar No.2: 'lingkup kerjasama meliputi... pengelolaan universitas, serta bidang kerjasama lainnya yang relevan').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
              <w:rPr>
                <w:b/>
                <w:sz w:val="19"/>
              </w:rPr>
              <w:t>Dokumen Rujukan</w:t>
            </w:r>
          </w:p>
        </w:tc>
        <w:tc>
          <w:tcPr>
            <w:tcW w:type="dxa" w:w="4320"/>
            <w:shd w:val="clear" w:color="auto" w:fill="D9D9D9"/>
          </w:tcPr>
          <w:p>
            <w:r/>
            <w:r>
              <w:rPr>
                <w:b/>
                <w:sz w:val="19"/>
              </w:rPr>
              <w:t>Ketentuan / Indikator Terkait</w:t>
            </w:r>
          </w:p>
        </w:tc>
      </w:tr>
      <w:tr>
        <w:tc>
          <w:tcPr>
            <w:tcW w:type="dxa" w:w="4320"/>
          </w:tcPr>
          <w:p>
            <w:r/>
            <w:r>
              <w:rPr>
                <w:b w:val="0"/>
                <w:sz w:val="19"/>
              </w:rPr>
              <w:t>R1</w:t>
            </w:r>
          </w:p>
        </w:tc>
        <w:tc>
          <w:tcPr>
            <w:tcW w:type="dxa" w:w="4320"/>
          </w:tcPr>
          <w:p>
            <w:r/>
            <w:r>
              <w:rPr>
                <w:b w:val="0"/>
                <w:sz w:val="19"/>
              </w:rPr>
              <w:t>2.3.1 Kerjasama: 'kerjasama pendidikan, penelitian dan PkM yang relevan dengan PS'; dokumen kebutuhan mencantumkan 'bukti implementasi kerjasama tridarma Prodi'.</w:t>
            </w:r>
          </w:p>
        </w:tc>
      </w:tr>
      <w:tr>
        <w:tc>
          <w:tcPr>
            <w:tcW w:type="dxa" w:w="4320"/>
          </w:tcPr>
          <w:p>
            <w:r/>
            <w:r>
              <w:rPr>
                <w:b w:val="0"/>
                <w:sz w:val="19"/>
              </w:rPr>
              <w:t>R2</w:t>
            </w:r>
          </w:p>
        </w:tc>
        <w:tc>
          <w:tcPr>
            <w:tcW w:type="dxa" w:w="4320"/>
          </w:tcPr>
          <w:p>
            <w:r/>
            <w:r>
              <w:rPr>
                <w:b w:val="0"/>
                <w:sz w:val="19"/>
              </w:rPr>
              <w:t>Kriteria 2.2 butir 6 (I. Relevansi): 'kerja sama pendidikan, penelitian, dan PkM dengan visi UPPS serta visi keilmuan program studi', dihitung dari N1 (pendidikan) + N2 (penelitian) + N3 (PkM).</w:t>
            </w:r>
          </w:p>
        </w:tc>
      </w:tr>
      <w:tr>
        <w:tc>
          <w:tcPr>
            <w:tcW w:type="dxa" w:w="4320"/>
          </w:tcPr>
          <w:p>
            <w:r/>
            <w:r>
              <w:rPr>
                <w:b w:val="0"/>
                <w:sz w:val="19"/>
              </w:rPr>
              <w:t>R3</w:t>
            </w:r>
          </w:p>
        </w:tc>
        <w:tc>
          <w:tcPr>
            <w:tcW w:type="dxa" w:w="4320"/>
          </w:tcPr>
          <w:p>
            <w:r/>
            <w:r>
              <w:rPr>
                <w:b w:val="0"/>
                <w:sz w:val="19"/>
              </w:rPr>
              <w:t>Kerja sama penelitian dan kerja sama PkM disebut sebagai salah satu dari 5 aspek elemen penilaian Kriteria 3.1.C/3.2.C (Penelitian) dan pola serupa pada Kriteria PkM, bersama hibah, publikasi, HKI, dan keberlanjutan — bukan lingkup tersendiri.</w:t>
            </w:r>
          </w:p>
        </w:tc>
      </w:tr>
      <w:tr>
        <w:tc>
          <w:tcPr>
            <w:tcW w:type="dxa" w:w="4320"/>
          </w:tcPr>
          <w:p>
            <w:r/>
            <w:r>
              <w:rPr>
                <w:b w:val="0"/>
                <w:sz w:val="19"/>
              </w:rPr>
              <w:t>R4</w:t>
            </w:r>
          </w:p>
        </w:tc>
        <w:tc>
          <w:tcPr>
            <w:tcW w:type="dxa" w:w="4320"/>
          </w:tcPr>
          <w:p>
            <w:r/>
            <w:r>
              <w:rPr>
                <w:b w:val="0"/>
                <w:sz w:val="19"/>
              </w:rPr>
              <w:t>Pernyataan Standar: 'kerja sama akademik dan non-akademik yang relevan, produktif, terdokumentasi, dan berdampak'; IKU No.7-9 memilah kerja sama tridarma dalam negeri, luar negeri, dan non-akademik secara terpisah.</w:t>
            </w:r>
          </w:p>
        </w:tc>
      </w:tr>
      <w:tr>
        <w:tc>
          <w:tcPr>
            <w:tcW w:type="dxa" w:w="4320"/>
          </w:tcPr>
          <w:p>
            <w:r/>
            <w:r>
              <w:rPr>
                <w:b w:val="0"/>
                <w:sz w:val="19"/>
              </w:rPr>
              <w:t>R5</w:t>
            </w:r>
          </w:p>
        </w:tc>
        <w:tc>
          <w:tcPr>
            <w:tcW w:type="dxa" w:w="4320"/>
          </w:tcPr>
          <w:p>
            <w:r/>
            <w:r>
              <w:rPr>
                <w:b w:val="0"/>
                <w:sz w:val="19"/>
              </w:rPr>
              <w:t>Pernyataan Isi Standar No.2: 'lingkup kerjasama meliputi kegiatan bidang pendidikan, penelitian, pengabdian kepada masyarakat, pengelolaan universitas, serta bidang kerjasama lainnya yang relevan'.</w:t>
            </w:r>
          </w:p>
        </w:tc>
      </w:tr>
    </w:tbl>
    <w:p/>
    <w:p>
      <w:pPr>
        <w:spacing w:after="120"/>
      </w:pPr>
      <w:r>
        <w:rPr>
          <w:b/>
          <w:i w:val="0"/>
        </w:rPr>
        <w:t>Tema 3. Sebaran Kerjasama Nasional dan Internasional (Rasio/Jumlah Terukur)</w:t>
      </w:r>
    </w:p>
    <w:p>
      <w:pPr>
        <w:spacing w:after="120"/>
      </w:pPr>
      <w:r>
        <w:rPr>
          <w:b w:val="0"/>
          <w:i w:val="0"/>
        </w:rPr>
        <w:t>Ketentuan FTII UNISBANK: FTII menargetkan jumlah kerja sama tingkat internasional (11→14→18→21) dan tingkat nasional (38→38→40→42) yang meningkat setiap periode 2024/2025-2027/2028, dipilah pula per bidang (pendidikan, penelitian, PkM) dalam dan luar negeri.</w:t>
      </w:r>
    </w:p>
    <w:p>
      <w:pPr>
        <w:spacing w:after="120"/>
      </w:pPr>
      <w:r>
        <w:rPr>
          <w:b w:val="0"/>
          <w:i w:val="0"/>
        </w:rPr>
        <w:t>Analisis Kesesuaian: FTII LEBIH TERUKUR dan LEBIH RINCI dibanding R1, R3, dan R5 — FTII sudah menetapkan angka absolut per bidang dan per tingkat, sementara R1 dan R2 menggunakan RUMUS RASIO (bukan angka absolut) terhadap jumlah dosen tetap program studi (NDTPS), sehingga capaian FTII TIDAK DAPAT langsung diverifikasi kesetaraannya dengan ambang skor 4 R1/R2 tanpa data NDTPS. R4 dan R5 menggunakan angka absolut per tahun yang setara secara struktur dengan FTII (R4: minimal 10 mitra dalam negeri, 5 mitra luar negeri per tahun; R5: minimal 10 institusi dalam negeri, 5 institusi luar negeri per tahun) — target internasional FTII (11-21) sudah MELAMPAUI ambang R4/R5 (5), namun REKOMENDASI: FTII perlu menghitung rasio kerja sama/NDTPS sesuai formula R1/R2 saat penyusunan LKPS akreditasi agar dapat diverifikasi langsung terhadap ambang skor 4.</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
              <w:rPr>
                <w:b/>
                <w:sz w:val="19"/>
              </w:rPr>
              <w:t>Dokumen Rujukan</w:t>
            </w:r>
          </w:p>
        </w:tc>
        <w:tc>
          <w:tcPr>
            <w:tcW w:type="dxa" w:w="4320"/>
            <w:shd w:val="clear" w:color="auto" w:fill="D9D9D9"/>
          </w:tcPr>
          <w:p>
            <w:r/>
            <w:r>
              <w:rPr>
                <w:b/>
                <w:sz w:val="19"/>
              </w:rPr>
              <w:t>Ketentuan / Indikator Terkait</w:t>
            </w:r>
          </w:p>
        </w:tc>
      </w:tr>
      <w:tr>
        <w:tc>
          <w:tcPr>
            <w:tcW w:type="dxa" w:w="4320"/>
          </w:tcPr>
          <w:p>
            <w:r/>
            <w:r>
              <w:rPr>
                <w:b w:val="0"/>
                <w:sz w:val="19"/>
              </w:rPr>
              <w:t>R1</w:t>
            </w:r>
          </w:p>
        </w:tc>
        <w:tc>
          <w:tcPr>
            <w:tcW w:type="dxa" w:w="4320"/>
          </w:tcPr>
          <w:p>
            <w:r/>
            <w:r>
              <w:rPr>
                <w:b w:val="0"/>
                <w:sz w:val="19"/>
              </w:rPr>
              <w:t>Butir 2.3.2.B: skor 4 jika NI (kerja sama internasional) &gt; a=2 dan NN (nasional) &gt; b=6, dihitung sebagai rasio terhadap NDT (jumlah dosen tetap); jika NI=0 dan NN=0 dan NL&gt;c=9 maka skor 2.</w:t>
            </w:r>
          </w:p>
        </w:tc>
      </w:tr>
      <w:tr>
        <w:tc>
          <w:tcPr>
            <w:tcW w:type="dxa" w:w="4320"/>
          </w:tcPr>
          <w:p>
            <w:r/>
            <w:r>
              <w:rPr>
                <w:b w:val="0"/>
                <w:sz w:val="19"/>
              </w:rPr>
              <w:t>R2</w:t>
            </w:r>
          </w:p>
        </w:tc>
        <w:tc>
          <w:tcPr>
            <w:tcW w:type="dxa" w:w="4320"/>
          </w:tcPr>
          <w:p>
            <w:r/>
            <w:r>
              <w:rPr>
                <w:b w:val="0"/>
                <w:sz w:val="19"/>
              </w:rPr>
              <w:t>Kriteria 2.2 butir 6.II: skor 4 jika NI&gt;a=2 dan NN&gt;b=6 (kerja sama internasional/nasional/wilayah dalam 3 tahun terakhir, dikelola UPPS), dengan formula skor proporsional bila di bawah ambang.</w:t>
            </w:r>
          </w:p>
        </w:tc>
      </w:tr>
      <w:tr>
        <w:tc>
          <w:tcPr>
            <w:tcW w:type="dxa" w:w="4320"/>
          </w:tcPr>
          <w:p>
            <w:r/>
            <w:r>
              <w:rPr>
                <w:b w:val="0"/>
                <w:sz w:val="19"/>
              </w:rPr>
              <w:t>R3</w:t>
            </w:r>
          </w:p>
        </w:tc>
        <w:tc>
          <w:tcPr>
            <w:tcW w:type="dxa" w:w="4320"/>
          </w:tcPr>
          <w:p>
            <w:r/>
            <w:r>
              <w:rPr>
                <w:b w:val="0"/>
                <w:sz w:val="19"/>
              </w:rPr>
              <w:t>tidak ditemukan pembahasan eksplisit mengenai ambang jumlah/rasio kerja sama nasional-internasional sebagai indikator tersendiri; kerja sama disebut sebagai salah satu bukti pendukung penelitian/PkM tanpa ambang kuantitatif spesifik.</w:t>
            </w:r>
          </w:p>
        </w:tc>
      </w:tr>
      <w:tr>
        <w:tc>
          <w:tcPr>
            <w:tcW w:type="dxa" w:w="4320"/>
          </w:tcPr>
          <w:p>
            <w:r/>
            <w:r>
              <w:rPr>
                <w:b w:val="0"/>
                <w:sz w:val="19"/>
              </w:rPr>
              <w:t>R4</w:t>
            </w:r>
          </w:p>
        </w:tc>
        <w:tc>
          <w:tcPr>
            <w:tcW w:type="dxa" w:w="4320"/>
          </w:tcPr>
          <w:p>
            <w:r/>
            <w:r>
              <w:rPr>
                <w:b w:val="0"/>
                <w:sz w:val="19"/>
              </w:rPr>
              <w:t>IKU No.3-4: target minimal 10 mitra institusi dalam negeri dan minimal 5 mitra institusi luar negeri per tahun yang memiliki kerja sama aktif di tingkat fakultas/prodi.</w:t>
            </w:r>
          </w:p>
        </w:tc>
      </w:tr>
      <w:tr>
        <w:tc>
          <w:tcPr>
            <w:tcW w:type="dxa" w:w="4320"/>
          </w:tcPr>
          <w:p>
            <w:r/>
            <w:r>
              <w:rPr>
                <w:b w:val="0"/>
                <w:sz w:val="19"/>
              </w:rPr>
              <w:t>R5</w:t>
            </w:r>
          </w:p>
        </w:tc>
        <w:tc>
          <w:tcPr>
            <w:tcW w:type="dxa" w:w="4320"/>
          </w:tcPr>
          <w:p>
            <w:r/>
            <w:r>
              <w:rPr>
                <w:b w:val="0"/>
                <w:sz w:val="19"/>
              </w:rPr>
              <w:t>Pernyataan Isi Standar No.9,11: 'kerjasama... dengan institusi luar negeri minimal 5 kegiatan setiap tahun'; 'kerjasama di bidang non akademik... minimal 10 kegiatan setiap tahun'; Indikator No.2: '10 institusi dalam negeri setiap tahun dan 5 institusi luar negeri setiap tahun'.</w:t>
            </w:r>
          </w:p>
        </w:tc>
      </w:tr>
    </w:tbl>
    <w:p/>
    <w:p>
      <w:pPr>
        <w:spacing w:after="120"/>
      </w:pPr>
      <w:r>
        <w:rPr>
          <w:b/>
          <w:i w:val="0"/>
        </w:rPr>
        <w:t>Tema 4. Relevansi, Manfaat, dan Kepuasan Mitra Kerjasama (3 Aspek Kualitas)</w:t>
      </w:r>
    </w:p>
    <w:p>
      <w:pPr>
        <w:spacing w:after="120"/>
      </w:pPr>
      <w:r>
        <w:rPr>
          <w:b w:val="0"/>
          <w:i w:val="0"/>
        </w:rPr>
        <w:t>Ketentuan FTII UNISBANK: Kerja sama FTII harus mendayagunakan sumber daya secara optimal, meningkatkan kinerja prodi/unit kerja, memperluas akses pengembangan kompetensi, meningkatkan reputasi, meningkatkan daya saing lulusan, dan mendukung kewirausahaan/RGA.</w:t>
      </w:r>
    </w:p>
    <w:p>
      <w:pPr>
        <w:spacing w:after="120"/>
      </w:pPr>
      <w:r>
        <w:rPr>
          <w:b w:val="0"/>
          <w:i w:val="0"/>
        </w:rPr>
        <w:t>Analisis Kesesuaian: IDENTIK secara substansi dengan R1 dan R2 — keduanya menetapkan RUBRIK 3 ASPEK yang sama persis untuk skor sempurna (4): (1) manfaat bagi proses pembelajaran/penelitian/PkM, (2) peningkatan kinerja tridharma dan fasilitas pendukung, (3) kepuasan mitra dan keberlanjutan kerja sama. FTII merumuskan kriteria manfaat kerja sama secara paralel namun dengan bahasa lebih luas (reputasi, daya saing lulusan, kewirausahaan). TIDAK DITEMUKAN rubrik 3-aspek yang identik pada R3, R4, dan R5, meski substansi 'manfaat dan keberlanjutan kerja sama' muncul di R4 sebagai bagian mekanisme evaluasi.</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
              <w:rPr>
                <w:b/>
                <w:sz w:val="19"/>
              </w:rPr>
              <w:t>Dokumen Rujukan</w:t>
            </w:r>
          </w:p>
        </w:tc>
        <w:tc>
          <w:tcPr>
            <w:tcW w:type="dxa" w:w="4320"/>
            <w:shd w:val="clear" w:color="auto" w:fill="D9D9D9"/>
          </w:tcPr>
          <w:p>
            <w:r/>
            <w:r>
              <w:rPr>
                <w:b/>
                <w:sz w:val="19"/>
              </w:rPr>
              <w:t>Ketentuan / Indikator Terkait</w:t>
            </w:r>
          </w:p>
        </w:tc>
      </w:tr>
      <w:tr>
        <w:tc>
          <w:tcPr>
            <w:tcW w:type="dxa" w:w="4320"/>
          </w:tcPr>
          <w:p>
            <w:r/>
            <w:r>
              <w:rPr>
                <w:b w:val="0"/>
                <w:sz w:val="19"/>
              </w:rPr>
              <w:t>R1</w:t>
            </w:r>
          </w:p>
        </w:tc>
        <w:tc>
          <w:tcPr>
            <w:tcW w:type="dxa" w:w="4320"/>
          </w:tcPr>
          <w:p>
            <w:r/>
            <w:r>
              <w:rPr>
                <w:b w:val="0"/>
                <w:sz w:val="19"/>
              </w:rPr>
              <w:t>2.3.1 Kerjasama skor 4: 'UPPS memiliki bukti yang sahih terkait kerjasama... memenuhi 3 aspek': (1) manfaat bagi Prodi dalam proses pembelajaran/penelitian/PkM; (2) peningkatan kinerja tridharma dan fasilitas pendukung; (3) kepuasan mitra dan menjamin keberlanjutan kerja sama.</w:t>
            </w:r>
          </w:p>
        </w:tc>
      </w:tr>
      <w:tr>
        <w:tc>
          <w:tcPr>
            <w:tcW w:type="dxa" w:w="4320"/>
          </w:tcPr>
          <w:p>
            <w:r/>
            <w:r>
              <w:rPr>
                <w:b w:val="0"/>
                <w:sz w:val="19"/>
              </w:rPr>
              <w:t>R2</w:t>
            </w:r>
          </w:p>
        </w:tc>
        <w:tc>
          <w:tcPr>
            <w:tcW w:type="dxa" w:w="4320"/>
          </w:tcPr>
          <w:p>
            <w:r/>
            <w:r>
              <w:rPr>
                <w:b w:val="0"/>
                <w:sz w:val="19"/>
              </w:rPr>
              <w:t>Kriteria 2.2 butir 7 (Pelaksanaan kerja sama) skor 4: rubrik 3 aspek identik dengan R1 — manfaat bagi program studi, peningkatan kinerja tridharma, dan kepuasan mitra industri/kerja sama lainnya.</w:t>
            </w:r>
          </w:p>
        </w:tc>
      </w:tr>
      <w:tr>
        <w:tc>
          <w:tcPr>
            <w:tcW w:type="dxa" w:w="4320"/>
          </w:tcPr>
          <w:p>
            <w:r/>
            <w:r>
              <w:rPr>
                <w:b w:val="0"/>
                <w:sz w:val="19"/>
              </w:rPr>
              <w:t>R3</w:t>
            </w:r>
          </w:p>
        </w:tc>
        <w:tc>
          <w:tcPr>
            <w:tcW w:type="dxa" w:w="4320"/>
          </w:tcPr>
          <w:p>
            <w:r/>
            <w:r>
              <w:rPr>
                <w:b w:val="0"/>
                <w:sz w:val="19"/>
              </w:rPr>
              <w:t>tidak ditemukan rubrik 3-aspek serupa; penilaian kerja sama pada R3 terintegrasi dalam elemen 'perolehan hibah, kerjasama, publikasi, HKI, keberlanjutan' pada Kriteria Penelitian/PkM tanpa rubrik manfaat-kepuasan tersendiri.</w:t>
            </w:r>
          </w:p>
        </w:tc>
      </w:tr>
      <w:tr>
        <w:tc>
          <w:tcPr>
            <w:tcW w:type="dxa" w:w="4320"/>
          </w:tcPr>
          <w:p>
            <w:r/>
            <w:r>
              <w:rPr>
                <w:b w:val="0"/>
                <w:sz w:val="19"/>
              </w:rPr>
              <w:t>R4</w:t>
            </w:r>
          </w:p>
        </w:tc>
        <w:tc>
          <w:tcPr>
            <w:tcW w:type="dxa" w:w="4320"/>
          </w:tcPr>
          <w:p>
            <w:r/>
            <w:r>
              <w:rPr>
                <w:b w:val="0"/>
                <w:sz w:val="19"/>
              </w:rPr>
              <w:t>Mekanisme Evaluasi No.3: 'Evaluasi dampak implementasi kerja sama terhadap tridarma dan layanan fakultas' — substansi manfaat/dampak sejalan namun tidak dirumuskan sebagai rubrik 3-aspek formal.</w:t>
            </w:r>
          </w:p>
        </w:tc>
      </w:tr>
      <w:tr>
        <w:tc>
          <w:tcPr>
            <w:tcW w:type="dxa" w:w="4320"/>
          </w:tcPr>
          <w:p>
            <w:r/>
            <w:r>
              <w:rPr>
                <w:b w:val="0"/>
                <w:sz w:val="19"/>
              </w:rPr>
              <w:t>R5</w:t>
            </w:r>
          </w:p>
        </w:tc>
        <w:tc>
          <w:tcPr>
            <w:tcW w:type="dxa" w:w="4320"/>
          </w:tcPr>
          <w:p>
            <w:r/>
            <w:r>
              <w:rPr>
                <w:b w:val="0"/>
                <w:sz w:val="19"/>
              </w:rPr>
              <w:t>tidak ditemukan rubrik manfaat/kepuasan mitra secara eksplisit pada 7.1; fokus R5 lebih pada legalitas (MoU/LoI) dan jumlah kegiatan kerja sama.</w:t>
            </w:r>
          </w:p>
        </w:tc>
      </w:tr>
    </w:tbl>
    <w:p/>
    <w:p>
      <w:pPr>
        <w:spacing w:after="120"/>
      </w:pPr>
      <w:r>
        <w:rPr>
          <w:b/>
          <w:i w:val="0"/>
        </w:rPr>
        <w:t>Tema 5. Legalitas dan Prosedur Kerjasama (MoU, MoA, IA/LoI)</w:t>
      </w:r>
    </w:p>
    <w:p>
      <w:pPr>
        <w:spacing w:after="120"/>
      </w:pPr>
      <w:r>
        <w:rPr>
          <w:b w:val="0"/>
          <w:i w:val="0"/>
        </w:rPr>
        <w:t>Ketentuan FTII UNISBANK: FTII wajib memiliki dokumen MoU, MoA, dan Implementation Arrangement (IA) sebagai dasar legalitas pelaksanaan kerja sama dengan mitra nasional maupun internasional.</w:t>
      </w:r>
    </w:p>
    <w:p>
      <w:pPr>
        <w:spacing w:after="120"/>
      </w:pPr>
      <w:r>
        <w:rPr>
          <w:b w:val="0"/>
          <w:i w:val="0"/>
        </w:rPr>
        <w:t>Analisis Kesesuaian: SELARAS PENUH dengan R5, dan SETARA SUBSTANSI dengan R4 — R5 secara eksplisit mensyaratkan tahapan MoU diikuti Naskah Perjanjian Kerjasama/Letter of Intent (LoI) sebagai prosedur formal, identik dengan pola MoU→MoA→IA FTII. R4 mensyaratkan 'dokumen perjanjian kerja sama (MoU, MoA, IA)' sebagai bukti pendukung. R1, R2, dan R3 TIDAK secara eksplisit merinci jenis dokumen legalitas kerja sama (MoU/MoA/IA) karena fokus ketiganya pada indikator capaian/rasio, bukan pada prosedur administratif — bukan gap substantif, melainkan perbedaan fokus penilaian (outcome vs proses).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
              <w:rPr>
                <w:b/>
                <w:sz w:val="19"/>
              </w:rPr>
              <w:t>Dokumen Rujukan</w:t>
            </w:r>
          </w:p>
        </w:tc>
        <w:tc>
          <w:tcPr>
            <w:tcW w:type="dxa" w:w="4320"/>
            <w:shd w:val="clear" w:color="auto" w:fill="D9D9D9"/>
          </w:tcPr>
          <w:p>
            <w:r/>
            <w:r>
              <w:rPr>
                <w:b/>
                <w:sz w:val="19"/>
              </w:rPr>
              <w:t>Ketentuan / Indikator Terkait</w:t>
            </w:r>
          </w:p>
        </w:tc>
      </w:tr>
      <w:tr>
        <w:tc>
          <w:tcPr>
            <w:tcW w:type="dxa" w:w="4320"/>
          </w:tcPr>
          <w:p>
            <w:r/>
            <w:r>
              <w:rPr>
                <w:b w:val="0"/>
                <w:sz w:val="19"/>
              </w:rPr>
              <w:t>R4</w:t>
            </w:r>
          </w:p>
        </w:tc>
        <w:tc>
          <w:tcPr>
            <w:tcW w:type="dxa" w:w="4320"/>
          </w:tcPr>
          <w:p>
            <w:r/>
            <w:r>
              <w:rPr>
                <w:b w:val="0"/>
                <w:sz w:val="19"/>
              </w:rPr>
              <w:t>Dokumen/Bukti Pendukung No.3: 'Dokumen perjanjian kerja sama (MoU, MoA, IA)'.</w:t>
            </w:r>
          </w:p>
        </w:tc>
      </w:tr>
      <w:tr>
        <w:tc>
          <w:tcPr>
            <w:tcW w:type="dxa" w:w="4320"/>
          </w:tcPr>
          <w:p>
            <w:r/>
            <w:r>
              <w:rPr>
                <w:b w:val="0"/>
                <w:sz w:val="19"/>
              </w:rPr>
              <w:t>R5</w:t>
            </w:r>
          </w:p>
        </w:tc>
        <w:tc>
          <w:tcPr>
            <w:tcW w:type="dxa" w:w="4320"/>
          </w:tcPr>
          <w:p>
            <w:r/>
            <w:r>
              <w:rPr>
                <w:b w:val="0"/>
                <w:sz w:val="19"/>
              </w:rPr>
              <w:t>Pernyataan Isi Standar No.5: 'proses pelaksanaan kerjasama yang diawali dengan Nota Kesepahaman (Memorandum of Understanding/MoU) dan ditindaklanjuti dengan Naskah Perjanjian Kerjasama (Letter of Intent/LoI) yang bersifat operasional'.</w:t>
            </w:r>
          </w:p>
        </w:tc>
      </w:tr>
      <w:tr>
        <w:tc>
          <w:tcPr>
            <w:tcW w:type="dxa" w:w="4320"/>
          </w:tcPr>
          <w:p>
            <w:r/>
            <w:r>
              <w:rPr>
                <w:b w:val="0"/>
                <w:sz w:val="19"/>
              </w:rPr>
              <w:t>R1</w:t>
            </w:r>
          </w:p>
        </w:tc>
        <w:tc>
          <w:tcPr>
            <w:tcW w:type="dxa" w:w="4320"/>
          </w:tcPr>
          <w:p>
            <w:r/>
            <w:r>
              <w:rPr>
                <w:b w:val="0"/>
                <w:sz w:val="19"/>
              </w:rPr>
              <w:t>tidak ditemukan pembahasan eksplisit mengenai jenis dokumen legalitas kerja sama (MoU/MoA/IA) sebagai indikator tersendiri; rubrik 2.3.1-2.3.2 berfokus pada bukti manfaat dan jumlah/rasio kerja sama.</w:t>
            </w:r>
          </w:p>
        </w:tc>
      </w:tr>
      <w:tr>
        <w:tc>
          <w:tcPr>
            <w:tcW w:type="dxa" w:w="4320"/>
          </w:tcPr>
          <w:p>
            <w:r/>
            <w:r>
              <w:rPr>
                <w:b w:val="0"/>
                <w:sz w:val="19"/>
              </w:rPr>
              <w:t>R2</w:t>
            </w:r>
          </w:p>
        </w:tc>
        <w:tc>
          <w:tcPr>
            <w:tcW w:type="dxa" w:w="4320"/>
          </w:tcPr>
          <w:p>
            <w:r/>
            <w:r>
              <w:rPr>
                <w:b w:val="0"/>
                <w:sz w:val="19"/>
              </w:rPr>
              <w:t>tidak ditemukan pembahasan eksplisit mengenai jenis dokumen legalitas kerja sama; Kriteria 2.2 berfokus pada rasio relevansi dan sebaran tingkat kerja sama berbasis data LKPS.</w:t>
            </w:r>
          </w:p>
        </w:tc>
      </w:tr>
      <w:tr>
        <w:tc>
          <w:tcPr>
            <w:tcW w:type="dxa" w:w="4320"/>
          </w:tcPr>
          <w:p>
            <w:r/>
            <w:r>
              <w:rPr>
                <w:b w:val="0"/>
                <w:sz w:val="19"/>
              </w:rPr>
              <w:t>R3</w:t>
            </w:r>
          </w:p>
        </w:tc>
        <w:tc>
          <w:tcPr>
            <w:tcW w:type="dxa" w:w="4320"/>
          </w:tcPr>
          <w:p>
            <w:r/>
            <w:r>
              <w:rPr>
                <w:b w:val="0"/>
                <w:sz w:val="19"/>
              </w:rPr>
              <w:t>tidak ditemukan pembahasan eksplisit mengenai jenis dokumen legalitas kerja sama pada elemen penilaian yang memuat kata 'kerjasama'.</w:t>
            </w:r>
          </w:p>
        </w:tc>
      </w:tr>
    </w:tbl>
    <w:p/>
    <w:p>
      <w:pPr>
        <w:spacing w:after="120"/>
      </w:pPr>
      <w:r>
        <w:rPr>
          <w:b/>
          <w:i w:val="0"/>
        </w:rPr>
        <w:t>Tema 6. Monitoring, Evaluasi, dan Tindak Lanjut Kerjasama</w:t>
      </w:r>
    </w:p>
    <w:p>
      <w:pPr>
        <w:spacing w:after="120"/>
      </w:pPr>
      <w:r>
        <w:rPr>
          <w:b w:val="0"/>
          <w:i w:val="0"/>
        </w:rPr>
        <w:t>Ketentuan FTII UNISBANK: FTII wajib melakukan monitoring dan evaluasi berkala terhadap kebijakan, pelaksanaan, dan ketercapaian indikator kerja sama, serta menyusun dokumen tindak lanjut sebagai dasar peningkatan mutu.</w:t>
      </w:r>
    </w:p>
    <w:p>
      <w:pPr>
        <w:spacing w:after="120"/>
      </w:pPr>
      <w:r>
        <w:rPr>
          <w:b w:val="0"/>
          <w:i w:val="0"/>
        </w:rPr>
        <w:t>Analisis Kesesuaian: SELARAS PENUH dengan R4 dan R5 — keduanya mensyaratkan monitoring-evaluasi terjadwal dan tindak lanjut terdokumentasi (R4 IKU No.13-14: frekuensi monev ≥1 kali/tahun dan persentase rekomendasi yang ditindaklanjuti meningkat 70%→95%; R5 Pernyataan Isi Standar No.21-22: monev minimal 1 kali/tahun serta audit LP3MP minimal 1 kali/tahun). R1 dan R2 menilai monev secara implisit melalui persyaratan 'bukti sahih keberlanjutan kerja sama' pada rubrik 3-aspek (Tema 4), sementara R3 tidak membahas monev kerja sama secara eksplisit sebagai indikator tersendiri.</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
              <w:rPr>
                <w:b/>
                <w:sz w:val="19"/>
              </w:rPr>
              <w:t>Dokumen Rujukan</w:t>
            </w:r>
          </w:p>
        </w:tc>
        <w:tc>
          <w:tcPr>
            <w:tcW w:type="dxa" w:w="4320"/>
            <w:shd w:val="clear" w:color="auto" w:fill="D9D9D9"/>
          </w:tcPr>
          <w:p>
            <w:r/>
            <w:r>
              <w:rPr>
                <w:b/>
                <w:sz w:val="19"/>
              </w:rPr>
              <w:t>Ketentuan / Indikator Terkait</w:t>
            </w:r>
          </w:p>
        </w:tc>
      </w:tr>
      <w:tr>
        <w:tc>
          <w:tcPr>
            <w:tcW w:type="dxa" w:w="4320"/>
          </w:tcPr>
          <w:p>
            <w:r/>
            <w:r>
              <w:rPr>
                <w:b w:val="0"/>
                <w:sz w:val="19"/>
              </w:rPr>
              <w:t>R4</w:t>
            </w:r>
          </w:p>
        </w:tc>
        <w:tc>
          <w:tcPr>
            <w:tcW w:type="dxa" w:w="4320"/>
          </w:tcPr>
          <w:p>
            <w:r/>
            <w:r>
              <w:rPr>
                <w:b w:val="0"/>
                <w:sz w:val="19"/>
              </w:rPr>
              <w:t>IKU No.13: 'Frekuensi monitoring dan evaluasi internal ketercapaian kerja sama di tingkat fakultas per tahun' (≥1 kali/tahun); IKT No.14: 'Persentase rekomendasi hasil monitoring dan evaluasi internal kerja sama yang ditindaklanjuti' (≥70% naik ke ≥95%); Mekanisme Evaluasi No.1-4: monev GPM tahunan, AMI, evaluasi dampak, RTM.</w:t>
            </w:r>
          </w:p>
        </w:tc>
      </w:tr>
      <w:tr>
        <w:tc>
          <w:tcPr>
            <w:tcW w:type="dxa" w:w="4320"/>
          </w:tcPr>
          <w:p>
            <w:r/>
            <w:r>
              <w:rPr>
                <w:b w:val="0"/>
                <w:sz w:val="19"/>
              </w:rPr>
              <w:t>R5</w:t>
            </w:r>
          </w:p>
        </w:tc>
        <w:tc>
          <w:tcPr>
            <w:tcW w:type="dxa" w:w="4320"/>
          </w:tcPr>
          <w:p>
            <w:r/>
            <w:r>
              <w:rPr>
                <w:b w:val="0"/>
                <w:sz w:val="19"/>
              </w:rPr>
              <w:t>Pernyataan Isi Standar No.21: 'kegiatan monitoring dan evaluasi pelaksanaan kerjasama... minimal 1 kali setiap tahun'; No.23: 'LP3MP harus melakukan audit terhadap pelaksanaan kerjasama... minimal 1 kali setiap tahun'; Strategi No.5: 'Pusat Jaminan Mutu melaksanakan audit internal untuk mengukur pelaksanaan dan ketercapaian standar pengelolaan kerjasama'.</w:t>
            </w:r>
          </w:p>
        </w:tc>
      </w:tr>
      <w:tr>
        <w:tc>
          <w:tcPr>
            <w:tcW w:type="dxa" w:w="4320"/>
          </w:tcPr>
          <w:p>
            <w:r/>
            <w:r>
              <w:rPr>
                <w:b w:val="0"/>
                <w:sz w:val="19"/>
              </w:rPr>
              <w:t>R1</w:t>
            </w:r>
          </w:p>
        </w:tc>
        <w:tc>
          <w:tcPr>
            <w:tcW w:type="dxa" w:w="4320"/>
          </w:tcPr>
          <w:p>
            <w:r/>
            <w:r>
              <w:rPr>
                <w:b w:val="0"/>
                <w:sz w:val="19"/>
              </w:rPr>
              <w:t>Bukti keberlanjutan kerja sama (aspek 3 pada rubrik 2.3.1) mengindikasikan monev implisit, namun tidak dirumuskan sebagai indikator monev tersendiri.</w:t>
            </w:r>
          </w:p>
        </w:tc>
      </w:tr>
      <w:tr>
        <w:tc>
          <w:tcPr>
            <w:tcW w:type="dxa" w:w="4320"/>
          </w:tcPr>
          <w:p>
            <w:r/>
            <w:r>
              <w:rPr>
                <w:b w:val="0"/>
                <w:sz w:val="19"/>
              </w:rPr>
              <w:t>R2</w:t>
            </w:r>
          </w:p>
        </w:tc>
        <w:tc>
          <w:tcPr>
            <w:tcW w:type="dxa" w:w="4320"/>
          </w:tcPr>
          <w:p>
            <w:r/>
            <w:r>
              <w:rPr>
                <w:b w:val="0"/>
                <w:sz w:val="19"/>
              </w:rPr>
              <w:t>tidak ditemukan indikator monev kerja sama tersendiri di luar rubrik pelaksanaan (Tema 4).</w:t>
            </w:r>
          </w:p>
        </w:tc>
      </w:tr>
      <w:tr>
        <w:tc>
          <w:tcPr>
            <w:tcW w:type="dxa" w:w="4320"/>
          </w:tcPr>
          <w:p>
            <w:r/>
            <w:r>
              <w:rPr>
                <w:b w:val="0"/>
                <w:sz w:val="19"/>
              </w:rPr>
              <w:t>R3</w:t>
            </w:r>
          </w:p>
        </w:tc>
        <w:tc>
          <w:tcPr>
            <w:tcW w:type="dxa" w:w="4320"/>
          </w:tcPr>
          <w:p>
            <w:r/>
            <w:r>
              <w:rPr>
                <w:b w:val="0"/>
                <w:sz w:val="19"/>
              </w:rPr>
              <w:t>tidak ditemukan pembahasan eksplisit mengenai monev kerja sama sebagai indikator tersendiri.</w:t>
            </w:r>
          </w:p>
        </w:tc>
      </w:tr>
    </w:tbl>
    <w:p/>
    <w:p>
      <w:pPr>
        <w:spacing w:after="120"/>
      </w:pPr>
      <w:r>
        <w:rPr>
          <w:b/>
          <w:i w:val="0"/>
        </w:rPr>
        <w:t>Tema 7. Sistem Informasi dan Database Kerjasama</w:t>
      </w:r>
    </w:p>
    <w:p>
      <w:pPr>
        <w:spacing w:after="120"/>
      </w:pPr>
      <w:r>
        <w:rPr>
          <w:b w:val="0"/>
          <w:i w:val="0"/>
        </w:rPr>
        <w:t>Ketentuan FTII UNISBANK: Dokumen Standar Kerjasama FTII tidak secara eksplisit menyebut kewajiban sistem informasi/database kerja sama sebagai pernyataan standar tersendiri, meski disinggung dalam dokumen terkait (data kerja sama).</w:t>
      </w:r>
    </w:p>
    <w:p>
      <w:pPr>
        <w:spacing w:after="120"/>
      </w:pPr>
      <w:r>
        <w:rPr>
          <w:b w:val="0"/>
          <w:i w:val="0"/>
        </w:rPr>
        <w:t>Analisis Kesesuaian: GAP TERIDENTIFIKASI — FTII belum memiliki pernyataan standar eksplisit tentang sistem informasi kerja sama, sementara R5 mensyaratkannya secara eksplisit dan terukur ('sistem informasi kerjasama' wajib tersedia, data diperbarui maksimal 2 minggu setelah kerja sama dilaksanakan). R1, R2, R3, dan R4 tidak membahas sistem informasi kerja sama secara eksplisit sebagai indikator tersendiri. Direkomendasikan FTII menambahkan ketentuan sistem informasi/database kerja sama terpusat mengikuti pola R5 untuk mendukung transparansi dan kemudahan verifikasi data saat penyusunan LKPS akreditasi.</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
              <w:rPr>
                <w:b/>
                <w:sz w:val="19"/>
              </w:rPr>
              <w:t>Dokumen Rujukan</w:t>
            </w:r>
          </w:p>
        </w:tc>
        <w:tc>
          <w:tcPr>
            <w:tcW w:type="dxa" w:w="4320"/>
            <w:shd w:val="clear" w:color="auto" w:fill="D9D9D9"/>
          </w:tcPr>
          <w:p>
            <w:r/>
            <w:r>
              <w:rPr>
                <w:b/>
                <w:sz w:val="19"/>
              </w:rPr>
              <w:t>Ketentuan / Indikator Terkait</w:t>
            </w:r>
          </w:p>
        </w:tc>
      </w:tr>
      <w:tr>
        <w:tc>
          <w:tcPr>
            <w:tcW w:type="dxa" w:w="4320"/>
          </w:tcPr>
          <w:p>
            <w:r/>
            <w:r>
              <w:rPr>
                <w:b w:val="0"/>
                <w:sz w:val="19"/>
              </w:rPr>
              <w:t>R5</w:t>
            </w:r>
          </w:p>
        </w:tc>
        <w:tc>
          <w:tcPr>
            <w:tcW w:type="dxa" w:w="4320"/>
          </w:tcPr>
          <w:p>
            <w:r/>
            <w:r>
              <w:rPr>
                <w:b w:val="0"/>
                <w:sz w:val="19"/>
              </w:rPr>
              <w:t>Pernyataan Isi Standar No.19: 'Kepala UPT TIK memastikan tersedianya sistem informasi kerjasama'; No.20: 'melakukan updating data kerjasama di sistem informasi kerjasama maksimal 2 minggu setelah kerjasama dilaksanakan'; Definisi Istilah No.10: 'Sistem informasi kerjasama merupakan sistem informasi yang memuat seluruh dokumen kerjasama'.</w:t>
            </w:r>
          </w:p>
        </w:tc>
      </w:tr>
      <w:tr>
        <w:tc>
          <w:tcPr>
            <w:tcW w:type="dxa" w:w="4320"/>
          </w:tcPr>
          <w:p>
            <w:r/>
            <w:r>
              <w:rPr>
                <w:b w:val="0"/>
                <w:sz w:val="19"/>
              </w:rPr>
              <w:t>R1</w:t>
            </w:r>
          </w:p>
        </w:tc>
        <w:tc>
          <w:tcPr>
            <w:tcW w:type="dxa" w:w="4320"/>
          </w:tcPr>
          <w:p>
            <w:r/>
            <w:r>
              <w:rPr>
                <w:b w:val="0"/>
                <w:sz w:val="19"/>
              </w:rPr>
              <w:t>tidak ditemukan pembahasan eksplisit mengenai sistem informasi/database kerja sama.</w:t>
            </w:r>
          </w:p>
        </w:tc>
      </w:tr>
      <w:tr>
        <w:tc>
          <w:tcPr>
            <w:tcW w:type="dxa" w:w="4320"/>
          </w:tcPr>
          <w:p>
            <w:r/>
            <w:r>
              <w:rPr>
                <w:b w:val="0"/>
                <w:sz w:val="19"/>
              </w:rPr>
              <w:t>R2</w:t>
            </w:r>
          </w:p>
        </w:tc>
        <w:tc>
          <w:tcPr>
            <w:tcW w:type="dxa" w:w="4320"/>
          </w:tcPr>
          <w:p>
            <w:r/>
            <w:r>
              <w:rPr>
                <w:b w:val="0"/>
                <w:sz w:val="19"/>
              </w:rPr>
              <w:t>tidak ditemukan pembahasan eksplisit mengenai sistem informasi/database kerja sama.</w:t>
            </w:r>
          </w:p>
        </w:tc>
      </w:tr>
      <w:tr>
        <w:tc>
          <w:tcPr>
            <w:tcW w:type="dxa" w:w="4320"/>
          </w:tcPr>
          <w:p>
            <w:r/>
            <w:r>
              <w:rPr>
                <w:b w:val="0"/>
                <w:sz w:val="19"/>
              </w:rPr>
              <w:t>R3</w:t>
            </w:r>
          </w:p>
        </w:tc>
        <w:tc>
          <w:tcPr>
            <w:tcW w:type="dxa" w:w="4320"/>
          </w:tcPr>
          <w:p>
            <w:r/>
            <w:r>
              <w:rPr>
                <w:b w:val="0"/>
                <w:sz w:val="19"/>
              </w:rPr>
              <w:t>tidak ditemukan pembahasan eksplisit mengenai sistem informasi/database kerja sama.</w:t>
            </w:r>
          </w:p>
        </w:tc>
      </w:tr>
      <w:tr>
        <w:tc>
          <w:tcPr>
            <w:tcW w:type="dxa" w:w="4320"/>
          </w:tcPr>
          <w:p>
            <w:r/>
            <w:r>
              <w:rPr>
                <w:b w:val="0"/>
                <w:sz w:val="19"/>
              </w:rPr>
              <w:t>R4</w:t>
            </w:r>
          </w:p>
        </w:tc>
        <w:tc>
          <w:tcPr>
            <w:tcW w:type="dxa" w:w="4320"/>
          </w:tcPr>
          <w:p>
            <w:r/>
            <w:r>
              <w:rPr>
                <w:b w:val="0"/>
                <w:sz w:val="19"/>
              </w:rPr>
              <w:t>tidak ditemukan pembahasan eksplisit mengenai sistem informasi/database kerja sama sebagai indikator tersendiri, meski dokumen bukti pendukung mencantumkan 'daftar dan database mitra kerja sama'.</w:t>
            </w:r>
          </w:p>
        </w:tc>
      </w:tr>
    </w:tbl>
    <w:p/>
    <w:p>
      <w:pPr>
        <w:spacing w:after="120"/>
      </w:pPr>
      <w:r>
        <w:rPr>
          <w:b/>
          <w:i w:val="0"/>
        </w:rPr>
        <w:t>Tema 8. Pendanaan Kerjasama</w:t>
      </w:r>
    </w:p>
    <w:p>
      <w:pPr>
        <w:spacing w:after="120"/>
      </w:pPr>
      <w:r>
        <w:rPr>
          <w:b w:val="0"/>
          <w:i w:val="0"/>
        </w:rPr>
        <w:t>Ketentuan FTII UNISBANK: Dokumen Standar Kerjasama FTII tidak memuat pernyataan standar eksplisit tentang penyediaan dana kerja sama, meski disebut dalam ketentuan RGA (revenue generating activity).</w:t>
      </w:r>
    </w:p>
    <w:p>
      <w:pPr>
        <w:spacing w:after="120"/>
      </w:pPr>
      <w:r>
        <w:rPr>
          <w:b w:val="0"/>
          <w:i w:val="0"/>
        </w:rPr>
        <w:t>Analisis Kesesuaian: GAP SEBAGIAN — R5 secara eksplisit mewajibkan penyediaan dana rasional dan proporsional untuk kerja sama setiap awal tahun anggaran, sedangkan FTII belum merumuskan ketentuan pendanaan kerja sama secara eksplisit sebagai pernyataan standar tersendiri. R1, R2, R3, dan R4 tidak membahas pendanaan kerja sama secara eksplisit sebagai indikator terpisah (R2 memiliki indikator pendanaan penelitian/PkM tersendiri di luar Kriteria 2.2 Kerjasama). Direkomendasikan FTII menambahkan ketentuan alokasi anggaran kerja sama tahunan mengikuti pola R5.</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
              <w:rPr>
                <w:b/>
                <w:sz w:val="19"/>
              </w:rPr>
              <w:t>Dokumen Rujukan</w:t>
            </w:r>
          </w:p>
        </w:tc>
        <w:tc>
          <w:tcPr>
            <w:tcW w:type="dxa" w:w="4320"/>
            <w:shd w:val="clear" w:color="auto" w:fill="D9D9D9"/>
          </w:tcPr>
          <w:p>
            <w:r/>
            <w:r>
              <w:rPr>
                <w:b/>
                <w:sz w:val="19"/>
              </w:rPr>
              <w:t>Ketentuan / Indikator Terkait</w:t>
            </w:r>
          </w:p>
        </w:tc>
      </w:tr>
      <w:tr>
        <w:tc>
          <w:tcPr>
            <w:tcW w:type="dxa" w:w="4320"/>
          </w:tcPr>
          <w:p>
            <w:r/>
            <w:r>
              <w:rPr>
                <w:b w:val="0"/>
                <w:sz w:val="19"/>
              </w:rPr>
              <w:t>R5</w:t>
            </w:r>
          </w:p>
        </w:tc>
        <w:tc>
          <w:tcPr>
            <w:tcW w:type="dxa" w:w="4320"/>
          </w:tcPr>
          <w:p>
            <w:r/>
            <w:r>
              <w:rPr>
                <w:b w:val="0"/>
                <w:sz w:val="19"/>
              </w:rPr>
              <w:t>Pernyataan Isi Standar No.6: 'Wakil Rektor bidang Umum dan Keuangan harus menyediakan dana yang rasional dan proporsional untuk kerjasama... baik di tingkat universitas dan fakultas pada setiap awal tahun anggaran'.</w:t>
            </w:r>
          </w:p>
        </w:tc>
      </w:tr>
      <w:tr>
        <w:tc>
          <w:tcPr>
            <w:tcW w:type="dxa" w:w="4320"/>
          </w:tcPr>
          <w:p>
            <w:r/>
            <w:r>
              <w:rPr>
                <w:b w:val="0"/>
                <w:sz w:val="19"/>
              </w:rPr>
              <w:t>R1</w:t>
            </w:r>
          </w:p>
        </w:tc>
        <w:tc>
          <w:tcPr>
            <w:tcW w:type="dxa" w:w="4320"/>
          </w:tcPr>
          <w:p>
            <w:r/>
            <w:r>
              <w:rPr>
                <w:b w:val="0"/>
                <w:sz w:val="19"/>
              </w:rPr>
              <w:t>tidak ditemukan pembahasan eksplisit mengenai pendanaan kerja sama pada butir 2.3.1-2.3.2.</w:t>
            </w:r>
          </w:p>
        </w:tc>
      </w:tr>
      <w:tr>
        <w:tc>
          <w:tcPr>
            <w:tcW w:type="dxa" w:w="4320"/>
          </w:tcPr>
          <w:p>
            <w:r/>
            <w:r>
              <w:rPr>
                <w:b w:val="0"/>
                <w:sz w:val="19"/>
              </w:rPr>
              <w:t>R2</w:t>
            </w:r>
          </w:p>
        </w:tc>
        <w:tc>
          <w:tcPr>
            <w:tcW w:type="dxa" w:w="4320"/>
          </w:tcPr>
          <w:p>
            <w:r/>
            <w:r>
              <w:rPr>
                <w:b w:val="0"/>
                <w:sz w:val="19"/>
              </w:rPr>
              <w:t>tidak ditemukan pembahasan eksplisit mengenai pendanaan kerja sama pada Kriteria 2.2; pendanaan penelitian/PkM diatur terpisah pada Kriteria 2.3 Keuangan.</w:t>
            </w:r>
          </w:p>
        </w:tc>
      </w:tr>
      <w:tr>
        <w:tc>
          <w:tcPr>
            <w:tcW w:type="dxa" w:w="4320"/>
          </w:tcPr>
          <w:p>
            <w:r/>
            <w:r>
              <w:rPr>
                <w:b w:val="0"/>
                <w:sz w:val="19"/>
              </w:rPr>
              <w:t>R3</w:t>
            </w:r>
          </w:p>
        </w:tc>
        <w:tc>
          <w:tcPr>
            <w:tcW w:type="dxa" w:w="4320"/>
          </w:tcPr>
          <w:p>
            <w:r/>
            <w:r>
              <w:rPr>
                <w:b w:val="0"/>
                <w:sz w:val="19"/>
              </w:rPr>
              <w:t>tidak ditemukan pembahasan eksplisit mengenai pendanaan kerja sama sebagai indikator tersendiri.</w:t>
            </w:r>
          </w:p>
        </w:tc>
      </w:tr>
      <w:tr>
        <w:tc>
          <w:tcPr>
            <w:tcW w:type="dxa" w:w="4320"/>
          </w:tcPr>
          <w:p>
            <w:r/>
            <w:r>
              <w:rPr>
                <w:b w:val="0"/>
                <w:sz w:val="19"/>
              </w:rPr>
              <w:t>R4</w:t>
            </w:r>
          </w:p>
        </w:tc>
        <w:tc>
          <w:tcPr>
            <w:tcW w:type="dxa" w:w="4320"/>
          </w:tcPr>
          <w:p>
            <w:r/>
            <w:r>
              <w:rPr>
                <w:b w:val="0"/>
                <w:sz w:val="19"/>
              </w:rPr>
              <w:t>tidak ditemukan pembahasan eksplisit mengenai pendanaan kerja sama sebagai pernyataan standar tersendiri.</w:t>
            </w:r>
          </w:p>
        </w:tc>
      </w:tr>
    </w:tbl>
    <w:p/>
    <w:p>
      <w:pPr>
        <w:spacing w:after="120"/>
      </w:pPr>
      <w:r>
        <w:rPr>
          <w:b/>
          <w:i w:val="0"/>
        </w:rPr>
        <w:t>Tema 9. Peningkatan Mutu dan Optimalisasi Kerjasama Berkelanjutan</w:t>
      </w:r>
    </w:p>
    <w:p>
      <w:pPr>
        <w:spacing w:after="120"/>
      </w:pPr>
      <w:r>
        <w:rPr>
          <w:b w:val="0"/>
          <w:i w:val="0"/>
        </w:rPr>
        <w:t>Ketentuan FTII UNISBANK: FTII wajib melakukan peningkatan mutu kerja sama secara berkelanjutan melalui perluasan jejaring, peningkatan kualitas implementasi, penguatan kelembagaan, dan pengembangan program kerja sama inovatif.</w:t>
      </w:r>
    </w:p>
    <w:p>
      <w:pPr>
        <w:spacing w:after="120"/>
      </w:pPr>
      <w:r>
        <w:rPr>
          <w:b w:val="0"/>
          <w:i w:val="0"/>
        </w:rPr>
        <w:t>Analisis Kesesuaian: SELARAS PENUH dengan R4 dan R5 — keduanya menempatkan peningkatan mutu berkelanjutan sebagai bagian eksplisit strategi/pernyataan standar (R4 Strategi No.5-6: monitoring-evaluasi dan tindak lanjut untuk meningkatkan efektivitas dan keberlanjutan; R5 Strategi No.5: audit internal untuk mengukur ketercapaian standar). R1, R2, dan R3 tidak merumuskan peningkatan berkelanjutan sebagai indikator tersendiri di luar rubrik capaian/skor, namun secara implisit tercakup dalam siklus penilaian akreditasi berkala. Tidak ada gap signifikan.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
              <w:rPr>
                <w:b/>
                <w:sz w:val="19"/>
              </w:rPr>
              <w:t>Dokumen Rujukan</w:t>
            </w:r>
          </w:p>
        </w:tc>
        <w:tc>
          <w:tcPr>
            <w:tcW w:type="dxa" w:w="4320"/>
            <w:shd w:val="clear" w:color="auto" w:fill="D9D9D9"/>
          </w:tcPr>
          <w:p>
            <w:r/>
            <w:r>
              <w:rPr>
                <w:b/>
                <w:sz w:val="19"/>
              </w:rPr>
              <w:t>Ketentuan / Indikator Terkait</w:t>
            </w:r>
          </w:p>
        </w:tc>
      </w:tr>
      <w:tr>
        <w:tc>
          <w:tcPr>
            <w:tcW w:type="dxa" w:w="4320"/>
          </w:tcPr>
          <w:p>
            <w:r/>
            <w:r>
              <w:rPr>
                <w:b w:val="0"/>
                <w:sz w:val="19"/>
              </w:rPr>
              <w:t>R4</w:t>
            </w:r>
          </w:p>
        </w:tc>
        <w:tc>
          <w:tcPr>
            <w:tcW w:type="dxa" w:w="4320"/>
          </w:tcPr>
          <w:p>
            <w:r/>
            <w:r>
              <w:rPr>
                <w:b w:val="0"/>
                <w:sz w:val="19"/>
              </w:rPr>
              <w:t>Strategi Pencapaian No.5-6: 'Memonitor dan mengevaluasi ketercapaian, mutu, dan dampak kerja sama secara berkala'; 'Menindaklanjuti hasil monitoring dan evaluasi untuk meningkatkan efektivitas dan keberlanjutan kerja sama'.</w:t>
            </w:r>
          </w:p>
        </w:tc>
      </w:tr>
      <w:tr>
        <w:tc>
          <w:tcPr>
            <w:tcW w:type="dxa" w:w="4320"/>
          </w:tcPr>
          <w:p>
            <w:r/>
            <w:r>
              <w:rPr>
                <w:b w:val="0"/>
                <w:sz w:val="19"/>
              </w:rPr>
              <w:t>R5</w:t>
            </w:r>
          </w:p>
        </w:tc>
        <w:tc>
          <w:tcPr>
            <w:tcW w:type="dxa" w:w="4320"/>
          </w:tcPr>
          <w:p>
            <w:r/>
            <w:r>
              <w:rPr>
                <w:b w:val="0"/>
                <w:sz w:val="19"/>
              </w:rPr>
              <w:t>Strategi No.5: 'Pusat Jaminan Mutu melaksanakan audit internal untuk mengukur pelaksanaan dan ketercapaian standar pengelolaan kerjasama'.</w:t>
            </w:r>
          </w:p>
        </w:tc>
      </w:tr>
      <w:tr>
        <w:tc>
          <w:tcPr>
            <w:tcW w:type="dxa" w:w="4320"/>
          </w:tcPr>
          <w:p>
            <w:r/>
            <w:r>
              <w:rPr>
                <w:b w:val="0"/>
                <w:sz w:val="19"/>
              </w:rPr>
              <w:t>R1</w:t>
            </w:r>
          </w:p>
        </w:tc>
        <w:tc>
          <w:tcPr>
            <w:tcW w:type="dxa" w:w="4320"/>
          </w:tcPr>
          <w:p>
            <w:r/>
            <w:r>
              <w:rPr>
                <w:b w:val="0"/>
                <w:sz w:val="19"/>
              </w:rPr>
              <w:t>tidak ditemukan indikator peningkatan berkelanjutan tersendiri di luar rubrik skor 0-4 per butir.</w:t>
            </w:r>
          </w:p>
        </w:tc>
      </w:tr>
      <w:tr>
        <w:tc>
          <w:tcPr>
            <w:tcW w:type="dxa" w:w="4320"/>
          </w:tcPr>
          <w:p>
            <w:r/>
            <w:r>
              <w:rPr>
                <w:b w:val="0"/>
                <w:sz w:val="19"/>
              </w:rPr>
              <w:t>R2</w:t>
            </w:r>
          </w:p>
        </w:tc>
        <w:tc>
          <w:tcPr>
            <w:tcW w:type="dxa" w:w="4320"/>
          </w:tcPr>
          <w:p>
            <w:r/>
            <w:r>
              <w:rPr>
                <w:b w:val="0"/>
                <w:sz w:val="19"/>
              </w:rPr>
              <w:t>tidak ditemukan indikator peningkatan berkelanjutan tersendiri di luar rubrik skor 0-4 per butir.</w:t>
            </w:r>
          </w:p>
        </w:tc>
      </w:tr>
      <w:tr>
        <w:tc>
          <w:tcPr>
            <w:tcW w:type="dxa" w:w="4320"/>
          </w:tcPr>
          <w:p>
            <w:r/>
            <w:r>
              <w:rPr>
                <w:b w:val="0"/>
                <w:sz w:val="19"/>
              </w:rPr>
              <w:t>R3</w:t>
            </w:r>
          </w:p>
        </w:tc>
        <w:tc>
          <w:tcPr>
            <w:tcW w:type="dxa" w:w="4320"/>
          </w:tcPr>
          <w:p>
            <w:r/>
            <w:r>
              <w:rPr>
                <w:b w:val="0"/>
                <w:sz w:val="19"/>
              </w:rPr>
              <w:t>tidak ditemukan pembahasan eksplisit mengenai peningkatan mutu kerja sama berkelanjutan sebagai indikator tersendiri di luar siklus PPEPP umum.</w:t>
            </w:r>
          </w:p>
        </w:tc>
      </w:tr>
    </w:tbl>
    <w:p/>
    <w:p>
      <w:pPr>
        <w:spacing w:before="280" w:after="120"/>
      </w:pPr>
      <w:r>
        <w:rPr>
          <w:b/>
          <w:sz w:val="26"/>
        </w:rPr>
        <w:t>C. TABEL RINGKASAN KESESUAIAN</w:t>
      </w:r>
    </w:p>
    <w:p>
      <w:pPr>
        <w:spacing w:after="120"/>
      </w:pPr>
      <w:r>
        <w:rPr>
          <w:b w:val="0"/>
          <w:i w:val="0"/>
        </w:rPr>
        <w:t>Ringkasan status kesesuaian Standar Kerjasama FTII terhadap kelima dokumen rujukan per tema, disusun berdasarkan analisis pada bagian B di atas.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D9D9"/>
          </w:tcPr>
          <w:p>
            <w:r/>
            <w:r>
              <w:rPr>
                <w:b/>
                <w:sz w:val="19"/>
              </w:rPr>
              <w:t>Indikator/Tema</w:t>
            </w:r>
          </w:p>
        </w:tc>
        <w:tc>
          <w:tcPr>
            <w:tcW w:type="dxa" w:w="2160"/>
            <w:shd w:val="clear" w:color="auto" w:fill="D9D9D9"/>
          </w:tcPr>
          <w:p>
            <w:r/>
            <w:r>
              <w:rPr>
                <w:b/>
                <w:sz w:val="19"/>
              </w:rPr>
              <w:t>Ketentuan FTII</w:t>
            </w:r>
          </w:p>
        </w:tc>
        <w:tc>
          <w:tcPr>
            <w:tcW w:type="dxa" w:w="2160"/>
            <w:shd w:val="clear" w:color="auto" w:fill="D9D9D9"/>
          </w:tcPr>
          <w:p>
            <w:r/>
            <w:r>
              <w:rPr>
                <w:b/>
                <w:sz w:val="19"/>
              </w:rPr>
              <w:t>Rujukan Relevan (R1-R5)</w:t>
            </w:r>
          </w:p>
        </w:tc>
        <w:tc>
          <w:tcPr>
            <w:tcW w:type="dxa" w:w="2160"/>
            <w:shd w:val="clear" w:color="auto" w:fill="D9D9D9"/>
          </w:tcPr>
          <w:p>
            <w:r/>
            <w:r>
              <w:rPr>
                <w:b/>
                <w:sz w:val="19"/>
              </w:rPr>
              <w:t>Status Kesesuaian</w:t>
            </w:r>
          </w:p>
        </w:tc>
      </w:tr>
      <w:tr>
        <w:tc>
          <w:tcPr>
            <w:tcW w:type="dxa" w:w="2160"/>
          </w:tcPr>
          <w:p>
            <w:r/>
            <w:r>
              <w:rPr>
                <w:b w:val="0"/>
                <w:sz w:val="19"/>
              </w:rPr>
              <w:t>Kebijakan &amp; kelembagaan kerja sama</w:t>
            </w:r>
          </w:p>
        </w:tc>
        <w:tc>
          <w:tcPr>
            <w:tcW w:type="dxa" w:w="2160"/>
          </w:tcPr>
          <w:p>
            <w:r/>
            <w:r>
              <w:rPr>
                <w:b w:val="0"/>
                <w:sz w:val="19"/>
              </w:rPr>
              <w:t>Wajib kebijakan, standar, IKU/IKT, pedoman, lembaga pengelola</w:t>
            </w:r>
          </w:p>
        </w:tc>
        <w:tc>
          <w:tcPr>
            <w:tcW w:type="dxa" w:w="2160"/>
          </w:tcPr>
          <w:p>
            <w:r/>
            <w:r>
              <w:rPr>
                <w:b w:val="0"/>
                <w:sz w:val="19"/>
              </w:rPr>
              <w:t>R1 (2.3.1), R4 (IKU 1-2), R5 (Isi Std. 1,4)</w:t>
            </w:r>
          </w:p>
        </w:tc>
        <w:tc>
          <w:tcPr>
            <w:tcW w:type="dxa" w:w="2160"/>
          </w:tcPr>
          <w:p>
            <w:r/>
            <w:r>
              <w:rPr>
                <w:b w:val="0"/>
                <w:sz w:val="19"/>
              </w:rPr>
              <w:t>Selaras penuh</w:t>
            </w:r>
          </w:p>
        </w:tc>
      </w:tr>
      <w:tr>
        <w:tc>
          <w:tcPr>
            <w:tcW w:type="dxa" w:w="2160"/>
          </w:tcPr>
          <w:p>
            <w:r/>
            <w:r>
              <w:rPr>
                <w:b w:val="0"/>
                <w:sz w:val="19"/>
              </w:rPr>
              <w:t>Ruang lingkup kerja sama</w:t>
            </w:r>
          </w:p>
        </w:tc>
        <w:tc>
          <w:tcPr>
            <w:tcW w:type="dxa" w:w="2160"/>
          </w:tcPr>
          <w:p>
            <w:r/>
            <w:r>
              <w:rPr>
                <w:b w:val="0"/>
                <w:sz w:val="19"/>
              </w:rPr>
              <w:t>Pendidikan, penelitian, PkM, non-akademik, kewirausahaan</w:t>
            </w:r>
          </w:p>
        </w:tc>
        <w:tc>
          <w:tcPr>
            <w:tcW w:type="dxa" w:w="2160"/>
          </w:tcPr>
          <w:p>
            <w:r/>
            <w:r>
              <w:rPr>
                <w:b w:val="0"/>
                <w:sz w:val="19"/>
              </w:rPr>
              <w:t>R1 (2.3.1), R2 (Kriteria 2.2), R3 (elemen Kriteria 3/4), R4 (IKU 7-9), R5 (Isi Std. 2)</w:t>
            </w:r>
          </w:p>
        </w:tc>
        <w:tc>
          <w:tcPr>
            <w:tcW w:type="dxa" w:w="2160"/>
          </w:tcPr>
          <w:p>
            <w:r/>
            <w:r>
              <w:rPr>
                <w:b w:val="0"/>
                <w:sz w:val="19"/>
              </w:rPr>
              <w:t>Selaras penuh, lebih rinci</w:t>
            </w:r>
          </w:p>
        </w:tc>
      </w:tr>
      <w:tr>
        <w:tc>
          <w:tcPr>
            <w:tcW w:type="dxa" w:w="2160"/>
          </w:tcPr>
          <w:p>
            <w:r/>
            <w:r>
              <w:rPr>
                <w:b w:val="0"/>
                <w:sz w:val="19"/>
              </w:rPr>
              <w:t>Sebaran nasional/internasional (terukur)</w:t>
            </w:r>
          </w:p>
        </w:tc>
        <w:tc>
          <w:tcPr>
            <w:tcW w:type="dxa" w:w="2160"/>
          </w:tcPr>
          <w:p>
            <w:r/>
            <w:r>
              <w:rPr>
                <w:b w:val="0"/>
                <w:sz w:val="19"/>
              </w:rPr>
              <w:t>Target angka absolut per bidang &amp; tingkat, naik 2024/25-2027/28</w:t>
            </w:r>
          </w:p>
        </w:tc>
        <w:tc>
          <w:tcPr>
            <w:tcW w:type="dxa" w:w="2160"/>
          </w:tcPr>
          <w:p>
            <w:r/>
            <w:r>
              <w:rPr>
                <w:b w:val="0"/>
                <w:sz w:val="19"/>
              </w:rPr>
              <w:t>R1 (2.3.2.B rasio), R2 (Kriteria 2.2.II rasio), R4 (IKU 3-4), R5 (Isi Std. 9,11)</w:t>
            </w:r>
          </w:p>
        </w:tc>
        <w:tc>
          <w:tcPr>
            <w:tcW w:type="dxa" w:w="2160"/>
          </w:tcPr>
          <w:p>
            <w:r/>
            <w:r>
              <w:rPr>
                <w:b w:val="0"/>
                <w:sz w:val="19"/>
              </w:rPr>
              <w:t>Melampaui R4/R5; perlu hitung rasio untuk R1/R2</w:t>
            </w:r>
          </w:p>
        </w:tc>
      </w:tr>
      <w:tr>
        <w:tc>
          <w:tcPr>
            <w:tcW w:type="dxa" w:w="2160"/>
          </w:tcPr>
          <w:p>
            <w:r/>
            <w:r>
              <w:rPr>
                <w:b w:val="0"/>
                <w:sz w:val="19"/>
              </w:rPr>
              <w:t>Relevansi, manfaat, kepuasan mitra (3 aspek)</w:t>
            </w:r>
          </w:p>
        </w:tc>
        <w:tc>
          <w:tcPr>
            <w:tcW w:type="dxa" w:w="2160"/>
          </w:tcPr>
          <w:p>
            <w:r/>
            <w:r>
              <w:rPr>
                <w:b w:val="0"/>
                <w:sz w:val="19"/>
              </w:rPr>
              <w:t>Manfaat, kinerja tridharma, reputasi, daya saing, RGA</w:t>
            </w:r>
          </w:p>
        </w:tc>
        <w:tc>
          <w:tcPr>
            <w:tcW w:type="dxa" w:w="2160"/>
          </w:tcPr>
          <w:p>
            <w:r/>
            <w:r>
              <w:rPr>
                <w:b w:val="0"/>
                <w:sz w:val="19"/>
              </w:rPr>
              <w:t>R1 (2.3.1 rubrik 3 aspek), R2 (butir 7 rubrik identik)</w:t>
            </w:r>
          </w:p>
        </w:tc>
        <w:tc>
          <w:tcPr>
            <w:tcW w:type="dxa" w:w="2160"/>
          </w:tcPr>
          <w:p>
            <w:r/>
            <w:r>
              <w:rPr>
                <w:b w:val="0"/>
                <w:sz w:val="19"/>
              </w:rPr>
              <w:t>Identik dengan R1/R2</w:t>
            </w:r>
          </w:p>
        </w:tc>
      </w:tr>
      <w:tr>
        <w:tc>
          <w:tcPr>
            <w:tcW w:type="dxa" w:w="2160"/>
          </w:tcPr>
          <w:p>
            <w:r/>
            <w:r>
              <w:rPr>
                <w:b w:val="0"/>
                <w:sz w:val="19"/>
              </w:rPr>
              <w:t>Legalitas kerja sama (MoU/MoA/IA)</w:t>
            </w:r>
          </w:p>
        </w:tc>
        <w:tc>
          <w:tcPr>
            <w:tcW w:type="dxa" w:w="2160"/>
          </w:tcPr>
          <w:p>
            <w:r/>
            <w:r>
              <w:rPr>
                <w:b w:val="0"/>
                <w:sz w:val="19"/>
              </w:rPr>
              <w:t>Wajib dokumen MoU, MoA, IA</w:t>
            </w:r>
          </w:p>
        </w:tc>
        <w:tc>
          <w:tcPr>
            <w:tcW w:type="dxa" w:w="2160"/>
          </w:tcPr>
          <w:p>
            <w:r/>
            <w:r>
              <w:rPr>
                <w:b w:val="0"/>
                <w:sz w:val="19"/>
              </w:rPr>
              <w:t>R4 (Dok. Pendukung 3), R5 (Isi Std. 5, MoU→LoI)</w:t>
            </w:r>
          </w:p>
        </w:tc>
        <w:tc>
          <w:tcPr>
            <w:tcW w:type="dxa" w:w="2160"/>
          </w:tcPr>
          <w:p>
            <w:r/>
            <w:r>
              <w:rPr>
                <w:b w:val="0"/>
                <w:sz w:val="19"/>
              </w:rPr>
              <w:t>Selaras penuh dengan R4/R5</w:t>
            </w:r>
          </w:p>
        </w:tc>
      </w:tr>
      <w:tr>
        <w:tc>
          <w:tcPr>
            <w:tcW w:type="dxa" w:w="2160"/>
          </w:tcPr>
          <w:p>
            <w:r/>
            <w:r>
              <w:rPr>
                <w:b w:val="0"/>
                <w:sz w:val="19"/>
              </w:rPr>
              <w:t>Monitoring, evaluasi, tindak lanjut</w:t>
            </w:r>
          </w:p>
        </w:tc>
        <w:tc>
          <w:tcPr>
            <w:tcW w:type="dxa" w:w="2160"/>
          </w:tcPr>
          <w:p>
            <w:r/>
            <w:r>
              <w:rPr>
                <w:b w:val="0"/>
                <w:sz w:val="19"/>
              </w:rPr>
              <w:t>Monev berkala + dokumen tindak lanjut</w:t>
            </w:r>
          </w:p>
        </w:tc>
        <w:tc>
          <w:tcPr>
            <w:tcW w:type="dxa" w:w="2160"/>
          </w:tcPr>
          <w:p>
            <w:r/>
            <w:r>
              <w:rPr>
                <w:b w:val="0"/>
                <w:sz w:val="19"/>
              </w:rPr>
              <w:t>R4 (IKU 13-14, Mekanisme Eval.), R5 (Isi Std. 21,23)</w:t>
            </w:r>
          </w:p>
        </w:tc>
        <w:tc>
          <w:tcPr>
            <w:tcW w:type="dxa" w:w="2160"/>
          </w:tcPr>
          <w:p>
            <w:r/>
            <w:r>
              <w:rPr>
                <w:b w:val="0"/>
                <w:sz w:val="19"/>
              </w:rPr>
              <w:t>Selaras penuh</w:t>
            </w:r>
          </w:p>
        </w:tc>
      </w:tr>
      <w:tr>
        <w:tc>
          <w:tcPr>
            <w:tcW w:type="dxa" w:w="2160"/>
          </w:tcPr>
          <w:p>
            <w:r/>
            <w:r>
              <w:rPr>
                <w:b w:val="0"/>
                <w:sz w:val="19"/>
              </w:rPr>
              <w:t>Sistem informasi/database kerja sama</w:t>
            </w:r>
          </w:p>
        </w:tc>
        <w:tc>
          <w:tcPr>
            <w:tcW w:type="dxa" w:w="2160"/>
          </w:tcPr>
          <w:p>
            <w:r/>
            <w:r>
              <w:rPr>
                <w:b w:val="0"/>
                <w:sz w:val="19"/>
              </w:rPr>
              <w:t>Tidak ada pernyataan standar eksplisit</w:t>
            </w:r>
          </w:p>
        </w:tc>
        <w:tc>
          <w:tcPr>
            <w:tcW w:type="dxa" w:w="2160"/>
          </w:tcPr>
          <w:p>
            <w:r/>
            <w:r>
              <w:rPr>
                <w:b w:val="0"/>
                <w:sz w:val="19"/>
              </w:rPr>
              <w:t>R5 (Isi Std. 19-20, update ≤2 minggu)</w:t>
            </w:r>
          </w:p>
        </w:tc>
        <w:tc>
          <w:tcPr>
            <w:tcW w:type="dxa" w:w="2160"/>
          </w:tcPr>
          <w:p>
            <w:r/>
            <w:r>
              <w:rPr>
                <w:b w:val="0"/>
                <w:sz w:val="19"/>
              </w:rPr>
              <w:t>GAP — tidak ada padanan eksplisit di FTII</w:t>
            </w:r>
          </w:p>
        </w:tc>
      </w:tr>
      <w:tr>
        <w:tc>
          <w:tcPr>
            <w:tcW w:type="dxa" w:w="2160"/>
          </w:tcPr>
          <w:p>
            <w:r/>
            <w:r>
              <w:rPr>
                <w:b w:val="0"/>
                <w:sz w:val="19"/>
              </w:rPr>
              <w:t>Pendanaan kerja sama</w:t>
            </w:r>
          </w:p>
        </w:tc>
        <w:tc>
          <w:tcPr>
            <w:tcW w:type="dxa" w:w="2160"/>
          </w:tcPr>
          <w:p>
            <w:r/>
            <w:r>
              <w:rPr>
                <w:b w:val="0"/>
                <w:sz w:val="19"/>
              </w:rPr>
              <w:t>Tidak ada pernyataan standar eksplisit (hanya disinggung via RGA)</w:t>
            </w:r>
          </w:p>
        </w:tc>
        <w:tc>
          <w:tcPr>
            <w:tcW w:type="dxa" w:w="2160"/>
          </w:tcPr>
          <w:p>
            <w:r/>
            <w:r>
              <w:rPr>
                <w:b w:val="0"/>
                <w:sz w:val="19"/>
              </w:rPr>
              <w:t>R5 (Isi Std. 6, dana awal tahun anggaran)</w:t>
            </w:r>
          </w:p>
        </w:tc>
        <w:tc>
          <w:tcPr>
            <w:tcW w:type="dxa" w:w="2160"/>
          </w:tcPr>
          <w:p>
            <w:r/>
            <w:r>
              <w:rPr>
                <w:b w:val="0"/>
                <w:sz w:val="19"/>
              </w:rPr>
              <w:t>GAP SEBAGIAN — belum eksplisit</w:t>
            </w:r>
          </w:p>
        </w:tc>
      </w:tr>
      <w:tr>
        <w:tc>
          <w:tcPr>
            <w:tcW w:type="dxa" w:w="2160"/>
          </w:tcPr>
          <w:p>
            <w:r/>
            <w:r>
              <w:rPr>
                <w:b w:val="0"/>
                <w:sz w:val="19"/>
              </w:rPr>
              <w:t>Peningkatan mutu berkelanjutan</w:t>
            </w:r>
          </w:p>
        </w:tc>
        <w:tc>
          <w:tcPr>
            <w:tcW w:type="dxa" w:w="2160"/>
          </w:tcPr>
          <w:p>
            <w:r/>
            <w:r>
              <w:rPr>
                <w:b w:val="0"/>
                <w:sz w:val="19"/>
              </w:rPr>
              <w:t>Perluasan jejaring, penguatan kelembagaan, inovasi program</w:t>
            </w:r>
          </w:p>
        </w:tc>
        <w:tc>
          <w:tcPr>
            <w:tcW w:type="dxa" w:w="2160"/>
          </w:tcPr>
          <w:p>
            <w:r/>
            <w:r>
              <w:rPr>
                <w:b w:val="0"/>
                <w:sz w:val="19"/>
              </w:rPr>
              <w:t>R4 (Strategi 5-6), R5 (Strategi 5)</w:t>
            </w:r>
          </w:p>
        </w:tc>
        <w:tc>
          <w:tcPr>
            <w:tcW w:type="dxa" w:w="2160"/>
          </w:tcPr>
          <w:p>
            <w:r/>
            <w:r>
              <w:rPr>
                <w:b w:val="0"/>
                <w:sz w:val="19"/>
              </w:rPr>
              <w:t>Selaras penuh</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