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LAPORAN ANALISA AEE PROGRAM SARJANA ANGKATAN 2021</w:t>
      </w:r>
    </w:p>
    <w:p>
      <w:pPr>
        <w:jc w:val="center"/>
      </w:pPr>
      <w:r>
        <w:rPr>
          <w:i/>
          <w:sz w:val="20"/>
        </w:rPr>
        <w:t>Berdasarkan file IKU1_AEE_Sajana_Data_Mahasiswa_Angkt2021.pdf</w:t>
      </w:r>
    </w:p>
    <w:p/>
    <w:p>
      <w:pPr>
        <w:pStyle w:val="Heading1"/>
      </w:pPr>
      <w:r>
        <w:t>1. Tujuan Analisis</w:t>
      </w:r>
    </w:p>
    <w:p>
      <w:r>
        <w:t>Analisis ini bertujuan menilai tingkat keberhasilan mahasiswa dalam menyelesaikan studi tepat waktu sesuai masa studi standar, dibandingkan dengan total mahasiswa yang masuk pada periode tertentu. Indikator yang digunakan adalah Angka Efisiensi Edukasi (AEE).</w:t>
      </w:r>
    </w:p>
    <w:p>
      <w:pPr>
        <w:pStyle w:val="Heading1"/>
      </w:pPr>
      <w:r>
        <w:t>2. Definisi dan Formula</w:t>
      </w:r>
    </w:p>
    <w:p>
      <w:r>
        <w:t>AEE realisasi dihitung dengan formula:</w:t>
      </w:r>
    </w:p>
    <w:p>
      <w:r>
        <w:t>AEE Realisasi = (Jumlah mahasiswa yang lulus sesuai masa tempuh kurikulum / Total mahasiswa tahun akademik tersebut) x 100%</w:t>
      </w:r>
    </w:p>
    <w:p>
      <w:r>
        <w:t>Tingkat pencapaian AEE dihitung dengan formula:</w:t>
      </w:r>
    </w:p>
    <w:p>
      <w:r>
        <w:t>Tingkat Pencapaian AEE = (AEE Realisasi / AEE Ideal) x 100%</w:t>
      </w:r>
    </w:p>
    <w:p>
      <w:r>
        <w:t>Untuk program Sarjana/S1, AEE ideal yang digunakan dalam dokumen adalah 25%.</w:t>
      </w:r>
    </w:p>
    <w:p>
      <w:pPr>
        <w:pStyle w:val="Heading1"/>
      </w:pPr>
      <w:r>
        <w:t>3. Data Dasar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Komponen</w:t>
            </w:r>
          </w:p>
        </w:tc>
        <w:tc>
          <w:tcPr>
            <w:tcW w:type="dxa" w:w="4968"/>
            <w:vAlign w:val="center"/>
            <w:shd w:fill="D9EAF7"/>
          </w:tcPr>
          <w:p>
            <w:pPr>
              <w:spacing w:after="0"/>
            </w:pPr>
            <w:r/>
            <w:r>
              <w:rPr>
                <w:b/>
              </w:rPr>
              <w:t>Nilai</w:t>
            </w:r>
          </w:p>
        </w:tc>
      </w:tr>
      <w:tr>
        <w:tc>
          <w:tcPr>
            <w:tcW w:type="dxa" w:w="4968"/>
            <w:vAlign w:val="center"/>
          </w:tcPr>
          <w:p>
            <w:pPr>
              <w:spacing w:after="0"/>
            </w:pPr>
            <w:r/>
            <w:r>
              <w:rPr>
                <w:b w:val="0"/>
              </w:rPr>
              <w:t>Program pendidikan</w:t>
            </w:r>
          </w:p>
        </w:tc>
        <w:tc>
          <w:tcPr>
            <w:tcW w:type="dxa" w:w="4968"/>
            <w:vAlign w:val="center"/>
          </w:tcPr>
          <w:p>
            <w:pPr>
              <w:spacing w:after="0"/>
            </w:pPr>
            <w:r/>
            <w:r>
              <w:rPr>
                <w:b w:val="0"/>
              </w:rPr>
              <w:t>Sarjana/S1</w:t>
            </w:r>
          </w:p>
        </w:tc>
      </w:tr>
      <w:tr>
        <w:tc>
          <w:tcPr>
            <w:tcW w:type="dxa" w:w="4968"/>
            <w:vAlign w:val="center"/>
          </w:tcPr>
          <w:p>
            <w:pPr>
              <w:spacing w:after="0"/>
            </w:pPr>
            <w:r/>
            <w:r>
              <w:rPr>
                <w:b w:val="0"/>
              </w:rPr>
              <w:t>Tahun masuk</w:t>
            </w:r>
          </w:p>
        </w:tc>
        <w:tc>
          <w:tcPr>
            <w:tcW w:type="dxa" w:w="4968"/>
            <w:vAlign w:val="center"/>
          </w:tcPr>
          <w:p>
            <w:pPr>
              <w:spacing w:after="0"/>
            </w:pPr>
            <w:r/>
            <w:r>
              <w:rPr>
                <w:b w:val="0"/>
              </w:rPr>
              <w:t>2021</w:t>
            </w:r>
          </w:p>
        </w:tc>
      </w:tr>
      <w:tr>
        <w:tc>
          <w:tcPr>
            <w:tcW w:type="dxa" w:w="4968"/>
            <w:vAlign w:val="center"/>
          </w:tcPr>
          <w:p>
            <w:pPr>
              <w:spacing w:after="0"/>
            </w:pPr>
            <w:r/>
            <w:r>
              <w:rPr>
                <w:b w:val="0"/>
              </w:rPr>
              <w:t>Jumlah mahasiswa lulus sesuai masa tempuh kurikulum</w:t>
            </w:r>
          </w:p>
        </w:tc>
        <w:tc>
          <w:tcPr>
            <w:tcW w:type="dxa" w:w="4968"/>
            <w:vAlign w:val="center"/>
          </w:tcPr>
          <w:p>
            <w:pPr>
              <w:spacing w:after="0"/>
            </w:pPr>
            <w:r/>
            <w:r>
              <w:rPr>
                <w:b w:val="0"/>
              </w:rPr>
              <w:t>188</w:t>
            </w:r>
          </w:p>
        </w:tc>
      </w:tr>
      <w:tr>
        <w:tc>
          <w:tcPr>
            <w:tcW w:type="dxa" w:w="4968"/>
            <w:vAlign w:val="center"/>
          </w:tcPr>
          <w:p>
            <w:pPr>
              <w:spacing w:after="0"/>
            </w:pPr>
            <w:r/>
            <w:r>
              <w:rPr>
                <w:b w:val="0"/>
              </w:rPr>
              <w:t>Total mahasiswa tahun akademik tersebut</w:t>
            </w:r>
          </w:p>
        </w:tc>
        <w:tc>
          <w:tcPr>
            <w:tcW w:type="dxa" w:w="4968"/>
            <w:vAlign w:val="center"/>
          </w:tcPr>
          <w:p>
            <w:pPr>
              <w:spacing w:after="0"/>
            </w:pPr>
            <w:r/>
            <w:r>
              <w:rPr>
                <w:b w:val="0"/>
              </w:rPr>
              <w:t>834</w:t>
            </w:r>
          </w:p>
        </w:tc>
      </w:tr>
      <w:tr>
        <w:tc>
          <w:tcPr>
            <w:tcW w:type="dxa" w:w="4968"/>
            <w:vAlign w:val="center"/>
          </w:tcPr>
          <w:p>
            <w:pPr>
              <w:spacing w:after="0"/>
            </w:pPr>
            <w:r/>
            <w:r>
              <w:rPr>
                <w:b w:val="0"/>
              </w:rPr>
              <w:t>AEE Ideal S1</w:t>
            </w:r>
          </w:p>
        </w:tc>
        <w:tc>
          <w:tcPr>
            <w:tcW w:type="dxa" w:w="4968"/>
            <w:vAlign w:val="center"/>
          </w:tcPr>
          <w:p>
            <w:pPr>
              <w:spacing w:after="0"/>
            </w:pPr>
            <w:r/>
            <w:r>
              <w:rPr>
                <w:b w:val="0"/>
              </w:rPr>
              <w:t>25%</w:t>
            </w:r>
          </w:p>
        </w:tc>
      </w:tr>
    </w:tbl>
    <w:p>
      <w:pPr>
        <w:pStyle w:val="Heading1"/>
      </w:pPr>
      <w:r>
        <w:t>4. Hasil Perhitungan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Indikator</w:t>
            </w:r>
          </w:p>
        </w:tc>
        <w:tc>
          <w:tcPr>
            <w:tcW w:type="dxa" w:w="3312"/>
            <w:vAlign w:val="center"/>
            <w:shd w:fill="D9EAF7"/>
          </w:tcPr>
          <w:p>
            <w:pPr>
              <w:spacing w:after="0"/>
            </w:pPr>
            <w:r/>
            <w:r>
              <w:rPr>
                <w:b/>
              </w:rPr>
              <w:t>Perhitungan</w:t>
            </w:r>
          </w:p>
        </w:tc>
        <w:tc>
          <w:tcPr>
            <w:tcW w:type="dxa" w:w="3312"/>
            <w:vAlign w:val="center"/>
            <w:shd w:fill="D9EAF7"/>
          </w:tcPr>
          <w:p>
            <w:pPr>
              <w:spacing w:after="0"/>
            </w:pPr>
            <w:r/>
            <w:r>
              <w:rPr>
                <w:b/>
              </w:rPr>
              <w:t>Hasil</w:t>
            </w:r>
          </w:p>
        </w:tc>
      </w:tr>
      <w:tr>
        <w:tc>
          <w:tcPr>
            <w:tcW w:type="dxa" w:w="3312"/>
            <w:vAlign w:val="center"/>
          </w:tcPr>
          <w:p>
            <w:pPr>
              <w:spacing w:after="0"/>
            </w:pPr>
            <w:r/>
            <w:r>
              <w:rPr>
                <w:b w:val="0"/>
              </w:rPr>
              <w:t>AEE Realisasi</w:t>
            </w:r>
          </w:p>
        </w:tc>
        <w:tc>
          <w:tcPr>
            <w:tcW w:type="dxa" w:w="3312"/>
            <w:vAlign w:val="center"/>
          </w:tcPr>
          <w:p>
            <w:pPr>
              <w:spacing w:after="0"/>
            </w:pPr>
            <w:r/>
            <w:r>
              <w:rPr>
                <w:b w:val="0"/>
              </w:rPr>
              <w:t>188 / 834 x 100%</w:t>
            </w:r>
          </w:p>
        </w:tc>
        <w:tc>
          <w:tcPr>
            <w:tcW w:type="dxa" w:w="3312"/>
            <w:vAlign w:val="center"/>
          </w:tcPr>
          <w:p>
            <w:pPr>
              <w:spacing w:after="0"/>
            </w:pPr>
            <w:r/>
            <w:r>
              <w:rPr>
                <w:b w:val="0"/>
              </w:rPr>
              <w:t>22,54%</w:t>
            </w:r>
          </w:p>
        </w:tc>
      </w:tr>
      <w:tr>
        <w:tc>
          <w:tcPr>
            <w:tcW w:type="dxa" w:w="3312"/>
            <w:vAlign w:val="center"/>
          </w:tcPr>
          <w:p>
            <w:pPr>
              <w:spacing w:after="0"/>
            </w:pPr>
            <w:r/>
            <w:r>
              <w:rPr>
                <w:b w:val="0"/>
              </w:rPr>
              <w:t>Tingkat Pencapaian AEE S1</w:t>
            </w:r>
          </w:p>
        </w:tc>
        <w:tc>
          <w:tcPr>
            <w:tcW w:type="dxa" w:w="3312"/>
            <w:vAlign w:val="center"/>
          </w:tcPr>
          <w:p>
            <w:pPr>
              <w:spacing w:after="0"/>
            </w:pPr>
            <w:r/>
            <w:r>
              <w:rPr>
                <w:b w:val="0"/>
              </w:rPr>
              <w:t>22,54% / 25% x 100%</w:t>
            </w:r>
          </w:p>
        </w:tc>
        <w:tc>
          <w:tcPr>
            <w:tcW w:type="dxa" w:w="3312"/>
            <w:vAlign w:val="center"/>
          </w:tcPr>
          <w:p>
            <w:pPr>
              <w:spacing w:after="0"/>
            </w:pPr>
            <w:r/>
            <w:r>
              <w:rPr>
                <w:b w:val="0"/>
              </w:rPr>
              <w:t>90,17%</w:t>
            </w:r>
          </w:p>
        </w:tc>
      </w:tr>
      <w:tr>
        <w:tc>
          <w:tcPr>
            <w:tcW w:type="dxa" w:w="3312"/>
            <w:vAlign w:val="center"/>
          </w:tcPr>
          <w:p>
            <w:pPr>
              <w:spacing w:after="0"/>
            </w:pPr>
            <w:r/>
            <w:r>
              <w:rPr>
                <w:b w:val="0"/>
              </w:rPr>
              <w:t>AEE Perguruan Tinggi</w:t>
            </w:r>
          </w:p>
        </w:tc>
        <w:tc>
          <w:tcPr>
            <w:tcW w:type="dxa" w:w="3312"/>
            <w:vAlign w:val="center"/>
          </w:tcPr>
          <w:p>
            <w:pPr>
              <w:spacing w:after="0"/>
            </w:pPr>
            <w:r/>
            <w:r>
              <w:rPr>
                <w:b w:val="0"/>
              </w:rPr>
              <w:t>90,17% / 1 program pendidikan</w:t>
            </w:r>
          </w:p>
        </w:tc>
        <w:tc>
          <w:tcPr>
            <w:tcW w:type="dxa" w:w="3312"/>
            <w:vAlign w:val="center"/>
          </w:tcPr>
          <w:p>
            <w:pPr>
              <w:spacing w:after="0"/>
            </w:pPr>
            <w:r/>
            <w:r>
              <w:rPr>
                <w:b w:val="0"/>
              </w:rPr>
              <w:t>90,17%</w:t>
            </w:r>
          </w:p>
        </w:tc>
      </w:tr>
    </w:tbl>
    <w:p>
      <w:pPr>
        <w:pStyle w:val="Heading1"/>
      </w:pPr>
      <w:r>
        <w:t>5. Analisis</w:t>
      </w:r>
    </w:p>
    <w:p>
      <w:r>
        <w:t>Dari total 834 mahasiswa Sarjana angkatan 2021, terdapat 188 mahasiswa yang lulus sesuai masa tempuh kurikulum. Dengan demikian, AEE realisasi program Sarjana adalah 22,54%. Nilai ini menunjukkan proporsi mahasiswa yang berhasil menyelesaikan studi tepat waktu terhadap keseluruhan mahasiswa yang masuk pada angkatan tersebut.</w:t>
      </w:r>
    </w:p>
    <w:p>
      <w:r>
        <w:t>Jika dibandingkan dengan AEE ideal S1 sebesar 25%, tingkat pencapaian AEE program Sarjana mencapai 90,17%. Artinya, realisasi kelulusan tepat waktu sudah mendekati standar ideal yang digunakan dalam indikator AEE, meskipun masih terdapat selisih sekitar 2,46 poin persentase dari target ideal 25%.</w:t>
      </w:r>
    </w:p>
    <w:p>
      <w:r>
        <w:t>Karena file yang dianalisis hanya memuat satu program pendidikan, yaitu Sarjana/S1, maka nilai AEE Perguruan Tinggi dihitung sebagai rata-rata dari satu tingkat pencapaian program tersebut. Dengan demikian, AEE Perguruan Tinggi dalam dokumen ini sama dengan capaian AEE S1, yaitu 90,17%.</w:t>
      </w:r>
    </w:p>
    <w:p>
      <w:pPr>
        <w:pStyle w:val="Heading1"/>
      </w:pPr>
      <w:r>
        <w:t>6. Kesimpulan</w:t>
      </w:r>
    </w:p>
    <w:p>
      <w:pPr>
        <w:ind w:left="360"/>
      </w:pPr>
      <w:r>
        <w:t>- AEE realisasi program Sarjana angkatan 2021 adalah 22,54%.</w:t>
      </w:r>
    </w:p>
    <w:p>
      <w:pPr>
        <w:ind w:left="360"/>
      </w:pPr>
      <w:r>
        <w:t>- Tingkat pencapaian AEE terhadap standar ideal S1 adalah 90,17%.</w:t>
      </w:r>
    </w:p>
    <w:p>
      <w:pPr>
        <w:ind w:left="360"/>
      </w:pPr>
      <w:r>
        <w:t>- AEE Perguruan Tinggi berdasarkan program pendidikan yang tersedia dalam file adalah 90,17%.</w:t>
      </w:r>
    </w:p>
    <w:p>
      <w:pPr>
        <w:ind w:left="360"/>
      </w:pPr>
      <w:r>
        <w:t>- Capaian ini menunjukkan bahwa efisiensi penyelesaian studi tepat waktu pada program Sarjana sudah cukup tinggi, tetapi masih belum mencapai nilai ideal 25% secara penuh.</w:t>
      </w:r>
    </w:p>
    <w:p>
      <w:pPr>
        <w:pStyle w:val="Heading1"/>
      </w:pPr>
      <w:r>
        <w:t>7. Catatan</w:t>
      </w:r>
    </w:p>
    <w:p>
      <w:r>
        <w:t>Analisis ini hanya menggunakan data yang tersedia dalam file IKU1_AEE_Sajana_Data_Mahasiswa_Angkt2021.pdf. Jika terdapat data program pendidikan lain pada dokumen terpisah, nilai AEE Perguruan Tinggi perlu dihitung ulang sebagai rata-rata tingkat pencapaian AEE dari seluruh program pendidikan yang dihitung.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