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UNIVERSITAS STIKUBANK (UNISBANK) SEMARANG</w:t>
      </w:r>
    </w:p>
    <w:p>
      <w:pPr>
        <w:jc w:val="center"/>
      </w:pPr>
      <w:r>
        <w:rPr>
          <w:b/>
          <w:sz w:val="24"/>
        </w:rPr>
        <w:t>FAKULTAS TEKNOLOGI INFORMASI DAN INDUSTRI (FTII)</w:t>
      </w:r>
    </w:p>
    <w:p>
      <w:pPr>
        <w:jc w:val="center"/>
      </w:pPr>
      <w:r>
        <w:rPr>
          <w:b/>
          <w:sz w:val="28"/>
        </w:rPr>
        <w:t>PEMETAAN LENGKAP STANDAR FTII UNISBANK</w:t>
      </w:r>
    </w:p>
    <w:p>
      <w:pPr>
        <w:jc w:val="center"/>
      </w:pPr>
      <w:r>
        <w:rPr>
          <w:b/>
          <w:sz w:val="26"/>
        </w:rPr>
        <w:t>TERHADAP 6 (ENAM) KRITERIA LED LAM INFOKOM 2.1 (C.1-C.6)</w:t>
      </w:r>
    </w:p>
    <w:p>
      <w:pPr>
        <w:jc w:val="center"/>
      </w:pPr>
      <w:r>
        <w:rPr>
          <w:b w:val="0"/>
          <w:sz w:val="21"/>
        </w:rPr>
        <w:t>Instrumen APS untuk Perolehan dan Perpanjangan Status Terakreditasi Unggul S1-LED</w:t>
      </w:r>
    </w:p>
    <w:p/>
    <w:p>
      <w:r>
        <w:rPr>
          <w:b/>
          <w:sz w:val="24"/>
        </w:rPr>
        <w:t>1. TUJUAN DAN RUANG LINGKUP</w:t>
      </w:r>
    </w:p>
    <w:p>
      <w:pPr>
        <w:spacing w:after="120"/>
      </w:pPr>
      <w:r>
        <w:rPr>
          <w:sz w:val="21"/>
        </w:rPr>
        <w:t>Dokumen ini mengkonsolidasikan seluruh pemetaan kepatuhan Standar FTII UNISBANK versi Unggul terhadap keenam Kriteria Laporan Evaluasi Diri (LED) LAM INFOKOM 2.1 (C.1 Budaya Mutu, C.2 Relevansi Pendidikan, C.3 Relevansi Penelitian, C.4 Relevansi Pengabdian kepada Masyarakat, C.5 Akuntabilitas, C.6 Diferensiasi Misi), berdasarkan 8 dokumen pemetaan detail yang telah disusun pada sesi ini (masing-masing memuat perbandingan ganda terhadap LAM Teknik dan LAM INFOKOM sekaligus).</w:t>
      </w:r>
    </w:p>
    <w:p>
      <w:pPr>
        <w:spacing w:after="120"/>
      </w:pPr>
      <w:r>
        <w:rPr>
          <w:sz w:val="21"/>
        </w:rPr>
        <w:t>Dokumen pemetaan detail yang dirujuk untuk setiap kriteria:</w:t>
      </w:r>
    </w:p>
    <w:p>
      <w:pPr>
        <w:pStyle w:val="ListNumber"/>
        <w:spacing w:after="120"/>
      </w:pPr>
      <w:r>
        <w:rPr>
          <w:sz w:val="21"/>
        </w:rPr>
        <w:t>C.1 Budaya Mutu → Pemetaan_TataKelola_SPMI_FTII_vs_C7_LAMTeknik_C1_LAMINFOKOM_BudayaMutu.docx.</w:t>
      </w:r>
    </w:p>
    <w:p>
      <w:pPr>
        <w:pStyle w:val="ListNumber"/>
        <w:spacing w:after="120"/>
      </w:pPr>
      <w:r>
        <w:rPr>
          <w:sz w:val="21"/>
        </w:rPr>
        <w:t>C.2 Relevansi Pendidikan → Pemetaan_MasukanProsesLuaranPendidikan_FTII_vs_C3_LAMTeknik_C2_LAMINFOKOM_RelevansiPendidikan.docx; kontribusi unsur mahasiswa juga dari Pemetaan_LuaranPendidikanPenelitianPkM_Kemahasiswaan_FTII_vs_C6_LAMTeknik_C2C3C4_LAMINFOKOM_MahasiswaLuaran.docx.</w:t>
      </w:r>
    </w:p>
    <w:p>
      <w:pPr>
        <w:pStyle w:val="ListNumber"/>
        <w:spacing w:after="120"/>
      </w:pPr>
      <w:r>
        <w:rPr>
          <w:sz w:val="21"/>
        </w:rPr>
        <w:t>C.3 Relevansi Penelitian → Pemetaan_MasukanProsesLuaranPenelitian_FTII_vs_C3_LAMTeknik_C3_LAMINFOKOM_RelevansiPenelitian.docx; kontribusi unsur mahasiswa juga dari dokumen Mahasiswa-Luaran di atas.</w:t>
      </w:r>
    </w:p>
    <w:p>
      <w:pPr>
        <w:pStyle w:val="ListNumber"/>
        <w:spacing w:after="120"/>
      </w:pPr>
      <w:r>
        <w:rPr>
          <w:sz w:val="21"/>
        </w:rPr>
        <w:t>C.4 Relevansi Pengabdian kepada Masyarakat → Pemetaan_MasukanProsesLuaranPkM_FTII_vs_C3_LAMTeknik_C4_LAMINFOKOM_RelevansiPkM.docx; kontribusi unsur mahasiswa juga dari dokumen Mahasiswa-Luaran di atas.</w:t>
      </w:r>
    </w:p>
    <w:p>
      <w:pPr>
        <w:pStyle w:val="ListNumber"/>
        <w:spacing w:after="120"/>
      </w:pPr>
      <w:r>
        <w:rPr>
          <w:sz w:val="21"/>
        </w:rPr>
        <w:t>C.5 Akuntabilitas → Pemetaan_MasukanPendidikanPenelitianPkM_FTII_vs_C4_LAMTeknik_C5_LAMINFOKOM_SDM.docx (unsur SDM); Pemetaan_MasukanPendidikanPenelitianPkM_FTII_vs_C5_LAMTeknik_C5_LAMINFOKOM_SaranaPrasaranaK3L.docx (unsur sarana-prasarana); Standar_Tata_Kelola_Unggul_FTII.docx dibaca langsung untuk unsur tata kelola-tata pamong dan keuangan yang juga dibundel C.5 LAM INFOKOM.</w:t>
      </w:r>
    </w:p>
    <w:p>
      <w:pPr>
        <w:pStyle w:val="ListNumber"/>
        <w:spacing w:after="120"/>
      </w:pPr>
      <w:r>
        <w:rPr>
          <w:sz w:val="21"/>
        </w:rPr>
        <w:t>C.6 Diferensiasi Misi → Pemetaan_Standar_Visi_Misi_FTII_vs_C1_LAMTeknik_C6_LAMINFOKOM_DiferensiasiMisi.docx.</w:t>
      </w:r>
    </w:p>
    <w:p>
      <w:r>
        <w:rPr>
          <w:b/>
          <w:sz w:val="24"/>
        </w:rPr>
        <w:t>2. METODE KONSOLIDASI</w:t>
      </w:r>
    </w:p>
    <w:p>
      <w:pPr>
        <w:spacing w:after="120"/>
      </w:pPr>
      <w:r>
        <w:rPr>
          <w:sz w:val="21"/>
        </w:rPr>
        <w:t>Konsolidasi dilakukan dengan membaca ulang bagian temuan LAM INFOKOM pada kedelapan dokumen pemetaan detail (Generasi 2, mencerminkan versi TERKINI standar FTII pasca-revisi ke-2/restrukturisasi sub-standar). Dua gap minor yang teridentifikasi pada dokumen pemetaan C.3 Relevansi Penelitian dan C.4 Relevansi PkM ("keberlanjutan penelitian" dan "keberlanjutan PkM") telah DIVERIFIKASI ULANG langsung terhadap file standarprosespenelitianunggul.docx dan standarprosespkmunggul.docx versi terkini, dan DIKONFIRMASI SUDAH TERTUTUP (Indikator *10 dan *4 sudah ditambahkan pada sesi ini, setelah dokumen pemetaan terkait dibuat). Untuk C.5 Akuntabilitas, ditemukan bahwa kriteria ini membundel tata kelola-tata pamong, sarana-prasarana, DAN SDM sebagai satu kesatuan institusional (bukan kriteria SDM murni) — cakupan tata kelola/keuangan dikonfirmasi melalui isi Standar_Tata_Kelola_Unggul_FTII.docx yang sudah mencakup 6 aspek Good University Governance, 5 fungsi manajemen, audit eksternal keuangan tahunan, dan survei kepuasan pemangku kepentingan.</w:t>
      </w:r>
    </w:p>
    <w:p>
      <w:r>
        <w:rPr>
          <w:b/>
          <w:sz w:val="24"/>
        </w:rPr>
        <w:t>3. TABEL RINGKASAN 6 KRITERIA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Kriteria</w:t>
            </w:r>
          </w:p>
        </w:tc>
        <w:tc>
          <w:tcPr>
            <w:tcW w:type="dxa" w:w="2160"/>
          </w:tcPr>
          <w:p>
            <w:r>
              <w:rPr>
                <w:b/>
                <w:sz w:val="19"/>
              </w:rPr>
              <w:t>Standar FTII Terkait</w:t>
            </w:r>
          </w:p>
        </w:tc>
        <w:tc>
          <w:tcPr>
            <w:tcW w:type="dxa" w:w="2160"/>
          </w:tcPr>
          <w:p>
            <w:r>
              <w:rPr>
                <w:b/>
                <w:sz w:val="19"/>
              </w:rPr>
              <w:t>Status Kepatuhan</w:t>
            </w:r>
          </w:p>
        </w:tc>
        <w:tc>
          <w:tcPr>
            <w:tcW w:type="dxa" w:w="2160"/>
          </w:tcPr>
          <w:p>
            <w:r>
              <w:rPr>
                <w:b/>
                <w:sz w:val="19"/>
              </w:rPr>
              <w:t>Dokumen Pemetaan Detail Rujukan</w:t>
            </w:r>
          </w:p>
        </w:tc>
      </w:tr>
      <w:tr>
        <w:tc>
          <w:tcPr>
            <w:tcW w:type="dxa" w:w="2160"/>
          </w:tcPr>
          <w:p>
            <w:r/>
            <w:r>
              <w:rPr>
                <w:sz w:val="18"/>
              </w:rPr>
              <w:t>C.1 Budaya Mutu</w:t>
            </w:r>
          </w:p>
        </w:tc>
        <w:tc>
          <w:tcPr>
            <w:tcW w:type="dxa" w:w="2160"/>
          </w:tcPr>
          <w:p>
            <w:r/>
            <w:r>
              <w:rPr>
                <w:sz w:val="18"/>
              </w:rPr>
              <w:t>Standar Tata Kelola; Standar Penjaminan Mutu Internal</w:t>
            </w:r>
          </w:p>
        </w:tc>
        <w:tc>
          <w:tcPr>
            <w:tcW w:type="dxa" w:w="2160"/>
          </w:tcPr>
          <w:p>
            <w:r/>
            <w:r>
              <w:rPr>
                <w:sz w:val="18"/>
              </w:rPr>
              <w:t>SELARAS PENUH mayoritas. 2 gap redaksional (bukan struktural): diseminasi hasil pengukuran kinerja ke pemangku kepentingan; taksonomi 5 unsur GUG versi LAM INFOKOM belum dinamai eksplisit (substansi sudah ada).</w:t>
            </w:r>
          </w:p>
        </w:tc>
        <w:tc>
          <w:tcPr>
            <w:tcW w:type="dxa" w:w="2160"/>
          </w:tcPr>
          <w:p>
            <w:r/>
            <w:r>
              <w:rPr>
                <w:sz w:val="18"/>
              </w:rPr>
              <w:t>Pemetaan_TataKelola_SPMI_...C1_LAMINFOKOM_BudayaMutu.docx</w:t>
            </w:r>
          </w:p>
        </w:tc>
      </w:tr>
      <w:tr>
        <w:tc>
          <w:tcPr>
            <w:tcW w:type="dxa" w:w="2160"/>
          </w:tcPr>
          <w:p>
            <w:r/>
            <w:r>
              <w:rPr>
                <w:sz w:val="18"/>
              </w:rPr>
              <w:t>C.2 Relevansi Pendidikan</w:t>
            </w:r>
          </w:p>
        </w:tc>
        <w:tc>
          <w:tcPr>
            <w:tcW w:type="dxa" w:w="2160"/>
          </w:tcPr>
          <w:p>
            <w:r/>
            <w:r>
              <w:rPr>
                <w:sz w:val="18"/>
              </w:rPr>
              <w:t>Standar Masukan/Proses/Luaran Pendidikan; Standar Kemahasiswaan (unsur mahasiswa)</w:t>
            </w:r>
          </w:p>
        </w:tc>
        <w:tc>
          <w:tcPr>
            <w:tcW w:type="dxa" w:w="2160"/>
          </w:tcPr>
          <w:p>
            <w:r/>
            <w:r>
              <w:rPr>
                <w:sz w:val="18"/>
              </w:rPr>
              <w:t>SELARAS PENUH mayoritas. 2 gap: kualitas input mahasiswa/PMB (substansi ada di Standar Tata Kelola #28, di luar cakupan rumpun Pendidikan); basic science/matematika belum eksplisit sebagai elemen kurikulum berdiri sendiri.</w:t>
            </w:r>
          </w:p>
        </w:tc>
        <w:tc>
          <w:tcPr>
            <w:tcW w:type="dxa" w:w="2160"/>
          </w:tcPr>
          <w:p>
            <w:r/>
            <w:r>
              <w:rPr>
                <w:sz w:val="18"/>
              </w:rPr>
              <w:t>Pemetaan_MasukanProsesLuaranPendidikan_..._C2_LAMINFOKOM_RelevansiPendidikan.docx; Pemetaan_Luaran...MahasiswaLuaran.docx</w:t>
            </w:r>
          </w:p>
        </w:tc>
      </w:tr>
      <w:tr>
        <w:tc>
          <w:tcPr>
            <w:tcW w:type="dxa" w:w="2160"/>
          </w:tcPr>
          <w:p>
            <w:r/>
            <w:r>
              <w:rPr>
                <w:sz w:val="18"/>
              </w:rPr>
              <w:t>C.3 Relevansi Penelitian</w:t>
            </w:r>
          </w:p>
        </w:tc>
        <w:tc>
          <w:tcPr>
            <w:tcW w:type="dxa" w:w="2160"/>
          </w:tcPr>
          <w:p>
            <w:r/>
            <w:r>
              <w:rPr>
                <w:sz w:val="18"/>
              </w:rPr>
              <w:t>Standar Masukan/Proses/Luaran Penelitian</w:t>
            </w:r>
          </w:p>
        </w:tc>
        <w:tc>
          <w:tcPr>
            <w:tcW w:type="dxa" w:w="2160"/>
          </w:tcPr>
          <w:p>
            <w:r/>
            <w:r>
              <w:rPr>
                <w:sz w:val="18"/>
              </w:rPr>
              <w:t>SELARAS PENUH, TANPA gap terbuka. Gap minor "keberlanjutan penelitian" SUDAH TERTUTUP (Indikator *10, sub-standar Pelaksanaan Penelitian).</w:t>
            </w:r>
          </w:p>
        </w:tc>
        <w:tc>
          <w:tcPr>
            <w:tcW w:type="dxa" w:w="2160"/>
          </w:tcPr>
          <w:p>
            <w:r/>
            <w:r>
              <w:rPr>
                <w:sz w:val="18"/>
              </w:rPr>
              <w:t>Pemetaan_MasukanProsesLuaranPenelitian_..._C3_LAMINFOKOM_RelevansiPenelitian.docx</w:t>
            </w:r>
          </w:p>
        </w:tc>
      </w:tr>
      <w:tr>
        <w:tc>
          <w:tcPr>
            <w:tcW w:type="dxa" w:w="2160"/>
          </w:tcPr>
          <w:p>
            <w:r/>
            <w:r>
              <w:rPr>
                <w:sz w:val="18"/>
              </w:rPr>
              <w:t>C.4 Relevansi Pengabdian kepada Masyarakat</w:t>
            </w:r>
          </w:p>
        </w:tc>
        <w:tc>
          <w:tcPr>
            <w:tcW w:type="dxa" w:w="2160"/>
          </w:tcPr>
          <w:p>
            <w:r/>
            <w:r>
              <w:rPr>
                <w:sz w:val="18"/>
              </w:rPr>
              <w:t>Standar Masukan/Proses/Luaran PkM</w:t>
            </w:r>
          </w:p>
        </w:tc>
        <w:tc>
          <w:tcPr>
            <w:tcW w:type="dxa" w:w="2160"/>
          </w:tcPr>
          <w:p>
            <w:r/>
            <w:r>
              <w:rPr>
                <w:sz w:val="18"/>
              </w:rPr>
              <w:t>SELARAS PENUH, TANPA gap terbuka. Gap minor "keberlanjutan PkM" SUDAH TERTUTUP (Indikator *4, sub-standar Pelaksanaan PkM). Etika/K3 PkM MELAMPAUI sumber.</w:t>
            </w:r>
          </w:p>
        </w:tc>
        <w:tc>
          <w:tcPr>
            <w:tcW w:type="dxa" w:w="2160"/>
          </w:tcPr>
          <w:p>
            <w:r/>
            <w:r>
              <w:rPr>
                <w:sz w:val="18"/>
              </w:rPr>
              <w:t>Pemetaan_MasukanProsesLuaranPkM_..._C4_LAMINFOKOM_RelevansiPkM.docx</w:t>
            </w:r>
          </w:p>
        </w:tc>
      </w:tr>
      <w:tr>
        <w:tc>
          <w:tcPr>
            <w:tcW w:type="dxa" w:w="2160"/>
          </w:tcPr>
          <w:p>
            <w:r/>
            <w:r>
              <w:rPr>
                <w:sz w:val="18"/>
              </w:rPr>
              <w:t>C.5 Akuntabilitas</w:t>
            </w:r>
          </w:p>
        </w:tc>
        <w:tc>
          <w:tcPr>
            <w:tcW w:type="dxa" w:w="2160"/>
          </w:tcPr>
          <w:p>
            <w:r/>
            <w:r>
              <w:rPr>
                <w:sz w:val="18"/>
              </w:rPr>
              <w:t>Standar Tata Kelola (tata pamong, keuangan); Standar Masukan Pendidikan/Penelitian/PkM (SDM, sarana-prasarana)</w:t>
            </w:r>
          </w:p>
        </w:tc>
        <w:tc>
          <w:tcPr>
            <w:tcW w:type="dxa" w:w="2160"/>
          </w:tcPr>
          <w:p>
            <w:r/>
            <w:r>
              <w:rPr>
                <w:sz w:val="18"/>
              </w:rPr>
              <w:t>SELARAS PENUH mayoritas pada ketiga dimensi (tata kelola, SDM, sarana). Gap: sarana non-akademik kesehatan/konseling/karir (di luar cakupan dokumen Masukan); survei kepuasan sarana-prasarana spesifik belum ada; 1 gap jangka-panjang terkompensasi (GB+LK 40% vs ambang 70%); 1 gap lama kepemilikan lahan (sudah ditolak 2x, tidak direkomendasikan ulang).</w:t>
            </w:r>
          </w:p>
        </w:tc>
        <w:tc>
          <w:tcPr>
            <w:tcW w:type="dxa" w:w="2160"/>
          </w:tcPr>
          <w:p>
            <w:r/>
            <w:r>
              <w:rPr>
                <w:sz w:val="18"/>
              </w:rPr>
              <w:t>Pemetaan_...C5_LAMINFOKOM_SDM.docx; Pemetaan_...C5_LAMINFOKOM_SaranaPrasaranaK3L.docx; Standar_Tata_Kelola_Unggul_FTII.docx</w:t>
            </w:r>
          </w:p>
        </w:tc>
      </w:tr>
      <w:tr>
        <w:tc>
          <w:tcPr>
            <w:tcW w:type="dxa" w:w="2160"/>
          </w:tcPr>
          <w:p>
            <w:r/>
            <w:r>
              <w:rPr>
                <w:sz w:val="18"/>
              </w:rPr>
              <w:t>C.6 Diferensiasi Misi</w:t>
            </w:r>
          </w:p>
        </w:tc>
        <w:tc>
          <w:tcPr>
            <w:tcW w:type="dxa" w:w="2160"/>
          </w:tcPr>
          <w:p>
            <w:r/>
            <w:r>
              <w:rPr>
                <w:sz w:val="18"/>
              </w:rPr>
              <w:t>Standar Visi, Misi, Tujuan, dan Strategi (VMTS)</w:t>
            </w:r>
          </w:p>
        </w:tc>
        <w:tc>
          <w:tcPr>
            <w:tcW w:type="dxa" w:w="2160"/>
          </w:tcPr>
          <w:p>
            <w:r/>
            <w:r>
              <w:rPr>
                <w:sz w:val="18"/>
              </w:rPr>
              <w:t>SELARAS PENUH, TANPA gap. Revisi ke-2 VMTS (visi keilmuan prodi + root-cause/SWOT) terbukti otomatis menutup unsur setara C.6 LAM INFOKOM.</w:t>
            </w:r>
          </w:p>
        </w:tc>
        <w:tc>
          <w:tcPr>
            <w:tcW w:type="dxa" w:w="2160"/>
          </w:tcPr>
          <w:p>
            <w:r/>
            <w:r>
              <w:rPr>
                <w:sz w:val="18"/>
              </w:rPr>
              <w:t>Pemetaan_Standar_Visi_Misi_..._C6_LAMINFOKOM_DiferensiasiMisi.docx</w:t>
            </w:r>
          </w:p>
        </w:tc>
      </w:tr>
    </w:tbl>
    <w:p/>
    <w:p>
      <w:r>
        <w:rPr>
          <w:b/>
          <w:sz w:val="24"/>
        </w:rPr>
        <w:t>4. RINGKASAN TEMUAN PER KRITERIA</w:t>
      </w:r>
    </w:p>
    <w:p>
      <w:r>
        <w:rPr>
          <w:b/>
          <w:sz w:val="22"/>
        </w:rPr>
        <w:t>C.1 Budaya Mutu</w:t>
      </w:r>
    </w:p>
    <w:p>
      <w:pPr>
        <w:spacing w:after="120"/>
      </w:pPr>
      <w:r>
        <w:rPr>
          <w:sz w:val="21"/>
        </w:rPr>
        <w:t>Standar Penjaminan Mutu Internal FTII dan Standar Tata Kelola SECARA GABUNGAN SELARAS PENUH terhadap seluruh 5 sub-butir PPEPP C.1 LAM INFOKOM 2.1. Dua gap redaksional teridentifikasi: (1) diseminasi hasil pengukuran kinerja ke pemangku kepentingan belum menjadi kalimat eksplisit tersendiri (sosialisasi yang ada baru menyasar dokumen mutu/kebijakan); (2) taksonomi 5 unsur Good University Governance versi LAM INFOKOM (pengambil kebijakan, pelaksana akademik, penjaminan mutu, penunjang akademik, pelaksana administrasi) belum dinamai eksplisit meski substansinya sudah tercakup dalam struktur organisasi FTII. Tidak ada gap struktural.</w:t>
      </w:r>
    </w:p>
    <w:p>
      <w:r>
        <w:rPr>
          <w:b/>
          <w:sz w:val="22"/>
        </w:rPr>
        <w:t>C.2 Relevansi Pendidikan</w:t>
      </w:r>
    </w:p>
    <w:p>
      <w:pPr>
        <w:spacing w:after="120"/>
      </w:pPr>
      <w:r>
        <w:rPr>
          <w:sz w:val="21"/>
        </w:rPr>
        <w:t>Standar Masukan, Proses, dan Luaran Pendidikan SECARA GABUNGAN SELARAS PENUH terhadap seluruh 4 unsur (A-D) pada kelima sub-butir PPEPP C.2 LAM INFOKOM 2.1, termasuk unsur Dosen/DTPR, Sarana-Prasarana, Pembiayaan, dan Prestasi-Luaran Mahasiswa yang dibundel C.2. Dua gap nyata (bukan struktural): (1) kualitas input mahasiswa/PMB (metode rekrutmen, seleksi, afirmasi) tidak dibahas pada rumpun dokumen Pendidikan — substansinya sudah ada pada Standar Tata Kelola (Pernyataan #28), di luar cakupan dokumen ini; (2) basic science/matematika belum eksplisit sebagai elemen kurikulum berdiri sendiri, tersirat dalam struktur kurikulum umum. Unsur mahasiswa dalam C.2.D (prestasi/luaran) dikonfirmasi SELARAS PENUH melalui pemetaan Mahasiswa-Luaran.</w:t>
      </w:r>
    </w:p>
    <w:p>
      <w:r>
        <w:rPr>
          <w:b/>
          <w:sz w:val="22"/>
        </w:rPr>
        <w:t>C.3 Relevansi Penelitian</w:t>
      </w:r>
    </w:p>
    <w:p>
      <w:pPr>
        <w:spacing w:after="120"/>
      </w:pPr>
      <w:r>
        <w:rPr>
          <w:sz w:val="21"/>
        </w:rPr>
        <w:t>Standar Masukan, Proses, dan Luaran Penelitian SECARA GABUNGAN SELARAS PENUH — beberapa unsur MELAMPAUI — terhadap seluruh 3 unsur (A-C) pada kelima sub-butir PPEPP C.3 LAM INFOKOM 2.1. Satu gap minor "keberlanjutan penelitian" (unsur C.3.C) yang teridentifikasi pada pemetaan awal SUDAH DITUTUP pada sesi ini melalui penambahan Pernyataan Standar, Strategi Pencapaian, dan Indikator *10 (target 40%→60% topik penelitian berkelanjutan lintas tahun) pada sub-standar Pelaksanaan Penelitian. Verifikasi langsung terhadap standarprosespenelitianunggul.docx terkini mengonfirmasi penutupan gap ini. TIDAK ADA gap terbuka tersisa pada kriteria ini.</w:t>
      </w:r>
    </w:p>
    <w:p>
      <w:r>
        <w:rPr>
          <w:b/>
          <w:sz w:val="22"/>
        </w:rPr>
        <w:t>C.4 Relevansi Pengabdian kepada Masyarakat</w:t>
      </w:r>
    </w:p>
    <w:p>
      <w:pPr>
        <w:spacing w:after="120"/>
      </w:pPr>
      <w:r>
        <w:rPr>
          <w:sz w:val="21"/>
        </w:rPr>
        <w:t>Standar Masukan, Proses, dan Luaran PkM SECARA GABUNGAN SELARAS PENUH terhadap seluruh 3 unsur (A-C) pada kelima sub-butir PPEPP C.4 LAM INFOKOM 2.1. Unsur etika dan K3 PkM MELAMPAUI kedua instrumen sumber (tidak dibahas eksplisit pada C.3 LAM Teknik maupun C.4 LAM INFOKOM). Satu gap minor "keberlanjutan PkM" (unsur C.4.C) yang teridentifikasi pada pemetaan awal SUDAH DITUTUP pada sesi ini melalui penambahan Pernyataan Standar, Strategi Pencapaian, dan Indikator *4 (target 40%→60% tema/mitra PkM berkelanjutan lintas tahun) pada sub-standar Pelaksanaan PkM. Verifikasi langsung terhadap standarprosespkmunggul.docx terkini mengonfirmasi penutupan gap ini. TIDAK ADA gap terbuka tersisa pada kriteria ini.</w:t>
      </w:r>
    </w:p>
    <w:p>
      <w:r>
        <w:rPr>
          <w:b/>
          <w:sz w:val="22"/>
        </w:rPr>
        <w:t>C.5 Akuntabilitas</w:t>
      </w:r>
    </w:p>
    <w:p>
      <w:pPr>
        <w:spacing w:after="120"/>
      </w:pPr>
      <w:r>
        <w:rPr>
          <w:sz w:val="21"/>
        </w:rPr>
        <w:t>Berbeda dari LAM Teknik yang memisahkan SDM (C.4) dan Sarana-Prasarana (C.5) sebagai kriteria terpisah, C.5 LAM INFOKOM 2.1 MEMBUNDEL tata kelola-tata pamong, sarana-prasarana, DAN SDM menjadi satu kriteria akuntabilitas institusional (5 sub-butir PPEPP 5.1-5.5). Dimensi tata kelola-tata pamong dan keuangan tercakup SELARAS PENUH oleh Standar Tata Kelola FTII (6 aspek Good University Governance, 5 fungsi manajemen, Renstra-Renop, audit eksternal keuangan tahunan, survei kepuasan pemangku kepentingan). Dimensi SDM SELARAS PENUH terhadap unsur SDM C.5, dengan satu gap jangka-panjang yang sudah diakui dan dikompensasi secara eksplisit oleh Standar Masukan Pendidikan sendiri (target GB+LK 40% vs ambang skor sempurna LAM Teknik ≥70%, dikompensasi capaian Doktor/sertifikasi/publikasi). Dimensi sarana-prasarana SELARAS PENUH mayoritas dengan 2 gap sebagian: sarana non-akademik (kesehatan/konseling/karir, kemungkinan berada di Standar Kemahasiswaan, di luar cakupan dokumen Masukan) dan survei kepuasan sarana-prasarana spesifik (survei kepuasan FTII yang ada bersifat umum untuk tata pamong). Satu gap lama (kepemilikan lahan) dilaporkan sebagai konteks pemetaan, TIDAK direkomendasikan ulang karena sudah ditolak eksplisit oleh FTII sebanyak 2 kali pada sesi cek-ulang sebelumnya.</w:t>
      </w:r>
    </w:p>
    <w:p>
      <w:r>
        <w:rPr>
          <w:b/>
          <w:sz w:val="22"/>
        </w:rPr>
        <w:t>C.6 Diferensiasi Misi</w:t>
      </w:r>
    </w:p>
    <w:p>
      <w:pPr>
        <w:spacing w:after="120"/>
      </w:pPr>
      <w:r>
        <w:rPr>
          <w:sz w:val="21"/>
        </w:rPr>
        <w:t>Standar VMTS FTII (revisi ke-2) SELARAS PENUH terhadap seluruh 5 sub-butir PPEPP C.6 LAM INFOKOM 2.1 (Penetapan, Pelaksanaan, Evaluasi, Pengendalian, Peningkatan). Revisi ke-2 yang menutup gap C.1 LAM Teknik (penambahan visi keilmuan program studi dan root-cause analysis + SWOT tahunan) TERBUKTI juga menutup unsur setara pada C.6 LAM INFOKOM secara bersamaan, tanpa perlu revisi tambahan. TIDAK ADA gap terbuka pada kriteria ini.</w:t>
      </w:r>
    </w:p>
    <w:p>
      <w:r>
        <w:rPr>
          <w:b/>
          <w:sz w:val="24"/>
        </w:rPr>
        <w:t>5. KESIMPULAN MENYELURUH</w:t>
      </w:r>
    </w:p>
    <w:p>
      <w:pPr>
        <w:spacing w:after="120"/>
      </w:pPr>
      <w:r>
        <w:rPr>
          <w:sz w:val="21"/>
        </w:rPr>
        <w:t>Berdasarkan konsolidasi seluruh pemetaan detail per-kriteria, seluruh Standar FTII versi Unggul (Visi Misi, Tata Kelola, Kerjasama, Penjaminan Mutu Internal, Kemahasiswaan, dan 9 dokumen rumpun Masukan/Proses/Luaran Pendidikan-Penelitian-PkM) menunjukkan tingkat kepatuhan sangat tinggi terhadap keenam Kriteria LED LAM INFOKOM 2.1.</w:t>
      </w:r>
    </w:p>
    <w:p>
      <w:pPr>
        <w:pStyle w:val="ListNumber"/>
        <w:spacing w:after="120"/>
      </w:pPr>
      <w:r>
        <w:rPr>
          <w:sz w:val="21"/>
        </w:rPr>
        <w:t>3 dari 6 kriteria (C.3 Relevansi Penelitian, C.4 Relevansi PkM, C.6 Diferensiasi Misi) SELARAS PENUH TANPA gap terbuka sama sekali.</w:t>
      </w:r>
    </w:p>
    <w:p>
      <w:pPr>
        <w:pStyle w:val="ListNumber"/>
        <w:spacing w:after="120"/>
      </w:pPr>
      <w:r>
        <w:rPr>
          <w:sz w:val="21"/>
        </w:rPr>
        <w:t>3 dari 6 kriteria (C.1 Budaya Mutu, C.2 Relevansi Pendidikan, C.5 Akuntabilitas) memiliki gap SEBAGIAN/MINOR yang TIDAK bersifat struktural — tidak menghalangi pemenuhan deskriptor tertinggi.</w:t>
      </w:r>
    </w:p>
    <w:p>
      <w:pPr>
        <w:spacing w:after="120"/>
      </w:pPr>
      <w:r>
        <w:rPr>
          <w:sz w:val="21"/>
        </w:rPr>
        <w:t>Total gap terbuka yang tersisa di seluruh rangkaian standar terhadap LAM INFOKOM 2.1: 7 (tujuh) — terdiri atas 6 gap cross-reference/redaksional (diseminasi hasil kinerja, taksonomi GUG, PMB/kualitas input mahasiswa, basic science, sarana non-akademik, survei kepuasan sarana-prasarana) dan 1 gap jangka-panjang terkompensasi (GB+LK 40%). Satu gap lama (kepemilikan lahan) dicatat sebagai konteks historis, bukan bagian dari hitungan gap terbuka karena sudah menjadi keputusan final FTII untuk tidak ditambal.</w:t>
      </w:r>
    </w:p>
    <w:p>
      <w:pPr>
        <w:spacing w:after="120"/>
      </w:pPr>
      <w:r>
        <w:rPr>
          <w:sz w:val="21"/>
        </w:rPr>
        <w:t>Tidak ada satupun gap yang mengancam pencapaian deskriptor tertinggi pada keenam kriteria LAM INFOKOM 2.1 — seluruh gap yang tersisa bersifat penguatan opsional, cross-reference antar-dokumen, atau keterbatasan struktural yang sudah dikompensasi. Dikombinasikan dengan hasil Pemetaan_Lengkap_Standar_FTII_vs_7_Kriteria_LAMTeknik.docx (7 gap terbuka pada sisi LAM Teknik), seluruh rangkaian Standar FTII UNISBANK versi Unggul telah terverifikasi lengkap terhadap KEDUA lembaga akreditasi (LAM Teknik dan LAM INFOKOM) dengan tingkat kepatuhan yang konsisten tinggi.</w:t>
      </w:r>
    </w:p>
    <w:p>
      <w:r>
        <w:rPr>
          <w:b/>
          <w:sz w:val="24"/>
        </w:rPr>
        <w:t>6. REFERENSI</w:t>
      </w:r>
    </w:p>
    <w:p>
      <w:pPr>
        <w:spacing w:after="120"/>
      </w:pPr>
      <w:r>
        <w:rPr>
          <w:sz w:val="21"/>
        </w:rPr>
        <w:t>Standar_Visi_Misi_Unggul_FTII.docx, Standar_Tata_Kelola_Unggul_FTII.docx, Standar_Kerjasama_Unggul_FTII.docx, Standar_Penjaminan_Mutu_Internal_Unggul_FTII.docx, Standar_Kemahasiswaan_Unggul_FTII.docx (FTII UNISBANK).</w:t>
      </w:r>
    </w:p>
    <w:p>
      <w:pPr>
        <w:spacing w:after="120"/>
      </w:pPr>
      <w:r>
        <w:rPr>
          <w:sz w:val="21"/>
        </w:rPr>
        <w:t>standarmasukanpendidikanunggul.docx, standarprosespendidikanunggul.docx, standarluaranpendidikanunggul.docx (FTII UNISBANK).</w:t>
      </w:r>
    </w:p>
    <w:p>
      <w:pPr>
        <w:spacing w:after="120"/>
      </w:pPr>
      <w:r>
        <w:rPr>
          <w:sz w:val="21"/>
        </w:rPr>
        <w:t>standarmasukanpenelitianunggul.docx, standarprosespenelitianunggul.docx, standarluaranpenelitianunggul.docx (FTII UNISBANK).</w:t>
      </w:r>
    </w:p>
    <w:p>
      <w:pPr>
        <w:spacing w:after="120"/>
      </w:pPr>
      <w:r>
        <w:rPr>
          <w:sz w:val="21"/>
        </w:rPr>
        <w:t>standarmasukanpkmunggul.docx, standarprosespkmunggul.docx, standarluaranpkmunggul.docx (FTII UNISBANK).</w:t>
      </w:r>
    </w:p>
    <w:p>
      <w:pPr>
        <w:spacing w:after="120"/>
      </w:pPr>
      <w:r>
        <w:rPr>
          <w:sz w:val="21"/>
        </w:rPr>
        <w:t>Laporan Evaluasi Diri (LED) LAM INFOKOM 2.1 (2025), Instrumen APS untuk Perolehan dan Perpanjangan Status Terakreditasi Unggul S1-LED, Kriteria C.1-C.6 (seluruh kriteria).</w:t>
      </w:r>
    </w:p>
    <w:p>
      <w:pPr>
        <w:spacing w:after="120"/>
      </w:pPr>
      <w:r>
        <w:rPr>
          <w:sz w:val="21"/>
        </w:rPr>
        <w:t>Pedoman Penyusunan LEDPS – Instrumen Akreditasi Program Studi (IAPS)-AVP 2025, LAM Teknik (dirujuk untuk perbandingan silang pada dokumen pemetaan detail Generasi 2).</w:t>
      </w:r>
    </w:p>
    <w:p>
      <w:pPr>
        <w:spacing w:after="120"/>
      </w:pPr>
      <w:r>
        <w:rPr>
          <w:sz w:val="21"/>
        </w:rPr>
        <w:t>Pemetaan_Standar_Visi_Misi_FTII_vs_C1_LAMTeknik_C6_LAMINFOKOM_DiferensiasiMisi.docx; Pemetaan_TataKelola_SPMI_FTII_vs_C7_LAMTeknik_C1_LAMINFOKOM_BudayaMutu.docx; Pemetaan_MasukanProsesLuaranPendidikan_FTII_vs_C3_LAMTeknik_C2_LAMINFOKOM_RelevansiPendidikan.docx.</w:t>
      </w:r>
    </w:p>
    <w:p>
      <w:pPr>
        <w:spacing w:after="120"/>
      </w:pPr>
      <w:r>
        <w:rPr>
          <w:sz w:val="21"/>
        </w:rPr>
        <w:t>Pemetaan_MasukanProsesLuaranPenelitian_FTII_vs_C3_LAMTeknik_C3_LAMINFOKOM_RelevansiPenelitian.docx; Pemetaan_MasukanProsesLuaranPkM_FTII_vs_C3_LAMTeknik_C4_LAMINFOKOM_RelevansiPkM.docx; Pemetaan_MasukanPendidikanPenelitianPkM_FTII_vs_C4_LAMTeknik_C5_LAMINFOKOM_SDM.docx.</w:t>
      </w:r>
    </w:p>
    <w:p>
      <w:pPr>
        <w:spacing w:after="120"/>
      </w:pPr>
      <w:r>
        <w:rPr>
          <w:sz w:val="21"/>
        </w:rPr>
        <w:t>Pemetaan_MasukanPendidikanPenelitianPkM_FTII_vs_C5_LAMTeknik_C5_LAMINFOKOM_SaranaPrasaranaK3L.docx; Pemetaan_LuaranPendidikanPenelitianPkM_Kemahasiswaan_FTII_vs_C6_LAMTeknik_C2C3C4_LAMINFOKOM_MahasiswaLuaran.docx.</w:t>
      </w:r>
    </w:p>
    <w:p/>
    <w:p>
      <w:r>
        <w:rPr>
          <w:i/>
          <w:sz w:val="20"/>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