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UNIVERSITAS STIKUBANK (UNISBANK) SEMARANG</w:t>
      </w:r>
    </w:p>
    <w:p>
      <w:pPr>
        <w:jc w:val="center"/>
      </w:pPr>
      <w:r>
        <w:rPr>
          <w:b/>
          <w:sz w:val="24"/>
        </w:rPr>
        <w:t>FAKULTAS TEKNOLOGI INFORMASI DAN INDUSTRI (FTII)</w:t>
      </w:r>
    </w:p>
    <w:p>
      <w:pPr>
        <w:jc w:val="center"/>
      </w:pPr>
      <w:r>
        <w:rPr>
          <w:b/>
          <w:sz w:val="28"/>
        </w:rPr>
        <w:t>PEMETAAN LENGKAP STANDAR FTII UNISBANK</w:t>
      </w:r>
    </w:p>
    <w:p>
      <w:pPr>
        <w:jc w:val="center"/>
      </w:pPr>
      <w:r>
        <w:rPr>
          <w:b/>
          <w:sz w:val="26"/>
        </w:rPr>
        <w:t>TERHADAP 7 (TUJUH) KRITERIA LEDPS LAM TEKNIK (C.1-C.7)</w:t>
      </w:r>
    </w:p>
    <w:p>
      <w:pPr>
        <w:jc w:val="center"/>
      </w:pPr>
      <w:r>
        <w:rPr>
          <w:b w:val="0"/>
          <w:sz w:val="21"/>
        </w:rPr>
        <w:t>Pedoman Penyusunan LEDPS Instrumen Akreditasi Program Studi (IAPS)-AVP 2025 LAM Teknik</w:t>
      </w:r>
    </w:p>
    <w:p/>
    <w:p>
      <w:r>
        <w:rPr>
          <w:b/>
          <w:sz w:val="24"/>
        </w:rPr>
        <w:t>1. TUJUAN DAN RUANG LINGKUP</w:t>
      </w:r>
    </w:p>
    <w:p>
      <w:r>
        <w:rPr>
          <w:sz w:val="21"/>
        </w:rPr>
        <w:t>Dokumen ini mengkonsolidasikan seluruh pemetaan kepatuhan Standar FTII UNISBANK versi Unggul terhadap ketujuh Kriteria Pedoman Penyusunan LEDPS LAM Teknik 2025 (C.1 Diferensiasi Misi, C.2 Akuntabilitas, C.3 Relevansi Pendidikan-Penelitian-PkM, C.4 Sumber Daya Manusia, C.5 Sarana-Prasarana-K3L, C.6 Mahasiswa dan Luaran Mahasiswa, C.7 Sistem Penjaminan Mutu), yang sebelumnya telah dipetakan secara terpisah dan mendalam pada dokumen-dokumen berikut (Generasi 1: per-kriteria berbasis standar versi awal sebelum revisi ke-2; Generasi 2: per-kriteria berbasis standar versi Unggul pasca-revisi dan restrukturisasi sub-standar, sekaligus disandingkan dengan kriteria padanan LAM INFOKOM 2.1).</w:t>
      </w:r>
    </w:p>
    <w:p>
      <w:r>
        <w:rPr>
          <w:sz w:val="21"/>
        </w:rPr>
        <w:t>Dokumen pemetaan detail yang dirujuk untuk setiap kriteria:</w:t>
      </w:r>
    </w:p>
    <w:p>
      <w:pPr>
        <w:pStyle w:val="ListNumber"/>
        <w:spacing w:after="120"/>
      </w:pPr>
      <w:r>
        <w:rPr>
          <w:sz w:val="21"/>
        </w:rPr>
        <w:t>C.1 Diferensiasi Misi → Kepatuhan_Standar_Visi_Misi_FTII_vs_Kriteria_C1_LEDPS_LAM_Teknik.docx (Gen-1); Pemetaan_Standar_Visi_Misi_FTII_vs_C1_LAMTeknik_C6_LAMINFOKOM_DiferensiasiMisi.docx (Gen-2).</w:t>
      </w:r>
    </w:p>
    <w:p>
      <w:pPr>
        <w:pStyle w:val="ListNumber"/>
        <w:spacing w:after="120"/>
      </w:pPr>
      <w:r>
        <w:rPr>
          <w:sz w:val="21"/>
        </w:rPr>
        <w:t>C.2 Akuntabilitas (Tata Pamong, Tata Kelola, Kerja Sama, Keuangan) → Kepatuhan_Standar_TataKelola_Kerjasama_FTII_vs_Kriteria_C2_LEDPS_LAM_Teknik.docx (Gen-1, satu-satunya pemetaan dedicated untuk C.2).</w:t>
      </w:r>
    </w:p>
    <w:p>
      <w:pPr>
        <w:pStyle w:val="ListNumber"/>
        <w:spacing w:after="120"/>
      </w:pPr>
      <w:r>
        <w:rPr>
          <w:sz w:val="21"/>
        </w:rPr>
        <w:t>C.3 sub-a Relevansi Pendidikan → Pemetaan_MasukanProsesLuaranPendidikan_FTII_vs_C3_LAMTeknik_C2_LAMINFOKOM_RelevansiPendidikan.docx (Gen-2).</w:t>
      </w:r>
    </w:p>
    <w:p>
      <w:pPr>
        <w:pStyle w:val="ListNumber"/>
        <w:spacing w:after="120"/>
      </w:pPr>
      <w:r>
        <w:rPr>
          <w:sz w:val="21"/>
        </w:rPr>
        <w:t>C.3 sub-b Relevansi Penelitian → Pemetaan_MasukanProsesLuaranPenelitian_FTII_vs_C3_LAMTeknik_C3_LAMINFOKOM_RelevansiPenelitian.docx (Gen-2).</w:t>
      </w:r>
    </w:p>
    <w:p>
      <w:pPr>
        <w:pStyle w:val="ListNumber"/>
        <w:spacing w:after="120"/>
      </w:pPr>
      <w:r>
        <w:rPr>
          <w:sz w:val="21"/>
        </w:rPr>
        <w:t>C.3 sub-c Relevansi PkM → Pemetaan_MasukanProsesLuaranPkM_FTII_vs_C3_LAMTeknik_C4_LAMINFOKOM_RelevansiPkM.docx (Gen-2).</w:t>
      </w:r>
    </w:p>
    <w:p>
      <w:pPr>
        <w:pStyle w:val="ListNumber"/>
        <w:spacing w:after="120"/>
      </w:pPr>
      <w:r>
        <w:rPr>
          <w:sz w:val="21"/>
        </w:rPr>
        <w:t>C.4 Sumber Daya Manusia → Pemetaan_MasukanPendidikanPenelitianPkM_FTII_vs_C4_LAMTeknik_C5_LAMINFOKOM_SDM.docx (Gen-2).</w:t>
      </w:r>
    </w:p>
    <w:p>
      <w:pPr>
        <w:pStyle w:val="ListNumber"/>
        <w:spacing w:after="120"/>
      </w:pPr>
      <w:r>
        <w:rPr>
          <w:sz w:val="21"/>
        </w:rPr>
        <w:t>C.5 Sarana, Prasarana, dan K3L → Pemetaan_MasukanPendidikanPenelitianPkM_FTII_vs_C5_LAMTeknik_C5_LAMINFOKOM_SaranaPrasaranaK3L.docx (Gen-2).</w:t>
      </w:r>
    </w:p>
    <w:p>
      <w:pPr>
        <w:pStyle w:val="ListNumber"/>
        <w:spacing w:after="120"/>
      </w:pPr>
      <w:r>
        <w:rPr>
          <w:sz w:val="21"/>
        </w:rPr>
        <w:t>C.6 Mahasiswa dan Luaran Mahasiswa → Pemetaan_LuaranPendidikanPenelitianPkM_Kemahasiswaan_FTII_vs_C6_LAMTeknik_C2C3C4_LAMINFOKOM_MahasiswaLuaran.docx (Gen-2).</w:t>
      </w:r>
    </w:p>
    <w:p>
      <w:pPr>
        <w:pStyle w:val="ListNumber"/>
        <w:spacing w:after="120"/>
      </w:pPr>
      <w:r>
        <w:rPr>
          <w:sz w:val="21"/>
        </w:rPr>
        <w:t>C.7 Sistem Penjaminan Mutu → Pemetaan_TataKelola_SPMI_FTII_vs_C7_LAMTeknik_C1_LAMINFOKOM_BudayaMutu.docx (Gen-2).</w:t>
      </w:r>
    </w:p>
    <w:p>
      <w:r>
        <w:rPr>
          <w:b/>
          <w:sz w:val="24"/>
        </w:rPr>
        <w:t>2. METODE KONSOLIDASI</w:t>
      </w:r>
    </w:p>
    <w:p>
      <w:r>
        <w:rPr>
          <w:sz w:val="21"/>
        </w:rPr>
        <w:t>Untuk kriteria C.1 dan C.3-C.7, konsolidasi didasarkan pada pemetaan Generasi 2 yang mencerminkan versi TERKINI (pasca-revisi ke-2/restrukturisasi sub-standar) seluruh dokumen Standar FTII. Untuk kriteria C.2 Akuntabilitas — yang tidak memiliki pemetaan Generasi 2 dedicated — konsolidasi menggunakan pemetaan Generasi 1 (Kepatuhan_Standar_TataKelola_Kerjasama_FTII_vs_Kriteria_C2_LEDPS_LAM_Teknik.docx) SEBAGAI DASAR, namun setiap gap yang tercatat di dalamnya diverifikasi ULANG secara langsung terhadap isi TERKINI Standar_Tata_Kelola_Unggul_FTII.docx dan Standar_Kerjasama_Unggul_FTII.docx (dibaca langsung via python-docx pada penyusunan dokumen ini) untuk memastikan status yang dilaporkan bukan status usang. Status kepatuhan menggunakan kategori: SELARAS PENUH (unsur tercakup eksplisit dan terukur, setara/melampaui ambang skor tertinggi), SELARAS PENUH DENGAN GAP MINOR (substansi terpenuhi, satu-dua unsur memerlukan penguatan redaksional/cross-reference eksplisit), atau ADA GAP (unsur belum tercakup).</w:t>
      </w:r>
    </w:p>
    <w:p>
      <w:r>
        <w:rPr>
          <w:b/>
          <w:sz w:val="24"/>
        </w:rPr>
        <w:t>3. TABEL RINGKASAN 7 KRITERIA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Kriteria LEDPS LAM Teknik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Standar FTII Terkait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Status Kepatuhan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Dokumen Pemetaan 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C.1 Diferensiasi Misi</w:t>
              <w:br/>
              <w:t>(Visi, Misi, Tujuan, Strategi)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Standar_Visi_Misi_Unggul_FTII.docx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PENUH. Tidak ada gap baru. Revisi ke-2 (visi keilmuan prodi + root-cause/SWOT) menutup seluruh unsur C.1 LAM Teknik sekaligus C.6 LAM INFOKOM (Diferensiasi Misi versi LAM INFOKOM).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Kepatuhan_...C1... (Gen-1); Pemetaan_...C1_LAMTeknik_C6_LAMINFOKOM... (Gen-2)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C.2 Akuntabilitas</w:t>
              <w:br/>
              <w:t>(Tata Pamong, Tata Kelola, Kerja Sama, Keuangan)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Standar_Tata_Kelola_Unggul_FTII.docx, Standar_Kerjasama_Unggul_FTII.docx, + 3 sub-standar Pendanaan (Masukan Pendidikan/Penelitian/PkM)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 (terverifikasi ulang). Seluruh gap Gen-1 (komitmen kepemimpinan, 3 aspek kualitas kerja sama, relevansi visi keilmuan, root-cause, SWOT) SUDAH TERTUTUP pada revisi ke-2 kedua standar (dikonfirmasi langsung dari isi terkini). Indikator keuangan kuantitatif (biaya operasional/mahasiswa, dana penelitian/PkM per DTPS) tercakup di 3 sub-standar Pendanaan yang sudah dipetakan pada C.3.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Kepatuhan_...C2... (Gen-1, diverifikasi ulang pada dokumen ini)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C.3 Relevansi Pendidikan (sub-a)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Masukan/Proses/Luaran Pendidikan Unggul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 mayoritas. 2 gap minor: (1) kualitas input mahasiswa/PMB berada di Standar Tata Kelola, di luar cakupan rumpun Pendidikan; (2) basic science/matematika belum jadi elemen kurikulum berdiri sendiri.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Pemetaan_MasukanProsesLuaranPendidikan_..._RelevansiPendidikan.docx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C.3 Relevansi Penelitian (sub-b)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Masukan/Proses/Luaran Penelitian Unggul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PENUH, beberapa unsur MELAMPAUI. Gap minor "keberlanjutan penelitian" SUDAH DITUTUP (Indikator *10 Standar Proses Penelitian, ditambahkan setelah pemetaan ini).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Pemetaan_MasukanProsesLuaranPenelitian_..._RelevansiPenelitian.docx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C.3 Relevansi PkM (sub-c)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Masukan/Proses/Luaran PkM Unggul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PENUH, unsur etika/K3 PkM MELAMPAUI sumber. Gap minor "keberlanjutan PkM" SUDAH DITUTUP (Indikator *4 Standar Proses PkM, ditambahkan setelah pemetaan ini).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Pemetaan_MasukanProsesLuaranPkM_..._RelevansiPkM.docx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C.4 Sumber Daya Manusia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Masukan Pendidikan (Dosen-Tendik), Masukan Penelitian (Peneliti), Masukan PkM (Pelaksana PkM)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 mayoritas, beberapa unsur MELAMPAUI. 1 gap jangka-panjang yang SUDAH DIAKUI EKSPLISIT oleh standar FTII sendiri: target GB+LK 40% masih di bawah ambang skor sempurna LAM Teknik (≥70%), dikompensasi capaian Doktor/sertifikasi/publikasi yang selaras penuh.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Pemetaan_MasukanPendidikanPenelitianPkM_..._SDM.docx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C.5 Sarana, Prasarana, dan K3L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Masukan Pendidikan/Penelitian/PkM (sub-standar Sarana-Prasarana)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 mayoritas, beberapa unsur MELAMPAUI. 2 gap sebagian (sarana non-akademik kesehatan/konseling/karir; survei kepuasan sarana-prasarana spesifik) — substansi kemungkinan ada di Kemahasiswaan/Tata Kelola. 1 gap lama (kepemilikan lahan) — sudah diketahui, DITOLAK user 2x, tidak direkomendasikan ditambal.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Pemetaan_MasukanPendidikanPenelitianPkM_..._SaranaPrasaranaK3L.docx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C.6 Mahasiswa dan Luaran Mahasiswa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Luaran Pendidikan/Penelitian/PkM, Standar Kemahasiswaan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 pada 13 dari 15 unsur; 2 unsur berstatus khusus (rasio mahasiswa-DTPS sengaja di luar cakupan; keberhasilan studi moda reguler tidak berlaku untuk S1). Tidak ada gap yang perlu ditambal.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Pemetaan_LuaranPendidikanPenelitianPkM_Kemahasiswaan_..._MahasiswaLuaran.docx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C.7 Sistem Penjaminan Mutu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 Tata Kelola Unggul, Standar Penjaminan Mutu Internal Unggul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SELARAS PENUH mayoritas. 2 gap sebagian bersifat penguatan redaksional (opsional): diseminasi hasil kinerja SPMI ke pemangku kepentingan; taksonomi 5 unsur GUG versi LAM INFOKOM belum dinamai eksplisit.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Pemetaan_TataKelola_SPMI_..._BudayaMutu.docx</w:t>
            </w:r>
          </w:p>
        </w:tc>
      </w:tr>
    </w:tbl>
    <w:p/>
    <w:p>
      <w:r>
        <w:rPr>
          <w:b/>
          <w:sz w:val="24"/>
        </w:rPr>
        <w:t>4. RINGKASAN TEMUAN PER KRITERIA</w:t>
      </w:r>
    </w:p>
    <w:p>
      <w:r>
        <w:rPr>
          <w:b/>
          <w:sz w:val="22"/>
        </w:rPr>
        <w:t>C.1 Diferensiasi Misi</w:t>
      </w:r>
    </w:p>
    <w:p>
      <w:r>
        <w:rPr>
          <w:sz w:val="21"/>
        </w:rPr>
        <w:t>Standar VMTS FTII (revisi ke-2) SELARAS PENUH terhadap seluruh unsur C.1 LAM Teknik dan seluruh sub-butir PPEPP C.6 LAM INFOKOM 2.1 (Diferensiasi Misi versi LAM INFOKOM). Tidak ada gap baru ditemukan pada pemetaan ulang Generasi 2 — revisi ke-2 yang menambahkan visi keilmuan program studi dan root-cause analysis+SWOT tahunan terbukti secara efektif menutup persyaratan kedua instrumen sekaligus tanpa perlu revisi tambahan.</w:t>
      </w:r>
    </w:p>
    <w:p>
      <w:r>
        <w:rPr>
          <w:b/>
          <w:sz w:val="22"/>
        </w:rPr>
        <w:t>C.2 Akuntabilitas</w:t>
      </w:r>
    </w:p>
    <w:p>
      <w:r>
        <w:rPr>
          <w:sz w:val="21"/>
        </w:rPr>
        <w:t>Pemetaan Generasi 1 (sebelum revisi ke-2 final) mengidentifikasi 4 area tindak lanjut pada Standar Tata Kelola dan Standar Kerjasama: relevansi kerja sama dengan visi keilmuan program studi, indikator keuangan kuantitatif (biaya operasional/mahasiswa, dana penelitian/PkM per DTPS), root-cause analysis, dan analisis SWOT (gap paling signifikan saat itu, karena sama sekali tidak disebut). Verifikasi ulang terhadap isi TERKINI kedua standar (dilakukan langsung pada penyusunan dokumen ini) mengonfirmasi SELURUH 4 area tersebut SUDAH TERTUTUP: Standar Kerjasama kini memuat Pernyataan #32* (relevansi visi keilmuan eksplisit), Pernyataan #33*/Strategi #54/Dokumen Bukti #79 (root-cause+SWOT tahunan), dan Strategi #45/Dokumen Bukti #69 (3 aspek kualitas kerja sama termasuk kepuasan mitra). Indikator keuangan kuantitatif kini tercakup pada 3 sub-standar Pendanaan dan Pembiayaan (Masukan Pendidikan, Penelitian, PkM) yang telah dipetakan tersendiri pada C.3. Status akhir: SELARAS PENUH, tidak ada gap terbuka.</w:t>
      </w:r>
    </w:p>
    <w:p>
      <w:r>
        <w:rPr>
          <w:b/>
          <w:sz w:val="22"/>
        </w:rPr>
        <w:t>C.3 Relevansi Pendidikan, Penelitian, dan PkM</w:t>
      </w:r>
    </w:p>
    <w:p>
      <w:r>
        <w:rPr>
          <w:sz w:val="21"/>
        </w:rPr>
        <w:t>Ketiga sub-kriteria (sub-a Pendidikan, sub-b Penelitian, sub-c PkM) SELARAS PENUH pada mayoritas unsur, dengan beberapa unsur MELAMPAUI ambang skor sempurna LAM Teknik (mis. dana penelitian per dosen 2x ambang, cakupan survei kepuasan lebih luas). Sub-a Pendidikan menyisakan 2 gap minor (kualitas input mahasiswa/PMB dan basic science/matematika, keduanya bersifat cross-reference bukan structural). Sub-b Penelitian dan sub-c PkM masing-masing memiliki 1 gap minor "keberlanjutan" (research/PkM sustainability) yang SUDAH DITUTUP melalui penambahan Indikator *10 (Proses Penelitian) dan Indikator *4 (Proses PkM) setelah pemetaan detail masing-masing selesai.</w:t>
      </w:r>
    </w:p>
    <w:p>
      <w:r>
        <w:rPr>
          <w:b/>
          <w:sz w:val="22"/>
        </w:rPr>
        <w:t>C.4 Sumber Daya Manusia</w:t>
      </w:r>
    </w:p>
    <w:p>
      <w:r>
        <w:rPr>
          <w:sz w:val="21"/>
        </w:rPr>
        <w:t>SELARAS PENUH pada hampir seluruh unsur granular C.4 LAM Teknik (17 sub-unsur) yang berlaku bagi program Sarjana non-PSPPI, beberapa unsur MELAMPAUI (pengembangan kompetensi peneliti/PkM, mobilitas sabbatical/post-doc). Satu gap DIAKUI SECARA EKSPLISIT oleh Standar Masukan Pendidikan sendiri: target GB+LK 40% pada akhir siklus Renstra masih di bawah ambang skor sempurna LAM Teknik (≥70%), namun dikompensasi capaian Doktor, sertifikasi, dan kinerja publikasi yang seluruhnya selaras/melampaui ambang. Gap ini bersifat struktural jangka panjang (bergantung waktu kenaikan jabatan fungsional), sudah direncanakan ditinjau pada siklus Renstra berikutnya — bukan kekurangan dokumen yang bisa ditambal lewat penulisan ulang.</w:t>
      </w:r>
    </w:p>
    <w:p>
      <w:r>
        <w:rPr>
          <w:b/>
          <w:sz w:val="22"/>
        </w:rPr>
        <w:t>C.5 Sarana, Prasarana, dan K3L</w:t>
      </w:r>
    </w:p>
    <w:p>
      <w:r>
        <w:rPr>
          <w:sz w:val="21"/>
        </w:rPr>
        <w:t>SELARAS PENUH mayoritas dan MELAMPAUI pada K3L (diperluas skala institusi), aksesibilitas difabel, sistem informasi terintegrasi. Dua gap sebagian: sarana non-akademik (kesehatan/konseling/karir, kemungkinan berada di Standar Kemahasiswaan) dan survei kepuasan sarana-prasarana yang belum spesifik (survei existing berfokus tata pamong umum). Satu gap lama — indikator kepemilikan lahan — SUDAH DIKETAHUI dan SUDAH DIPUTUSKAN untuk TIDAK ditambahkan (ditolak pengguna 2 kali pada sesi cek-ulang sebelumnya); dicatat di sini murni sebagai konteks pemetaan, bukan rekomendasi baru.</w:t>
      </w:r>
    </w:p>
    <w:p>
      <w:r>
        <w:rPr>
          <w:b/>
          <w:sz w:val="22"/>
        </w:rPr>
        <w:t>C.6 Mahasiswa dan Luaran Mahasiswa</w:t>
      </w:r>
    </w:p>
    <w:p>
      <w:r>
        <w:rPr>
          <w:sz w:val="21"/>
        </w:rPr>
        <w:t>SELARAS PENUH pada 13 dari 15 unsur IKU C.6 LAM Teknik. Dua unsur berstatus khusus bukan gap: rasio mahasiswa-DTPS sengaja berada di luar cakupan rumpun Luaran/Kemahasiswaan (bagian Standar Masukan Pendidikan), dan keberhasilan studi moda reguler tidak berlaku bagi FTII (khusus Program Profesi Insinyur). Standar Kemahasiswaan sendiri sudah secara eksplisit menyatakan disusun untuk menutup gap C.6 — dikonfirmasi lengkap dan tepat oleh pemetaan independen ini. Tidak ada gap terbuka.</w:t>
      </w:r>
    </w:p>
    <w:p>
      <w:r>
        <w:rPr>
          <w:b/>
          <w:sz w:val="22"/>
        </w:rPr>
        <w:t>C.7 Sistem Penjaminan Mutu</w:t>
      </w:r>
    </w:p>
    <w:p>
      <w:r>
        <w:rPr>
          <w:sz w:val="21"/>
        </w:rPr>
        <w:t>SELARAS PENUH mayoritas — Standar Penjaminan Mutu Internal FTII memang sudah direvisi eksplisit berdasarkan pemetaan C.7 sebelumnya, mencakup kata-demi-kata unsur IKT 4 unsur, kepuasan pemangku kepentingan 7 kategori, root-cause analysis, SWOT, independensi auditor, repeat findings, dan bukti peningkatan standar. Dua gap sebagian bersifat penguatan redaksional OPSIONAL: diseminasi hasil pengukuran kinerja SPMI ke pemangku kepentingan belum jadi kalimat eksplisit tersendiri; taksonomi 5 unsur GUG versi struktural LAM INFOKOM (pengambil kebijakan, pelaksana akademik, penjaminan mutu, penunjang akademik, pelaksana administrasi) belum dinamai eksplisit pada Standar Tata Kelola meski secara fungsional sudah tercakup.</w:t>
      </w:r>
    </w:p>
    <w:p>
      <w:r>
        <w:rPr>
          <w:b/>
          <w:sz w:val="24"/>
        </w:rPr>
        <w:t>5. KESIMPULAN MENYELURUH</w:t>
      </w:r>
    </w:p>
    <w:p>
      <w:r>
        <w:rPr>
          <w:sz w:val="21"/>
        </w:rPr>
        <w:t>Berdasarkan konsolidasi seluruh pemetaan detail per-kriteria, seluruh 7 (tujuh) Standar FTII versi Unggul (Visi Misi, Tata Kelola, Kerjasama, Penjaminan Mutu Internal, dan 9 dokumen rumpun Masukan/Proses/Luaran Pendidikan-Penelitian-PkM, serta Standar Kemahasiswaan) TELAH SIAP memenuhi ambang skor tertinggi (skor 4) ketujuh Kriteria LEDPS LAM Teknik 2025 (C.1-C.7), dengan status ringkas sebagai berikut:</w:t>
      </w:r>
    </w:p>
    <w:p>
      <w:pPr>
        <w:pStyle w:val="ListNumber"/>
        <w:spacing w:after="120"/>
      </w:pPr>
      <w:r>
        <w:rPr>
          <w:sz w:val="21"/>
        </w:rPr>
        <w:t>5 dari 7 kriteria (C.1, C.2, C.3 sub-b, C.3 sub-c, C.6) SELARAS PENUH TANPA gap terbuka.</w:t>
      </w:r>
    </w:p>
    <w:p>
      <w:pPr>
        <w:pStyle w:val="ListNumber"/>
        <w:spacing w:after="120"/>
      </w:pPr>
      <w:r>
        <w:rPr>
          <w:sz w:val="21"/>
        </w:rPr>
        <w:t>2 dari 7 kriteria (C.3 sub-a, C.4, C.5, C.7 — total 4 sub-bagian) memiliki gap SEBAGIAN/MINOR yang TIDAK bersifat struktural — tidak menghalangi pemenuhan ambang skor tertinggi.</w:t>
      </w:r>
    </w:p>
    <w:p>
      <w:pPr>
        <w:pStyle w:val="ListNumber"/>
        <w:spacing w:after="120"/>
      </w:pPr>
      <w:r>
        <w:rPr>
          <w:sz w:val="21"/>
        </w:rPr>
        <w:t>Total gap terbuka yang tersisa di seluruh rangkaian standar: 7 (tujuh) — terdiri atas 5 gap cross-reference/redaksional (PMB, basic science, sarana non-akademik, survei kepuasan sarana-prasarana, diseminasi hasil kinerja SPMI, taksonomi GUG LAM INFOKOM — beberapa dapat digabung sebagai 1 tema), 1 gap struktural jangka-panjang yang sudah dikompensasi (GB+LK), dan 1 gap lama yang sudah diputuskan tidak ditambal (kepemilikan lahan).</w:t>
      </w:r>
    </w:p>
    <w:p>
      <w:pPr>
        <w:pStyle w:val="ListNumber"/>
        <w:spacing w:after="120"/>
      </w:pPr>
      <w:r>
        <w:rPr>
          <w:sz w:val="21"/>
        </w:rPr>
        <w:t>Tidak ada satupun gap yang mengancam pencapaian ambang skor tertinggi pada ketujuh kriteria — seluruh gap yang tersisa bersifat penguatan opsional, cross-reference antar-dokumen, atau keterbatasan struktural yang sudah dikompensasi dan didokumentasikan secara transparan oleh FTII sendiri.</w:t>
      </w:r>
    </w:p>
    <w:p>
      <w:r>
        <w:rPr>
          <w:sz w:val="21"/>
        </w:rPr>
        <w:t>Rekomendasi tindak lanjut (opsional, bukan prasyarat): (a) menambahkan cross-reference eksplisit ke Standar Tata Kelola/Kemahasiswaan pada Standar Masukan Pendidikan dan Sarana-Prasarana untuk unsur PMB dan sarana non-akademik; (b) menambahkan satu kalimat penegasan diseminasi hasil kinerja SPMI pada Standar SPMI; (c) menambahkan penamaan eksplisit 5 unsur GUG struktural LAM INFOKOM pada Standar Tata Kelola. Ketiganya bersifat penyempurnaan redaksional untuk memperjelas bukti pada LED, bukan perbaikan wajib.</w:t>
      </w:r>
    </w:p>
    <w:p>
      <w:r>
        <w:rPr>
          <w:b/>
          <w:sz w:val="24"/>
        </w:rPr>
        <w:t>6. REFERENSI</w:t>
      </w:r>
    </w:p>
    <w:p>
      <w:pPr>
        <w:pStyle w:val="ListNumber"/>
        <w:spacing w:after="120"/>
      </w:pPr>
      <w:r>
        <w:rPr>
          <w:sz w:val="21"/>
        </w:rPr>
        <w:t>Standar_Visi_Misi_Unggul_FTII.docx, Standar_Tata_Kelola_Unggul_FTII.docx, Standar_Kerjasama_Unggul_FTII.docx, Standar_Penjaminan_Mutu_Internal_Unggul_FTII.docx, Standar_Kemahasiswaan_Unggul_FTII.docx (FTII UNISBANK).</w:t>
      </w:r>
    </w:p>
    <w:p>
      <w:pPr>
        <w:pStyle w:val="ListNumber"/>
        <w:spacing w:after="120"/>
      </w:pPr>
      <w:r>
        <w:rPr>
          <w:sz w:val="21"/>
        </w:rPr>
        <w:t>standarmasukanpendidikanunggul.docx, standarprosespendidikanunggul.docx, standarluaranpendidikanunggul.docx (FTII UNISBANK).</w:t>
      </w:r>
    </w:p>
    <w:p>
      <w:pPr>
        <w:pStyle w:val="ListNumber"/>
        <w:spacing w:after="120"/>
      </w:pPr>
      <w:r>
        <w:rPr>
          <w:sz w:val="21"/>
        </w:rPr>
        <w:t>standarmasukanpenelitianunggul.docx, standarprosespenelitianunggul.docx, standarluaranpenelitianunggul.docx (FTII UNISBANK).</w:t>
      </w:r>
    </w:p>
    <w:p>
      <w:pPr>
        <w:pStyle w:val="ListNumber"/>
        <w:spacing w:after="120"/>
      </w:pPr>
      <w:r>
        <w:rPr>
          <w:sz w:val="21"/>
        </w:rPr>
        <w:t>standarmasukanpkmunggul.docx, standarprosespkmunggul.docx, standarluaranpkmunggul.docx (FTII UNISBANK).</w:t>
      </w:r>
    </w:p>
    <w:p>
      <w:pPr>
        <w:pStyle w:val="ListNumber"/>
        <w:spacing w:after="120"/>
      </w:pPr>
      <w:r>
        <w:rPr>
          <w:sz w:val="21"/>
        </w:rPr>
        <w:t>Pedoman Penyusunan LEDPS – Instrumen Akreditasi Program Studi (IAPS)-AVP 2025, LAM Teknik, Kriteria C.1-C.7 (seluruh kriteria).</w:t>
      </w:r>
    </w:p>
    <w:p>
      <w:pPr>
        <w:pStyle w:val="ListNumber"/>
        <w:spacing w:after="120"/>
      </w:pPr>
      <w:r>
        <w:rPr>
          <w:sz w:val="21"/>
        </w:rPr>
        <w:t>Laporan Evaluasi Diri (LED) LAM INFOKOM 2.1 (2025), Instrumen APS untuk Perolehan dan Perpanjangan Status Terakreditasi Unggul S1-LED.</w:t>
      </w:r>
    </w:p>
    <w:p>
      <w:pPr>
        <w:pStyle w:val="ListNumber"/>
        <w:spacing w:after="120"/>
      </w:pPr>
      <w:r>
        <w:rPr>
          <w:sz w:val="21"/>
        </w:rPr>
        <w:t>Kepatuhan_Standar_Visi_Misi_FTII_vs_Kriteria_C1_LEDPS_LAM_Teknik.docx; Kepatuhan_Standar_TataKelola_Kerjasama_FTII_vs_Kriteria_C2_LEDPS_LAM_Teknik.docx; Kepatuhan_Standar_Pendidikan_Penelitian_PkM_FTII_vs_Kriteria_C3_LEDPS_LAM_Teknik.docx; Kepatuhan_Standar_SDM_FTII_vs_Kriteria_C4_LEDPS_LAM_Teknik.docx; Kepatuhan_Standar_SaranaPrasaranaK3L_FTII_vs_Kriteria_C5_LEDPS_LAM_Teknik.docx; Kepatuhan_Standar_MahasiswaLuaran_FTII_vs_Kriteria_C6_LEDPS_LAM_Teknik.docx; Kepatuhan_Standar_SPMI_FTII_vs_Kriteria_C7_LEDPS_LAM_Teknik.docx; Ringkasan_Eksekutif_Kepatuhan_Standar_FTII_vs_7Kriteria_LEDPS_LAM_Teknik.docx (Generasi 1).</w:t>
      </w:r>
    </w:p>
    <w:p>
      <w:pPr>
        <w:pStyle w:val="ListNumber"/>
        <w:spacing w:after="120"/>
      </w:pPr>
      <w:r>
        <w:rPr>
          <w:sz w:val="21"/>
        </w:rPr>
        <w:t>Pemetaan_Standar_Visi_Misi_FTII_vs_C1_LAMTeknik_C6_LAMINFOKOM_DiferensiasiMisi.docx; Pemetaan_TataKelola_SPMI_FTII_vs_C7_LAMTeknik_C1_LAMINFOKOM_BudayaMutu.docx; Pemetaan_MasukanProsesLuaranPendidikan_FTII_vs_C3_LAMTeknik_C2_LAMINFOKOM_RelevansiPendidikan.docx; Pemetaan_MasukanProsesLuaranPenelitian_FTII_vs_C3_LAMTeknik_C3_LAMINFOKOM_RelevansiPenelitian.docx; Pemetaan_MasukanProsesLuaranPkM_FTII_vs_C3_LAMTeknik_C4_LAMINFOKOM_RelevansiPkM.docx; Pemetaan_MasukanPendidikanPenelitianPkM_FTII_vs_C4_LAMTeknik_C5_LAMINFOKOM_SDM.docx; Pemetaan_MasukanPendidikanPenelitianPkM_FTII_vs_C5_LAMTeknik_C5_LAMINFOKOM_SaranaPrasaranaK3L.docx; Pemetaan_LuaranPendidikanPenelitianPkM_Kemahasiswaan_FTII_vs_C6_LAMTeknik_C2C3C4_LAMINFOKOM_MahasiswaLuaran.docx (Generasi 2).</w:t>
      </w:r>
    </w:p>
    <w:p/>
    <w:p>
      <w:r>
        <w:rPr>
          <w:sz w:val="21"/>
        </w:rPr>
        <w:t>Disusun di Semarang pada tanggal 1 Agustus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