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6"/>
        </w:rPr>
        <w:t>PEMETAAN STANDAR LUARAN PENDIDIKAN, PENELITIAN, PKM, DAN KEMAHASISWAAN FTII</w:t>
      </w:r>
    </w:p>
    <w:p>
      <w:pPr>
        <w:jc w:val="center"/>
      </w:pPr>
      <w:r>
        <w:rPr>
          <w:b/>
          <w:sz w:val="22"/>
        </w:rPr>
        <w:t>TERHADAP KRITERIA C.6 MAHASISWA DAN LUARAN MAHASISWA PEDOMAN PENYUSUNAN LEDPS LAM TEKNIK 2025</w:t>
      </w:r>
    </w:p>
    <w:p>
      <w:pPr>
        <w:jc w:val="center"/>
      </w:pPr>
      <w:r>
        <w:rPr>
          <w:b/>
          <w:sz w:val="22"/>
        </w:rPr>
        <w:t>DAN UNSUR MAHASISWA DALAM KRITERIA C.2/C.3/C.4 LAPORAN EVALUASI DIRI LAM INFOKOM 2.1 (2025)</w:t>
      </w:r>
    </w:p>
    <w:p/>
    <w:p>
      <w:r>
        <w:rPr>
          <w:b/>
          <w:sz w:val="24"/>
        </w:rPr>
        <w:t>1. TUJUAN PEMETAAN</w:t>
      </w:r>
    </w:p>
    <w:p>
      <w:r>
        <w:rPr>
          <w:sz w:val="21"/>
        </w:rPr>
        <w:t>Dokumen ini memetakan kepatuhan EMPAT standar FTII UNISBANK — standarluaranpendidikanunggul.docx, standarluaranpenelitianunggul.docx, standarluaranpkmunggul.docx, dan Standar_Kemahasiswaan_Unggul_FTII.docx — terhadap dua sumber kriteria akreditasi Unggul yang membahas mahasiswa dan luaran mahasiswa.</w:t>
      </w:r>
    </w:p>
    <w:p>
      <w:r>
        <w:rPr>
          <w:sz w:val="21"/>
        </w:rPr>
        <w:t>Kriteria C.6 Mahasiswa dan Luaran Mahasiswa — Pedoman Penyusunan LEDPS Instrumen Akreditasi Program Studi (IAPS)-AVP 2025 LAM Teknik, halaman 19-22, berisi 15 unsur Indikator Kinerja Utama (IKU) huruf a-o, mencakup rasio mahasiswa-DTPS, mahasiswa asing, IPK, prestasi akademik/non-akademik, produk/jasa karya mahasiswa, masa studi, lulusan tepat waktu, publikasi ilmiah mahasiswa, luaran penelitian-PkM mahasiswa, tracer study, waktu tunggu, kesesuaian bidang kerja, tingkat-ukuran tempat kerja, dan kepuasan pengguna lulusan.</w:t>
      </w:r>
    </w:p>
    <w:p>
      <w:r>
        <w:rPr>
          <w:sz w:val="21"/>
        </w:rPr>
        <w:t>Unsur Mahasiswa dalam C.2 Relevansi Pendidikan, C.3 Relevansi Penelitian, dan C.4 Relevansi PkM — Laporan Evaluasi Diri (LED) LAM INFOKOM 2.1 (2025), halaman 14-20. Berbeda dari LAM Teknik yang memiliki kriteria mahasiswa tersendiri (C.6), LAM INFOKOM 2.1 TIDAK memiliki kriteria "Mahasiswa" yang berdiri sendiri — unsur mahasiswa tersebar: C.2.A (akses/PMB/afirmasi), C.2.D (prestasi mahasiswa dan kompetensi lulusan: rekognisi, sebaran kerja), C.3.B (pelibatan mahasiswa dalam penelitian), C.4.B (pelibatan mahasiswa dalam PkM).</w:t>
      </w:r>
    </w:p>
    <w:p>
      <w:r>
        <w:rPr>
          <w:sz w:val="21"/>
        </w:rPr>
        <w:t>Catatan penomoran dan cakupan: LAM Teknik menyatukan seluruh capaian mahasiswa-luaran (termasuk capaian lulusan seperti IPK/masa studi/waktu tunggu) dalam SATU kriteria berdiri sendiri (C.6). LAM INFOKOM 2.1 sebaliknya MEMBUBARKAN unsur mahasiswa ke dalam kriteria relevansi tridharma masing-masing domain (Pendidikan/Penelitian/PkM), tanpa kriteria mahasiswa tersendiri.</w:t>
      </w:r>
    </w:p>
    <w:p>
      <w:r>
        <w:rPr>
          <w:b/>
          <w:sz w:val="24"/>
        </w:rPr>
        <w:t>2. METODE PEMETAAN</w:t>
      </w:r>
    </w:p>
    <w:p>
      <w:r>
        <w:rPr>
          <w:sz w:val="21"/>
        </w:rPr>
        <w:t>Setiap sub-unsur IKU huruf a-o pada C.6 (LAM Teknik) dan setiap unsur A-D yang menyebut mahasiswa pada C.2/C.3/C.4 (LAM INFOKOM 2.1) dikelompokkan per sub-tema (kualitas input mahasiswa, layanan kemahasiswaan, prestasi akademik, prestasi non-akademik, capaian pembelajaran-kelulusan, kualitas lulusan-waktu tunggu, publikasi-luaran mahasiswa, pelibatan mahasiswa dalam penelitian/PkM, tracer study-kepuasan pengguna), lalu dipetakan terhadap Pernyataan Standar dan/atau Indikator Kinerja pada keempat dokumen FTII yang relevan, dengan penyebutan eksplisit dokumen sumber pada setiap baris.</w:t>
      </w:r>
    </w:p>
    <w:p>
      <w:r>
        <w:rPr>
          <w:b/>
          <w:sz w:val="24"/>
        </w:rPr>
        <w:t>3. TABEL PEMETAAN</w:t>
      </w:r>
    </w:p>
    <w:tbl>
      <w:tblPr>
        <w:tblStyle w:val="TableGrid"/>
        <w:tblW w:type="auto" w:w="0"/>
        <w:tblLook w:firstColumn="1" w:firstRow="1" w:lastColumn="0" w:lastRow="0" w:noHBand="0" w:noVBand="1" w:val="04A0"/>
      </w:tblPr>
      <w:tblGrid>
        <w:gridCol w:w="2160"/>
        <w:gridCol w:w="2160"/>
        <w:gridCol w:w="2160"/>
        <w:gridCol w:w="2160"/>
      </w:tblGrid>
      <w:tr>
        <w:tc>
          <w:tcPr>
            <w:tcW w:type="dxa" w:w="2381"/>
          </w:tcPr>
          <w:p>
            <w:r/>
            <w:r>
              <w:rPr>
                <w:b/>
                <w:sz w:val="19"/>
              </w:rPr>
              <w:t>Unsur C.6 LAM Teknik</w:t>
            </w:r>
          </w:p>
        </w:tc>
        <w:tc>
          <w:tcPr>
            <w:tcW w:type="dxa" w:w="2381"/>
          </w:tcPr>
          <w:p>
            <w:r/>
            <w:r>
              <w:rPr>
                <w:b/>
                <w:sz w:val="19"/>
              </w:rPr>
              <w:t>Unsur Mahasiswa dalam C.2/C.3/C.4 LAM INFOKOM</w:t>
            </w:r>
          </w:p>
        </w:tc>
        <w:tc>
          <w:tcPr>
            <w:tcW w:type="dxa" w:w="3855"/>
          </w:tcPr>
          <w:p>
            <w:r/>
            <w:r>
              <w:rPr>
                <w:b/>
                <w:sz w:val="19"/>
              </w:rPr>
              <w:t>Pemenuhan dalam Standar FTII</w:t>
            </w:r>
          </w:p>
        </w:tc>
        <w:tc>
          <w:tcPr>
            <w:tcW w:type="dxa" w:w="1587"/>
          </w:tcPr>
          <w:p>
            <w:r/>
            <w:r>
              <w:rPr>
                <w:b/>
                <w:sz w:val="19"/>
              </w:rPr>
              <w:t>Status</w:t>
            </w:r>
          </w:p>
        </w:tc>
      </w:tr>
      <w:tr>
        <w:tc>
          <w:tcPr>
            <w:tcW w:type="dxa" w:w="2381"/>
          </w:tcPr>
          <w:p>
            <w:r/>
            <w:r>
              <w:rPr>
                <w:sz w:val="18"/>
              </w:rPr>
              <w:t>a) Rasio jumlah mahasiswa terhadap jumlah DTPS</w:t>
            </w:r>
          </w:p>
        </w:tc>
        <w:tc>
          <w:tcPr>
            <w:tcW w:type="dxa" w:w="2381"/>
          </w:tcPr>
          <w:p>
            <w:r/>
            <w:r>
              <w:rPr>
                <w:sz w:val="18"/>
              </w:rPr>
              <w:t>C.2.A (sarana-DTPR-pembiayaan pendidikan, tersirat rasio)</w:t>
            </w:r>
          </w:p>
        </w:tc>
        <w:tc>
          <w:tcPr>
            <w:tcW w:type="dxa" w:w="3855"/>
          </w:tcPr>
          <w:p>
            <w:r/>
            <w:r>
              <w:rPr>
                <w:sz w:val="18"/>
              </w:rPr>
              <w:t>DI LUAR CAKUPAN keempat dokumen ini — rasio dosen-mahasiswa diatur pada Standar Masukan Pendidikan sub-standar Dosen dan Tenaga Kependidikan (bukan bagian dari Luaran/Kemahasiswaan)</w:t>
            </w:r>
          </w:p>
        </w:tc>
        <w:tc>
          <w:tcPr>
            <w:tcW w:type="dxa" w:w="1587"/>
          </w:tcPr>
          <w:p>
            <w:r/>
            <w:r>
              <w:rPr>
                <w:sz w:val="18"/>
              </w:rPr>
              <w:t>DI LUAR CAKUPAN (diatur dokumen lain)</w:t>
            </w:r>
          </w:p>
        </w:tc>
      </w:tr>
      <w:tr>
        <w:tc>
          <w:tcPr>
            <w:tcW w:type="dxa" w:w="2381"/>
          </w:tcPr>
          <w:p>
            <w:r/>
            <w:r>
              <w:rPr>
                <w:sz w:val="18"/>
              </w:rPr>
              <w:t>b) Persentase mahasiswa asing</w:t>
            </w:r>
          </w:p>
        </w:tc>
        <w:tc>
          <w:tcPr>
            <w:tcW w:type="dxa" w:w="2381"/>
          </w:tcPr>
          <w:p>
            <w:r/>
            <w:r>
              <w:rPr>
                <w:sz w:val="18"/>
              </w:rPr>
              <w:t>— (tidak eksplisit disebut di C.2/C.3/C.4)</w:t>
            </w:r>
          </w:p>
        </w:tc>
        <w:tc>
          <w:tcPr>
            <w:tcW w:type="dxa" w:w="3855"/>
          </w:tcPr>
          <w:p>
            <w:r/>
            <w:r>
              <w:rPr>
                <w:sz w:val="18"/>
              </w:rPr>
              <w:t>Standar Kemahasiswaan Pernyataan #25 dan Indikator #10 (≥0,5%→1%→1,5%, target akhir siklus ≥1%)</w:t>
            </w:r>
          </w:p>
        </w:tc>
        <w:tc>
          <w:tcPr>
            <w:tcW w:type="dxa" w:w="1587"/>
          </w:tcPr>
          <w:p>
            <w:r/>
            <w:r>
              <w:rPr>
                <w:sz w:val="18"/>
              </w:rPr>
              <w:t>SELARAS PENUH</w:t>
            </w:r>
          </w:p>
        </w:tc>
      </w:tr>
      <w:tr>
        <w:tc>
          <w:tcPr>
            <w:tcW w:type="dxa" w:w="2381"/>
          </w:tcPr>
          <w:p>
            <w:r/>
            <w:r>
              <w:rPr>
                <w:sz w:val="18"/>
              </w:rPr>
              <w:t>c) IPK lulusan</w:t>
            </w:r>
          </w:p>
        </w:tc>
        <w:tc>
          <w:tcPr>
            <w:tcW w:type="dxa" w:w="2381"/>
          </w:tcPr>
          <w:p>
            <w:r/>
            <w:r>
              <w:rPr>
                <w:sz w:val="18"/>
              </w:rPr>
              <w:t>C.2.D (kompetensi lulusan)</w:t>
            </w:r>
          </w:p>
        </w:tc>
        <w:tc>
          <w:tcPr>
            <w:tcW w:type="dxa" w:w="3855"/>
          </w:tcPr>
          <w:p>
            <w:r/>
            <w:r>
              <w:rPr>
                <w:sz w:val="18"/>
              </w:rPr>
              <w:t>Standar Luaran Pendidikan Pernyataan #25 dan Indikator #8 (rata-rata IPK ≥3,25 → ≥3,40)</w:t>
            </w:r>
          </w:p>
        </w:tc>
        <w:tc>
          <w:tcPr>
            <w:tcW w:type="dxa" w:w="1587"/>
          </w:tcPr>
          <w:p>
            <w:r/>
            <w:r>
              <w:rPr>
                <w:sz w:val="18"/>
              </w:rPr>
              <w:t>SELARAS PENUH</w:t>
            </w:r>
          </w:p>
        </w:tc>
      </w:tr>
      <w:tr>
        <w:tc>
          <w:tcPr>
            <w:tcW w:type="dxa" w:w="2381"/>
          </w:tcPr>
          <w:p>
            <w:r/>
            <w:r>
              <w:rPr>
                <w:sz w:val="18"/>
              </w:rPr>
              <w:t>d) I. Prestasi mahasiswa bidang akademik; II. Prestasi non-akademik</w:t>
            </w:r>
          </w:p>
        </w:tc>
        <w:tc>
          <w:tcPr>
            <w:tcW w:type="dxa" w:w="2381"/>
          </w:tcPr>
          <w:p>
            <w:r/>
            <w:r>
              <w:rPr>
                <w:sz w:val="18"/>
              </w:rPr>
              <w:t>C.2.D (prestasi mahasiswa dan kompetensi lulusan)</w:t>
            </w:r>
          </w:p>
        </w:tc>
        <w:tc>
          <w:tcPr>
            <w:tcW w:type="dxa" w:w="3855"/>
          </w:tcPr>
          <w:p>
            <w:r/>
            <w:r>
              <w:rPr>
                <w:sz w:val="18"/>
              </w:rPr>
              <w:t>Standar Luaran Pendidikan Pernyataan #30 dan Indikator #14-17, *26-*27 (rasio internasional/nasional/wilayah-lokal 0,2%/2%/4%) + Standar Kemahasiswaan Pernyataan #24 dan Indikator #7-9 (≥4 prestasi akademik, ≥8 non-akademik per prodi per 5 tahun; rasio 0,2%/2%/4%)</w:t>
            </w:r>
          </w:p>
        </w:tc>
        <w:tc>
          <w:tcPr>
            <w:tcW w:type="dxa" w:w="1587"/>
          </w:tcPr>
          <w:p>
            <w:r/>
            <w:r>
              <w:rPr>
                <w:sz w:val="18"/>
              </w:rPr>
              <w:t>SELARAS PENUH (dobel-cek dua dokumen, konsisten)</w:t>
            </w:r>
          </w:p>
        </w:tc>
      </w:tr>
      <w:tr>
        <w:tc>
          <w:tcPr>
            <w:tcW w:type="dxa" w:w="2381"/>
          </w:tcPr>
          <w:p>
            <w:r/>
            <w:r>
              <w:rPr>
                <w:sz w:val="18"/>
              </w:rPr>
              <w:t>e) Produk/jasa karya mahasiswa yang diadopsi industri/masyarakat</w:t>
            </w:r>
          </w:p>
        </w:tc>
        <w:tc>
          <w:tcPr>
            <w:tcW w:type="dxa" w:w="2381"/>
          </w:tcPr>
          <w:p>
            <w:r/>
            <w:r>
              <w:rPr>
                <w:sz w:val="18"/>
              </w:rPr>
              <w:t>— (tidak eksplisit disebut di C.2/C.3/C.4)</w:t>
            </w:r>
          </w:p>
        </w:tc>
        <w:tc>
          <w:tcPr>
            <w:tcW w:type="dxa" w:w="3855"/>
          </w:tcPr>
          <w:p>
            <w:r/>
            <w:r>
              <w:rPr>
                <w:sz w:val="18"/>
              </w:rPr>
              <w:t>Standar Kemahasiswaan Pernyataan #30* (ketentuan BARU revisi ke-2, eksplisit menutup gap C.6 LAM Teknik) dan Indikator *15 (≥2→4 produk/jasa diadopsi per tahun)</w:t>
            </w:r>
          </w:p>
        </w:tc>
        <w:tc>
          <w:tcPr>
            <w:tcW w:type="dxa" w:w="1587"/>
          </w:tcPr>
          <w:p>
            <w:r/>
            <w:r>
              <w:rPr>
                <w:sz w:val="18"/>
              </w:rPr>
              <w:t>SELARAS PENUH</w:t>
            </w:r>
          </w:p>
        </w:tc>
      </w:tr>
      <w:tr>
        <w:tc>
          <w:tcPr>
            <w:tcW w:type="dxa" w:w="2381"/>
          </w:tcPr>
          <w:p>
            <w:r/>
            <w:r>
              <w:rPr>
                <w:sz w:val="18"/>
              </w:rPr>
              <w:t>f) Masa studi</w:t>
            </w:r>
          </w:p>
        </w:tc>
        <w:tc>
          <w:tcPr>
            <w:tcW w:type="dxa" w:w="2381"/>
          </w:tcPr>
          <w:p>
            <w:r/>
            <w:r>
              <w:rPr>
                <w:sz w:val="18"/>
              </w:rPr>
              <w:t>C.2.D (kompetensi lulusan, capaian pembelajaran)</w:t>
            </w:r>
          </w:p>
        </w:tc>
        <w:tc>
          <w:tcPr>
            <w:tcW w:type="dxa" w:w="3855"/>
          </w:tcPr>
          <w:p>
            <w:r/>
            <w:r>
              <w:rPr>
                <w:sz w:val="18"/>
              </w:rPr>
              <w:t>Standar Luaran Pendidikan Pernyataan #24 dan Indikator #7 (rata-rata 3,5-4,5 tahun)</w:t>
            </w:r>
          </w:p>
        </w:tc>
        <w:tc>
          <w:tcPr>
            <w:tcW w:type="dxa" w:w="1587"/>
          </w:tcPr>
          <w:p>
            <w:r/>
            <w:r>
              <w:rPr>
                <w:sz w:val="18"/>
              </w:rPr>
              <w:t>SELARAS PENUH</w:t>
            </w:r>
          </w:p>
        </w:tc>
      </w:tr>
      <w:tr>
        <w:tc>
          <w:tcPr>
            <w:tcW w:type="dxa" w:w="2381"/>
          </w:tcPr>
          <w:p>
            <w:r/>
            <w:r>
              <w:rPr>
                <w:sz w:val="18"/>
              </w:rPr>
              <w:t>g) Lulusan tepat waktu</w:t>
            </w:r>
          </w:p>
        </w:tc>
        <w:tc>
          <w:tcPr>
            <w:tcW w:type="dxa" w:w="2381"/>
          </w:tcPr>
          <w:p>
            <w:r/>
            <w:r>
              <w:rPr>
                <w:sz w:val="18"/>
              </w:rPr>
              <w:t>C.2.D (capaian pembelajaran)</w:t>
            </w:r>
          </w:p>
        </w:tc>
        <w:tc>
          <w:tcPr>
            <w:tcW w:type="dxa" w:w="3855"/>
          </w:tcPr>
          <w:p>
            <w:r/>
            <w:r>
              <w:rPr>
                <w:sz w:val="18"/>
              </w:rPr>
              <w:t>Standar Luaran Pendidikan Pernyataan #23 dan Indikator #6 (≥60%→65%)</w:t>
            </w:r>
          </w:p>
        </w:tc>
        <w:tc>
          <w:tcPr>
            <w:tcW w:type="dxa" w:w="1587"/>
          </w:tcPr>
          <w:p>
            <w:r/>
            <w:r>
              <w:rPr>
                <w:sz w:val="18"/>
              </w:rPr>
              <w:t>SELARAS PENUH</w:t>
            </w:r>
          </w:p>
        </w:tc>
      </w:tr>
      <w:tr>
        <w:tc>
          <w:tcPr>
            <w:tcW w:type="dxa" w:w="2381"/>
          </w:tcPr>
          <w:p>
            <w:r/>
            <w:r>
              <w:rPr>
                <w:sz w:val="18"/>
              </w:rPr>
              <w:t>h) Keberhasilan studi moda pembelajaran reguler (Program Profesi Insinyur)</w:t>
            </w:r>
          </w:p>
        </w:tc>
        <w:tc>
          <w:tcPr>
            <w:tcW w:type="dxa" w:w="2381"/>
          </w:tcPr>
          <w:p>
            <w:r/>
            <w:r>
              <w:rPr>
                <w:sz w:val="18"/>
              </w:rPr>
              <w:t>— (N/A)</w:t>
            </w:r>
          </w:p>
        </w:tc>
        <w:tc>
          <w:tcPr>
            <w:tcW w:type="dxa" w:w="3855"/>
          </w:tcPr>
          <w:p>
            <w:r/>
            <w:r>
              <w:rPr>
                <w:sz w:val="18"/>
              </w:rPr>
              <w:t>TIDAK BERLAKU bagi FTII — unsur ini secara eksplisit hanya disyaratkan untuk program Profesi Insinyur, FTII adalah program Sarjana (S1) reguler</w:t>
            </w:r>
          </w:p>
        </w:tc>
        <w:tc>
          <w:tcPr>
            <w:tcW w:type="dxa" w:w="1587"/>
          </w:tcPr>
          <w:p>
            <w:r/>
            <w:r>
              <w:rPr>
                <w:sz w:val="18"/>
              </w:rPr>
              <w:t>TIDAK BERLAKU (N/A)</w:t>
            </w:r>
          </w:p>
        </w:tc>
      </w:tr>
      <w:tr>
        <w:tc>
          <w:tcPr>
            <w:tcW w:type="dxa" w:w="2381"/>
          </w:tcPr>
          <w:p>
            <w:r/>
            <w:r>
              <w:rPr>
                <w:sz w:val="18"/>
              </w:rPr>
              <w:t>i) Publikasi ilmiah mahasiswa (mandiri/bersama DTPS)</w:t>
            </w:r>
          </w:p>
        </w:tc>
        <w:tc>
          <w:tcPr>
            <w:tcW w:type="dxa" w:w="2381"/>
          </w:tcPr>
          <w:p>
            <w:r/>
            <w:r>
              <w:rPr>
                <w:sz w:val="18"/>
              </w:rPr>
              <w:t>C.3.B (pelibatan mahasiswa dalam penelitian); C.4.B (pelibatan mahasiswa dalam PkM)</w:t>
            </w:r>
          </w:p>
        </w:tc>
        <w:tc>
          <w:tcPr>
            <w:tcW w:type="dxa" w:w="3855"/>
          </w:tcPr>
          <w:p>
            <w:r/>
            <w:r>
              <w:rPr>
                <w:sz w:val="18"/>
              </w:rPr>
              <w:t>Standar Luaran Penelitian Pernyataan #20 dan Indikator #5 (co-author 75%→80%) + Standar Luaran PkM Pernyataan #22 (co-author 75%→80%) + Standar Kemahasiswaan Pernyataan #26 (dorongan luaran penelitian/PkM mahasiswa) dan Indikator #11 (≥100 luaran/tahun)</w:t>
            </w:r>
          </w:p>
        </w:tc>
        <w:tc>
          <w:tcPr>
            <w:tcW w:type="dxa" w:w="1587"/>
          </w:tcPr>
          <w:p>
            <w:r/>
            <w:r>
              <w:rPr>
                <w:sz w:val="18"/>
              </w:rPr>
              <w:t>SELARAS PENUH</w:t>
            </w:r>
          </w:p>
        </w:tc>
      </w:tr>
      <w:tr>
        <w:tc>
          <w:tcPr>
            <w:tcW w:type="dxa" w:w="2381"/>
          </w:tcPr>
          <w:p>
            <w:r/>
            <w:r>
              <w:rPr>
                <w:sz w:val="18"/>
              </w:rPr>
              <w:t>j) Luaran penelitian dan PkM mahasiswa (HKI, TTG, produk, buku ber-ISBN, book chapter)</w:t>
            </w:r>
          </w:p>
        </w:tc>
        <w:tc>
          <w:tcPr>
            <w:tcW w:type="dxa" w:w="2381"/>
          </w:tcPr>
          <w:p>
            <w:r/>
            <w:r>
              <w:rPr>
                <w:sz w:val="18"/>
              </w:rPr>
              <w:t>C.3.C (perolehan HKI, keberlanjutan penelitian); C.4.C (perolehan HKI, keberlanjutan PkM)</w:t>
            </w:r>
          </w:p>
        </w:tc>
        <w:tc>
          <w:tcPr>
            <w:tcW w:type="dxa" w:w="3855"/>
          </w:tcPr>
          <w:p>
            <w:r/>
            <w:r>
              <w:rPr>
                <w:sz w:val="18"/>
              </w:rPr>
              <w:t>Standar Luaran Penelitian Indikator #10-12 (HKI Paten/Non-Paten, buku) + Standar Luaran PkM indikator setara (HKI, buku) + Standar Kemahasiswaan Indikator #11 (agregat luaran penelitian-PkM mahasiswa ≥100/tahun)</w:t>
            </w:r>
          </w:p>
        </w:tc>
        <w:tc>
          <w:tcPr>
            <w:tcW w:type="dxa" w:w="1587"/>
          </w:tcPr>
          <w:p>
            <w:r/>
            <w:r>
              <w:rPr>
                <w:sz w:val="18"/>
              </w:rPr>
              <w:t>SELARAS PENUH</w:t>
            </w:r>
          </w:p>
        </w:tc>
      </w:tr>
      <w:tr>
        <w:tc>
          <w:tcPr>
            <w:tcW w:type="dxa" w:w="2381"/>
          </w:tcPr>
          <w:p>
            <w:r/>
            <w:r>
              <w:rPr>
                <w:sz w:val="18"/>
              </w:rPr>
              <w:t>k) Tracer study (5 aspek: koordinasi PT, reguler-tahunan, kuesioner inti DIKTI, populasi penuh TS-2 s.d. TS-1, pemanfaatan hasil)</w:t>
            </w:r>
          </w:p>
        </w:tc>
        <w:tc>
          <w:tcPr>
            <w:tcW w:type="dxa" w:w="2381"/>
          </w:tcPr>
          <w:p>
            <w:r/>
            <w:r>
              <w:rPr>
                <w:sz w:val="18"/>
              </w:rPr>
              <w:t>C.2.D (kompetensi lulusan, tersirat via evaluasi berkala)</w:t>
            </w:r>
          </w:p>
        </w:tc>
        <w:tc>
          <w:tcPr>
            <w:tcW w:type="dxa" w:w="3855"/>
          </w:tcPr>
          <w:p>
            <w:r/>
            <w:r>
              <w:rPr>
                <w:sz w:val="18"/>
              </w:rPr>
              <w:t>Standar Luaran Pendidikan Pernyataan #33 dan Indikator #20 (5 aspek penuh, redaksi PERSIS mencerminkan kelima aspek sumber) + Standar Kemahasiswaan Pernyataan #27 dan Indikator #12</w:t>
            </w:r>
          </w:p>
        </w:tc>
        <w:tc>
          <w:tcPr>
            <w:tcW w:type="dxa" w:w="1587"/>
          </w:tcPr>
          <w:p>
            <w:r/>
            <w:r>
              <w:rPr>
                <w:sz w:val="18"/>
              </w:rPr>
              <w:t>SELARAS PENUH (redaksi identik sumber)</w:t>
            </w:r>
          </w:p>
        </w:tc>
      </w:tr>
      <w:tr>
        <w:tc>
          <w:tcPr>
            <w:tcW w:type="dxa" w:w="2381"/>
          </w:tcPr>
          <w:p>
            <w:r/>
            <w:r>
              <w:rPr>
                <w:sz w:val="18"/>
              </w:rPr>
              <w:t>l) Waktu tunggu lulusan mendapat pekerjaan/berkarya pertama</w:t>
            </w:r>
          </w:p>
        </w:tc>
        <w:tc>
          <w:tcPr>
            <w:tcW w:type="dxa" w:w="2381"/>
          </w:tcPr>
          <w:p>
            <w:r/>
            <w:r>
              <w:rPr>
                <w:sz w:val="18"/>
              </w:rPr>
              <w:t>C.2.D (kompetensi lulusan)</w:t>
            </w:r>
          </w:p>
        </w:tc>
        <w:tc>
          <w:tcPr>
            <w:tcW w:type="dxa" w:w="3855"/>
          </w:tcPr>
          <w:p>
            <w:r/>
            <w:r>
              <w:rPr>
                <w:sz w:val="18"/>
              </w:rPr>
              <w:t>Standar Luaran Pendidikan Pernyataan #26 dan Indikator #9 (≤3 bulan)</w:t>
            </w:r>
          </w:p>
        </w:tc>
        <w:tc>
          <w:tcPr>
            <w:tcW w:type="dxa" w:w="1587"/>
          </w:tcPr>
          <w:p>
            <w:r/>
            <w:r>
              <w:rPr>
                <w:sz w:val="18"/>
              </w:rPr>
              <w:t>SELARAS PENUH</w:t>
            </w:r>
          </w:p>
        </w:tc>
      </w:tr>
      <w:tr>
        <w:tc>
          <w:tcPr>
            <w:tcW w:type="dxa" w:w="2381"/>
          </w:tcPr>
          <w:p>
            <w:r/>
            <w:r>
              <w:rPr>
                <w:sz w:val="18"/>
              </w:rPr>
              <w:t>m) Kesesuaian bidang kerja lulusan (PBS)</w:t>
            </w:r>
          </w:p>
        </w:tc>
        <w:tc>
          <w:tcPr>
            <w:tcW w:type="dxa" w:w="2381"/>
          </w:tcPr>
          <w:p>
            <w:r/>
            <w:r>
              <w:rPr>
                <w:sz w:val="18"/>
              </w:rPr>
              <w:t>C.2.D (kompetensi lulusan)</w:t>
            </w:r>
          </w:p>
        </w:tc>
        <w:tc>
          <w:tcPr>
            <w:tcW w:type="dxa" w:w="3855"/>
          </w:tcPr>
          <w:p>
            <w:r/>
            <w:r>
              <w:rPr>
                <w:sz w:val="18"/>
              </w:rPr>
              <w:t>Standar Luaran Pendidikan Pernyataan #27 dan Indikator #10 (≥60%→65%)</w:t>
            </w:r>
          </w:p>
        </w:tc>
        <w:tc>
          <w:tcPr>
            <w:tcW w:type="dxa" w:w="1587"/>
          </w:tcPr>
          <w:p>
            <w:r/>
            <w:r>
              <w:rPr>
                <w:sz w:val="18"/>
              </w:rPr>
              <w:t>SELARAS PENUH</w:t>
            </w:r>
          </w:p>
        </w:tc>
      </w:tr>
      <w:tr>
        <w:tc>
          <w:tcPr>
            <w:tcW w:type="dxa" w:w="2381"/>
          </w:tcPr>
          <w:p>
            <w:r/>
            <w:r>
              <w:rPr>
                <w:sz w:val="18"/>
              </w:rPr>
              <w:t>n) Tingkat dan ukuran tempat kerja lulusan (internasional/nasional/lokal)</w:t>
            </w:r>
          </w:p>
        </w:tc>
        <w:tc>
          <w:tcPr>
            <w:tcW w:type="dxa" w:w="2381"/>
          </w:tcPr>
          <w:p>
            <w:r/>
            <w:r>
              <w:rPr>
                <w:sz w:val="18"/>
              </w:rPr>
              <w:t>C.2.D (sebaran kerja lulusan lokal/nasional/internasional)</w:t>
            </w:r>
          </w:p>
        </w:tc>
        <w:tc>
          <w:tcPr>
            <w:tcW w:type="dxa" w:w="3855"/>
          </w:tcPr>
          <w:p>
            <w:r/>
            <w:r>
              <w:rPr>
                <w:sz w:val="18"/>
              </w:rPr>
              <w:t>Standar Luaran Pendidikan Pernyataan #28 dan Indikator #11-12, *28 (internasional ≥5%, nasional ≥20%, wilayah/lokal dilaporkan dengan catatan interpretasi formula R2 Butir 51)</w:t>
            </w:r>
          </w:p>
        </w:tc>
        <w:tc>
          <w:tcPr>
            <w:tcW w:type="dxa" w:w="1587"/>
          </w:tcPr>
          <w:p>
            <w:r/>
            <w:r>
              <w:rPr>
                <w:sz w:val="18"/>
              </w:rPr>
              <w:t>SELARAS PENUH (dengan 1 catatan interpretasi ambang lama yang sudah diketahui)</w:t>
            </w:r>
          </w:p>
        </w:tc>
      </w:tr>
      <w:tr>
        <w:tc>
          <w:tcPr>
            <w:tcW w:type="dxa" w:w="2381"/>
          </w:tcPr>
          <w:p>
            <w:r/>
            <w:r>
              <w:rPr>
                <w:sz w:val="18"/>
              </w:rPr>
              <w:t>o) Tingkat kepuasan pengguna lulusan (7 aspek: etika, keahlian bidang ilmu, bahasa asing, TI, komunikasi, kerja sama tim, pengembangan diri)</w:t>
            </w:r>
          </w:p>
        </w:tc>
        <w:tc>
          <w:tcPr>
            <w:tcW w:type="dxa" w:w="2381"/>
          </w:tcPr>
          <w:p>
            <w:r/>
            <w:r>
              <w:rPr>
                <w:sz w:val="18"/>
              </w:rPr>
              <w:t>C.2.C (evaluasi berkala, survei kepuasan layanan pembelajaran)</w:t>
            </w:r>
          </w:p>
        </w:tc>
        <w:tc>
          <w:tcPr>
            <w:tcW w:type="dxa" w:w="3855"/>
          </w:tcPr>
          <w:p>
            <w:r/>
            <w:r>
              <w:rPr>
                <w:sz w:val="18"/>
              </w:rPr>
              <w:t>Standar Luaran Pendidikan Pernyataan #29 dan Indikator #13 (7 aspek PERSIS sama dengan sumber, ≥85%→90%)</w:t>
            </w:r>
          </w:p>
        </w:tc>
        <w:tc>
          <w:tcPr>
            <w:tcW w:type="dxa" w:w="1587"/>
          </w:tcPr>
          <w:p>
            <w:r/>
            <w:r>
              <w:rPr>
                <w:sz w:val="18"/>
              </w:rPr>
              <w:t>SELARAS PENUH (redaksi identik sumber)</w:t>
            </w:r>
          </w:p>
        </w:tc>
      </w:tr>
      <w:tr>
        <w:tc>
          <w:tcPr>
            <w:tcW w:type="dxa" w:w="2381"/>
          </w:tcPr>
          <w:p>
            <w:r/>
            <w:r>
              <w:rPr>
                <w:sz w:val="18"/>
              </w:rPr>
              <w:t>Layanan kemahasiswaan (bimbingan-konseling, karier, kesehatan, beasiswa, minat-bakat, organisasi, kewirausahaan) — bagian "Kebijakan" umum C.6, dan C.2.A (akses/afirmasi PMB)</w:t>
            </w:r>
          </w:p>
        </w:tc>
        <w:tc>
          <w:tcPr>
            <w:tcW w:type="dxa" w:w="2381"/>
          </w:tcPr>
          <w:p>
            <w:r/>
            <w:r>
              <w:rPr>
                <w:sz w:val="18"/>
              </w:rPr>
              <w:t>C.2.A (perluasan akses, keragaman asal, afirmasi, mahasiswa berkebutuhan khusus)</w:t>
            </w:r>
          </w:p>
        </w:tc>
        <w:tc>
          <w:tcPr>
            <w:tcW w:type="dxa" w:w="3855"/>
          </w:tcPr>
          <w:p>
            <w:r/>
            <w:r>
              <w:rPr>
                <w:sz w:val="18"/>
              </w:rPr>
              <w:t>Standar Kemahasiswaan Pernyataan #18-22 (7 komponen layanan kemahasiswaan) dan Indikator #3-6, IKT #1,#4 (beasiswa, bimbingan konseling)</w:t>
            </w:r>
          </w:p>
        </w:tc>
        <w:tc>
          <w:tcPr>
            <w:tcW w:type="dxa" w:w="1587"/>
          </w:tcPr>
          <w:p>
            <w:r/>
            <w:r>
              <w:rPr>
                <w:sz w:val="18"/>
              </w:rPr>
              <w:t>SELARAS PENUH</w:t>
            </w:r>
          </w:p>
        </w:tc>
      </w:tr>
    </w:tbl>
    <w:p/>
    <w:p>
      <w:r>
        <w:rPr>
          <w:b/>
          <w:sz w:val="24"/>
        </w:rPr>
        <w:t>4. TEMUAN DAN KESIMPULAN</w:t>
      </w:r>
    </w:p>
    <w:p>
      <w:r>
        <w:rPr>
          <w:sz w:val="21"/>
        </w:rPr>
        <w:t>Pemetaan menemukan bahwa keempat standar FTII (Luaran Pendidikan, Luaran Penelitian, Luaran PkM, dan Kemahasiswaan) SECARA GABUNGAN telah SELARAS PENUH terhadap 13 dari 15 unsur IKU C.6 LAM Teknik dan seluruh unsur mahasiswa yang tersebar di C.2.A/C.2.D, C.3.B/C.3.C, dan C.4.B/C.4.C LAM INFOKOM 2.1.</w:t>
      </w:r>
    </w:p>
    <w:p>
      <w:r>
        <w:rPr>
          <w:sz w:val="21"/>
        </w:rPr>
        <w:t>Dua catatan status khusus (bukan gap tersembunyi):</w:t>
      </w:r>
    </w:p>
    <w:p>
      <w:r>
        <w:rPr>
          <w:sz w:val="21"/>
        </w:rPr>
        <w:t>1) Unsur (a) Rasio mahasiswa-DTPS berada DI LUAR CAKUPAN keempat dokumen ini secara sengaja — rasio dosen-mahasiswa merupakan bagian dari Standar Masukan Pendidikan (sub-standar Dosen dan Tenaga Kependidikan), bukan bagian dari domain Luaran atau Kemahasiswaan. Ini bukan gap, melainkan pembagian cakupan dokumen yang tepat.</w:t>
      </w:r>
    </w:p>
    <w:p>
      <w:r>
        <w:rPr>
          <w:sz w:val="21"/>
        </w:rPr>
        <w:t>2) Unsur (h) Keberhasilan studi moda pembelajaran reguler TIDAK BERLAKU bagi FTII karena secara eksplisit hanya disyaratkan untuk program Profesi Insinyur (Program Profesi Insinyur), sedangkan FTII menyelenggarakan program Sarjana (S1) reguler.</w:t>
      </w:r>
    </w:p>
    <w:p>
      <w:r>
        <w:rPr>
          <w:sz w:val="21"/>
        </w:rPr>
        <w:t>Ditemukan bahwa Standar Kemahasiswaan sendiri SUDAH secara eksplisit menyatakan (paragraf Rasional dan catatan revisi ke-2) bahwa dokumen ini disusun untuk menutup gap hasil pemetaan Kriteria C.6 LEDPS LAM Teknik 2025 — konsisten dengan hasil pemetaan independen ini, yang mengonfirmasi bahwa penutupan gap tersebut (unsur e - produk/jasa karya mahasiswa diadopsi industri, ditambahkan sebagai Pernyataan #30* dan Indikator *15) memang tepat dan lengkap.</w:t>
      </w:r>
    </w:p>
    <w:p>
      <w:r>
        <w:rPr>
          <w:sz w:val="21"/>
        </w:rPr>
        <w:t>Beberapa unsur bahkan menunjukkan redaksi yang PERSIS mencerminkan sumber (bukan sekadar selaras substansi) — tracer study 5 aspek (unsur k) dan kepuasan pengguna lulusan 7 aspek (unsur o) — menunjukkan tingkat kepatuhan yang sangat tinggi terhadap deskriptor asli instrumen.</w:t>
      </w:r>
    </w:p>
    <w:p>
      <w:r>
        <w:rPr>
          <w:sz w:val="21"/>
        </w:rPr>
        <w:t>Kesimpulan: TIDAK ada gap struktural yang menghalangi pemenuhan ambang skor tertinggi C.6 LAM Teknik maupun unsur mahasiswa pada C.2/C.3/C.4 LAM INFOKOM 2.1 pada keempat standar Luaran dan Kemahasiswaan FTII. Tidak diperlukan revisi tambahan pada dokumen manapun berdasarkan pemetaan ini.</w:t>
      </w:r>
    </w:p>
    <w:p>
      <w:r>
        <w:rPr>
          <w:b/>
          <w:sz w:val="24"/>
        </w:rPr>
        <w:t>5. REFERENSI</w:t>
      </w:r>
    </w:p>
    <w:p>
      <w:r>
        <w:rPr>
          <w:sz w:val="21"/>
        </w:rPr>
        <w:t>standarluaranpendidikanunggul.docx (revisi, FTII UNISBANK).</w:t>
      </w:r>
    </w:p>
    <w:p>
      <w:r>
        <w:rPr>
          <w:sz w:val="21"/>
        </w:rPr>
        <w:t>standarluaranpenelitianunggul.docx (revisi, FTII UNISBANK).</w:t>
      </w:r>
    </w:p>
    <w:p>
      <w:r>
        <w:rPr>
          <w:sz w:val="21"/>
        </w:rPr>
        <w:t>standarluaranpkmunggul.docx (revisi, FTII UNISBANK).</w:t>
      </w:r>
    </w:p>
    <w:p>
      <w:r>
        <w:rPr>
          <w:sz w:val="21"/>
        </w:rPr>
        <w:t>Standar_Kemahasiswaan_Unggul_FTII.docx (revisi ke-2, FTII UNISBANK).</w:t>
      </w:r>
    </w:p>
    <w:p>
      <w:r>
        <w:rPr>
          <w:sz w:val="21"/>
        </w:rPr>
        <w:t>Pedoman Penyusunan LEDPS – Instrumen Akreditasi Program Studi (IAPS)-AVP 2025, LAM Teknik, Kriteria C.6 Mahasiswa dan Luaran Mahasiswa, halaman 19-22.</w:t>
      </w:r>
    </w:p>
    <w:p>
      <w:r>
        <w:rPr>
          <w:sz w:val="21"/>
        </w:rPr>
        <w:t>Laporan Evaluasi Diri LAM INFOKOM 2.1 (2025), Instrumen APS untuk Perolehan dan Perpanjangan Status Terakreditasi Unggul S1-LED, Kriteria C.2 Relevansi Pendidikan (halaman 14-16), C.3 Relevansi Penelitian (halaman 17-18), C.4 Relevansi Pengabdian kepada Masyarakat (halaman 19-20).</w:t>
      </w:r>
    </w:p>
    <w:p/>
    <w:p>
      <w:pPr>
        <w:jc w:val="right"/>
      </w:pPr>
      <w:r>
        <w:rPr>
          <w:sz w:val="21"/>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