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6"/>
        </w:rPr>
        <w:t>PEMETAAN STANDAR MASUKAN PENDIDIKAN, PENELITIAN, DAN PKM FTII</w:t>
      </w:r>
    </w:p>
    <w:p>
      <w:pPr>
        <w:jc w:val="center"/>
      </w:pPr>
      <w:r>
        <w:rPr>
          <w:b/>
          <w:sz w:val="24"/>
        </w:rPr>
        <w:t>TERHADAP KRITERIA C.5 SARANA, PRASARANA, DAN K3L PEDOMAN PENYUSUNAN LEDPS LAM TEKNIK 2025</w:t>
      </w:r>
    </w:p>
    <w:p>
      <w:pPr>
        <w:jc w:val="center"/>
      </w:pPr>
      <w:r>
        <w:rPr>
          <w:b/>
          <w:sz w:val="24"/>
        </w:rPr>
        <w:t>DAN UNSUR SARANA-PRASARANA DALAM KRITERIA C.5 AKUNTABILITAS LAPORAN EVALUASI DIRI LAM INFOKOM 2.1 (2025)</w:t>
      </w:r>
    </w:p>
    <w:p/>
    <w:p>
      <w:r>
        <w:rPr>
          <w:b/>
          <w:sz w:val="24"/>
        </w:rPr>
        <w:t>1. TUJUAN PEMETAAN</w:t>
      </w:r>
    </w:p>
    <w:p>
      <w:r>
        <w:rPr>
          <w:sz w:val="21"/>
        </w:rPr>
        <w:t>Dokumen ini memetakan kepatuhan TIGA standar FTII UNISBANK — standarmasukanpendidikanunggul.docx (4 sub-standar, fokus pada sub-standar Sarana dan Prasarana Pembelajaran), standarmasukanpenelitianunggul.docx (4 sub-standar, fokus pada sub-standar Sarana dan Prasarana Penelitian), dan standarmasukanpkmunggul.docx (4 sub-standar, fokus pada sub-standar Sarana dan Prasarana PkM) — terhadap dua sumber kriteria akreditasi eksternal yang membahas sarana, prasarana, dan Keselamatan Kesehatan Kerja dan Lingkungan (K3L).</w:t>
      </w:r>
    </w:p>
    <w:p>
      <w:r>
        <w:rPr>
          <w:sz w:val="21"/>
        </w:rPr>
        <w:t>Kriteria C.5 Sarana, Prasarana, dan Keselamatan Kesehatan Kerja dan Lingkungan (K3L) — Pedoman Penyusunan LEDPS Instrumen Akreditasi Program Studi (IAPS)-AVP 2025 LAM Teknik, halaman 21-22, berisi 2 unsur naratif (Latar Belakang, Kebijakan) dan Indikator Kinerja Utama (IKU) yang terbagi atas (a) Sarana dan Prasarana — I. akademik (media pembelajaran, perangkat elektronik, alat praktik laboratorium, ruang kelas, laboratorium sesuai panduan asosiasi program studi, perpustakaan, kelayakan, kemudahan akses) dan II. non-akademik (pusat kesehatan, pusat layanan konseling, pusat layanan karir, fasilitas ibadah, kelayakan, kemudahan akses); serta (b) Keselamatan, Kesehatan Kerja dan Lingkungan (K3L) — dokumen kebijakan tata kelola K3L, kecukupan dan mutu sarana-prasarana K3L, bukti pelaksanaan dan tinjauan berkala K3L; dilengkapi butir 4 (Analisis Faktor Keberhasilan dan Penghambat) dan butir 5 (Strategi Perbaikan/SWOT).</w:t>
      </w:r>
    </w:p>
    <w:p>
      <w:r>
        <w:rPr>
          <w:sz w:val="21"/>
        </w:rPr>
        <w:t>Kriteria C.5 Akuntabilitas — Laporan Evaluasi Diri (LED) LAM INFOKOM 2.1 (2025), halaman 25-26, berisi 5 sub-butir mengikuti siklus PPEPP (5.1 Penetapan, 5.2 Pelaksanaan, 5.3 Evaluasi, 5.4 Pengendalian, 5.5 Peningkatan). Berbeda dari LAM Teknik, C.5 LAM INFOKOM membundel tata kelola-tata pamong, sarana-prasarana, dan SDM menjadi SATU kriteria akuntabilitas institusional generik — unsur sarana-prasarana hanya disebut sebagai frasa berulang "didukung kapasitas sarana dan prasarana yang memadai" pada setiap sub-butir (5.1.A s.d. 5.5.A), tanpa rincian granular. Sub-butir 5.3 (Evaluasi) secara eksplisit mensyaratkan survei kepuasan terhadap tata kelola, sarana-prasarana, dan SDM dengan responden dosen, mahasiswa, dan tenaga kependidikan.</w:t>
      </w:r>
    </w:p>
    <w:p>
      <w:r>
        <w:rPr>
          <w:sz w:val="21"/>
        </w:rPr>
        <w:t>Catatan cakupan: karena C.5 LAM INFOKOM generik, pemetaan detail sarana-prasarana-K3L pada dokumen ini didominasi oleh perbandingan terhadap C.5 LAM Teknik, sementara C.5 LAM INFOKOM dipetakan pada baris yang relevan sebagai konfirmasi silang bahwa unsur "kapasitas sarana dan prasarana yang memadai" telah terpenuhi.</w:t>
      </w:r>
    </w:p>
    <w:p>
      <w:r>
        <w:rPr>
          <w:b/>
          <w:sz w:val="24"/>
        </w:rPr>
        <w:t>2. METODE PEMETAAN</w:t>
      </w:r>
    </w:p>
    <w:p>
      <w:r>
        <w:rPr>
          <w:sz w:val="21"/>
        </w:rPr>
        <w:t>Setiap sub-unsur IKU pada C.5 (LAM Teknik) dan unsur sarana-prasarana dalam kelima sub-butir PPEPP C.5 (LAM INFOKOM 2.1) dikelompokkan per sub-tema (sarana pembelajaran/laboratorium, perpustakaan, sarana non-akademik, K3L, kepemilikan lahan/bangunan, sarana penelitian, sarana PkM, sistem informasi, aksesibilitas difabel, root-cause/SWOT) kemudian dipetakan terhadap Pernyataan Standar, Strategi Pencapaian, dan/atau Indikator Kinerja pada ketiga dokumen FTII yang relevan, disertai penilaian status kepatuhan.</w:t>
      </w:r>
    </w:p>
    <w:p>
      <w:r>
        <w:rPr>
          <w:b/>
          <w:sz w:val="24"/>
        </w:rPr>
        <w:t>3. TABEL PEMETAAN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Unsur C.5 LAM Teknik (Sarana-Prasarana-K3L)</w:t>
            </w:r>
          </w:p>
        </w:tc>
        <w:tc>
          <w:tcPr>
            <w:tcW w:type="dxa" w:w="2160"/>
          </w:tcPr>
          <w:p>
            <w:r/>
            <w:r>
              <w:rPr>
                <w:b/>
                <w:sz w:val="18"/>
              </w:rPr>
              <w:t>Unsur Relevan dalam C.5 LAM INFOKOM (Akuntabilitas)</w:t>
            </w:r>
          </w:p>
        </w:tc>
        <w:tc>
          <w:tcPr>
            <w:tcW w:type="dxa" w:w="2160"/>
          </w:tcPr>
          <w:p>
            <w:r/>
            <w:r>
              <w:rPr>
                <w:b/>
                <w:sz w:val="18"/>
              </w:rPr>
              <w:t>Pemenuhan dalam Standar FTII</w:t>
            </w:r>
          </w:p>
        </w:tc>
        <w:tc>
          <w:tcPr>
            <w:tcW w:type="dxa" w:w="2160"/>
          </w:tcPr>
          <w:p>
            <w:r/>
            <w:r>
              <w:rPr>
                <w:b/>
                <w:sz w:val="18"/>
              </w:rPr>
              <w:t>Status</w:t>
            </w:r>
          </w:p>
        </w:tc>
      </w:tr>
      <w:tr>
        <w:tc>
          <w:tcPr>
            <w:tcW w:type="dxa" w:w="2160"/>
          </w:tcPr>
          <w:p>
            <w:r/>
            <w:r>
              <w:rPr>
                <w:sz w:val="18"/>
              </w:rPr>
              <w:t>a.I) Sarana akademik: media pembelajaran, perangkat elektronik, alat praktik laboratorium; ruang kelas, laboratorium sesuai panduan asosiasi program studi, perpustakaan; kelayakan; kemudahan akses (hal.21).</w:t>
            </w:r>
          </w:p>
        </w:tc>
        <w:tc>
          <w:tcPr>
            <w:tcW w:type="dxa" w:w="2160"/>
          </w:tcPr>
          <w:p>
            <w:r/>
            <w:r>
              <w:rPr>
                <w:sz w:val="18"/>
              </w:rPr>
              <w:t>5.1.A/5.2.A — kapasitas sarana dan prasarana yang memadai (bundel generik, tanpa rincian akademik/non-akademik terpisah).</w:t>
            </w:r>
          </w:p>
        </w:tc>
        <w:tc>
          <w:tcPr>
            <w:tcW w:type="dxa" w:w="2160"/>
          </w:tcPr>
          <w:p>
            <w:r/>
            <w:r>
              <w:rPr>
                <w:sz w:val="18"/>
              </w:rPr>
              <w:t>Masukan Pendidikan, Pernyataan #127 (kelengkapan isi sarana akademik: media pembelajaran, perangkat elektronik, koleksi perpustakaan ≥1.000 judul + e-resources), Pernyataan #129 (laboratorium sesuai panduan APTIKOM), Indikator *3 (80%→100%).</w:t>
            </w:r>
          </w:p>
        </w:tc>
        <w:tc>
          <w:tcPr>
            <w:tcW w:type="dxa" w:w="2160"/>
          </w:tcPr>
          <w:p>
            <w:r/>
            <w:r>
              <w:rPr>
                <w:sz w:val="18"/>
              </w:rPr>
              <w:t>SELARAS PENUH</w:t>
            </w:r>
          </w:p>
        </w:tc>
      </w:tr>
      <w:tr>
        <w:tc>
          <w:tcPr>
            <w:tcW w:type="dxa" w:w="2160"/>
          </w:tcPr>
          <w:p>
            <w:r/>
            <w:r>
              <w:rPr>
                <w:sz w:val="18"/>
              </w:rPr>
              <w:t>a.II) Sarana non-akademik: pusat kesehatan, pusat layanan konseling, pusat layanan karir, fasilitas ibadah; kelayakan; kemudahan akses (hal.21).</w:t>
            </w:r>
          </w:p>
        </w:tc>
        <w:tc>
          <w:tcPr>
            <w:tcW w:type="dxa" w:w="2160"/>
          </w:tcPr>
          <w:p>
            <w:r/>
            <w:r>
              <w:rPr>
                <w:sz w:val="18"/>
              </w:rPr>
              <w:t>5.1.A/5.2.A — idem (bundel generik).</w:t>
            </w:r>
          </w:p>
        </w:tc>
        <w:tc>
          <w:tcPr>
            <w:tcW w:type="dxa" w:w="2160"/>
          </w:tcPr>
          <w:p>
            <w:r/>
            <w:r>
              <w:rPr>
                <w:sz w:val="18"/>
              </w:rPr>
              <w:t>Masukan Pendidikan, Pernyataan #131 (fasilitas ibadah) dan Indikator *7 HANYA mencakup fasilitas ibadah. Pusat kesehatan, pusat layanan konseling, dan pusat layanan karir TIDAK disebutkan pada Standar Masukan Pendidikan — substansinya (bila ada) berada di luar cakupan dokumen ini (kemungkinan Standar Kemahasiswaan).</w:t>
            </w:r>
          </w:p>
        </w:tc>
        <w:tc>
          <w:tcPr>
            <w:tcW w:type="dxa" w:w="2160"/>
          </w:tcPr>
          <w:p>
            <w:r/>
            <w:r>
              <w:rPr>
                <w:sz w:val="18"/>
              </w:rPr>
              <w:t>GAP SEBAGIAN (pusat kesehatan/konseling/karir tidak tercakup di dokumen ini)</w:t>
            </w:r>
          </w:p>
        </w:tc>
      </w:tr>
      <w:tr>
        <w:tc>
          <w:tcPr>
            <w:tcW w:type="dxa" w:w="2160"/>
          </w:tcPr>
          <w:p>
            <w:r/>
            <w:r>
              <w:rPr>
                <w:sz w:val="18"/>
              </w:rPr>
              <w:t>b) K3L: dokumen kebijakan dan tata kelola K3L, kecukupan dan mutu sarana-prasarana K3L, bukti pelaksanaan dan tinjauan berkala K3L (hal.21-22).</w:t>
            </w:r>
          </w:p>
        </w:tc>
        <w:tc>
          <w:tcPr>
            <w:tcW w:type="dxa" w:w="2160"/>
          </w:tcPr>
          <w:p>
            <w:r/>
            <w:r>
              <w:rPr>
                <w:sz w:val="18"/>
              </w:rPr>
              <w:t>5.1.B/5.2.B — audit mutu pemenuhan tupoksi tata kelola, sarana-prasarana, dan SDM profesional.</w:t>
            </w:r>
          </w:p>
        </w:tc>
        <w:tc>
          <w:tcPr>
            <w:tcW w:type="dxa" w:w="2160"/>
          </w:tcPr>
          <w:p>
            <w:r/>
            <w:r>
              <w:rPr>
                <w:sz w:val="18"/>
              </w:rPr>
              <w:t>Masukan Pendidikan, Pernyataan #129 (SOP K3L laboratorium: penggunaan, pemeliharaan, evaluasi kelayakan berkala, sosialisasi), Pernyataan #130 (*perluasan K3L skala laboratorium menjadi skala kampus/institusi), Indikator #5 dan *6.</w:t>
            </w:r>
          </w:p>
        </w:tc>
        <w:tc>
          <w:tcPr>
            <w:tcW w:type="dxa" w:w="2160"/>
          </w:tcPr>
          <w:p>
            <w:r/>
            <w:r>
              <w:rPr>
                <w:sz w:val="18"/>
              </w:rPr>
              <w:t>SELARAS PENUH (MELAMPAUI: cakupan K3L diperluas ke skala institusi, bukan hanya laboratorium)</w:t>
            </w:r>
          </w:p>
        </w:tc>
      </w:tr>
      <w:tr>
        <w:tc>
          <w:tcPr>
            <w:tcW w:type="dxa" w:w="2160"/>
          </w:tcPr>
          <w:p>
            <w:r/>
            <w:r>
              <w:rPr>
                <w:sz w:val="18"/>
              </w:rPr>
              <w:t>Kepemilikan/penguasaan lahan dan bangunan — tidak dijabarkan eksplisit dalam narasi C.5 LAM Teknik yang diekstrak (Tabel 5.a LKPS berpotensi memuat rincian lahan, tidak dapat diverifikasi dari teks Pedoman LEDPS yang tersedia).</w:t>
            </w:r>
          </w:p>
        </w:tc>
        <w:tc>
          <w:tcPr>
            <w:tcW w:type="dxa" w:w="2160"/>
          </w:tcPr>
          <w:p>
            <w:r/>
            <w:r>
              <w:rPr>
                <w:sz w:val="18"/>
              </w:rPr>
              <w:t>Tidak ditemukan unsur eksplisit lahan pada C.5 LAM INFOKOM.</w:t>
            </w:r>
          </w:p>
        </w:tc>
        <w:tc>
          <w:tcPr>
            <w:tcW w:type="dxa" w:w="2160"/>
          </w:tcPr>
          <w:p>
            <w:r/>
            <w:r>
              <w:rPr>
                <w:sz w:val="18"/>
              </w:rPr>
              <w:t>Masukan Pendidikan, Pernyataan #128 (kepemilikan lahan status hak sah ≥20 tahun, rasio ≥2 m²/mahasiswa) SUDAH ADA sebagai pernyataan naratif, namun TIDAK memiliki indikator terukur (IKU) tersendiri pada Tabel Indikator Sarana-Prasarana. Gap ini SUDAH DIKETAHUI dan PERNAH diusulkan pada sesi cek-ulang sebelumnya — FTII secara eksplisit MEMUTUSKAN untuk TIDAK menambahkan indikator ini (ditolak 2 kali). Dilaporkan di sini sebagai konteks pemetaan, BUKAN sebagai rekomendasi baru.</w:t>
            </w:r>
          </w:p>
        </w:tc>
        <w:tc>
          <w:tcPr>
            <w:tcW w:type="dxa" w:w="2160"/>
          </w:tcPr>
          <w:p>
            <w:r/>
            <w:r>
              <w:rPr>
                <w:sz w:val="18"/>
              </w:rPr>
              <w:t>GAP LAMA, DIKETAHUI, KEPUTUSAN FTII UNTUK TIDAK MENAMBAHKAN</w:t>
            </w:r>
          </w:p>
        </w:tc>
      </w:tr>
      <w:tr>
        <w:tc>
          <w:tcPr>
            <w:tcW w:type="dxa" w:w="2160"/>
          </w:tcPr>
          <w:p>
            <w:r/>
            <w:r>
              <w:rPr>
                <w:sz w:val="18"/>
              </w:rPr>
              <w:t>Aksesibilitas bagi pengguna berkebutuhan khusus — "kemudahan akses sarana prasarana" (a.I, a.II).</w:t>
            </w:r>
          </w:p>
        </w:tc>
        <w:tc>
          <w:tcPr>
            <w:tcW w:type="dxa" w:w="2160"/>
          </w:tcPr>
          <w:p>
            <w:r/>
            <w:r>
              <w:rPr>
                <w:sz w:val="18"/>
              </w:rPr>
              <w:t>Tidak dirinci eksplisit pada C.5 LAM INFOKOM (bundel generik).</w:t>
            </w:r>
          </w:p>
        </w:tc>
        <w:tc>
          <w:tcPr>
            <w:tcW w:type="dxa" w:w="2160"/>
          </w:tcPr>
          <w:p>
            <w:r/>
            <w:r>
              <w:rPr>
                <w:sz w:val="18"/>
              </w:rPr>
              <w:t>Masukan Pendidikan, Pernyataan #132 (5 aspek aksesibilitas difabel: pelabelan braille, ramp, guiding block, peta timbul, toilet difabel — sesuai Peraturan Dirjen Belmawa), Indikator #4.</w:t>
            </w:r>
          </w:p>
        </w:tc>
        <w:tc>
          <w:tcPr>
            <w:tcW w:type="dxa" w:w="2160"/>
          </w:tcPr>
          <w:p>
            <w:r/>
            <w:r>
              <w:rPr>
                <w:sz w:val="18"/>
              </w:rPr>
              <w:t>SELARAS PENUH (MELAMPAUI: 5 aspek eksplisit vs "kemudahan akses" generik pada sumber)</w:t>
            </w:r>
          </w:p>
        </w:tc>
      </w:tr>
      <w:tr>
        <w:tc>
          <w:tcPr>
            <w:tcW w:type="dxa" w:w="2160"/>
          </w:tcPr>
          <w:p>
            <w:r/>
            <w:r>
              <w:rPr>
                <w:sz w:val="18"/>
              </w:rPr>
              <w:t>Sarana dan prasarana penelitian sesuai bidang keilmuan, ruang unit pengelola penelitian, 4 aspek K3 laboratorium riset — termasuk dalam cakupan umum C.5 sarana-prasarana (tidak dipisah eksplisit per tridharma dalam narasi yang diekstrak).</w:t>
            </w:r>
          </w:p>
        </w:tc>
        <w:tc>
          <w:tcPr>
            <w:tcW w:type="dxa" w:w="2160"/>
          </w:tcPr>
          <w:p>
            <w:r/>
            <w:r>
              <w:rPr>
                <w:sz w:val="18"/>
              </w:rPr>
              <w:t>5.1.A/5.2.A — idem (bundel generik, tridharma tidak dipisah).</w:t>
            </w:r>
          </w:p>
        </w:tc>
        <w:tc>
          <w:tcPr>
            <w:tcW w:type="dxa" w:w="2160"/>
          </w:tcPr>
          <w:p>
            <w:r/>
            <w:r>
              <w:rPr>
                <w:sz w:val="18"/>
              </w:rPr>
              <w:t>Masukan Penelitian, Pernyataan #64 (ruang LPPM/DPPMP, sarana-prasarana sesuai bidang ilmu, 4 aspek K3 laboratorium riset), Indikator #1 (4 unsur checklist), Indikator #2 (pemanfaatan/kemutakhiran/aksesibilitas ≥85%→100%).</w:t>
            </w:r>
          </w:p>
        </w:tc>
        <w:tc>
          <w:tcPr>
            <w:tcW w:type="dxa" w:w="2160"/>
          </w:tcPr>
          <w:p>
            <w:r/>
            <w:r>
              <w:rPr>
                <w:sz w:val="18"/>
              </w:rPr>
              <w:t>SELARAS PENUH</w:t>
            </w:r>
          </w:p>
        </w:tc>
      </w:tr>
      <w:tr>
        <w:tc>
          <w:tcPr>
            <w:tcW w:type="dxa" w:w="2160"/>
          </w:tcPr>
          <w:p>
            <w:r/>
            <w:r>
              <w:rPr>
                <w:sz w:val="18"/>
              </w:rPr>
              <w:t>Sarana dan prasarana PkM (referensi ilmiah, ruang unit pengelola, 4 aspek K3) — termasuk dalam cakupan umum C.5 (idem).</w:t>
            </w:r>
          </w:p>
        </w:tc>
        <w:tc>
          <w:tcPr>
            <w:tcW w:type="dxa" w:w="2160"/>
          </w:tcPr>
          <w:p>
            <w:r/>
            <w:r>
              <w:rPr>
                <w:sz w:val="18"/>
              </w:rPr>
              <w:t>5.1.A/5.2.A — idem (bundel generik).</w:t>
            </w:r>
          </w:p>
        </w:tc>
        <w:tc>
          <w:tcPr>
            <w:tcW w:type="dxa" w:w="2160"/>
          </w:tcPr>
          <w:p>
            <w:r/>
            <w:r>
              <w:rPr>
                <w:sz w:val="18"/>
              </w:rPr>
              <w:t>Masukan PkM, Pernyataan #56 (ruang unit pengelola PkM, sarana referensi ilmiah, prasarana sesuai bidang ilmu, 4 aspek K3), Indikator *10 (4 unsur checklist), Indikator *11 (pemanfaatan/kemutakhiran/aksesibilitas ≥85%→100%).</w:t>
            </w:r>
          </w:p>
        </w:tc>
        <w:tc>
          <w:tcPr>
            <w:tcW w:type="dxa" w:w="2160"/>
          </w:tcPr>
          <w:p>
            <w:r/>
            <w:r>
              <w:rPr>
                <w:sz w:val="18"/>
              </w:rPr>
              <w:t>SELARAS PENUH</w:t>
            </w:r>
          </w:p>
        </w:tc>
      </w:tr>
      <w:tr>
        <w:tc>
          <w:tcPr>
            <w:tcW w:type="dxa" w:w="2160"/>
          </w:tcPr>
          <w:p>
            <w:r/>
            <w:r>
              <w:rPr>
                <w:sz w:val="18"/>
              </w:rPr>
              <w:t>Tidak ada unsur eksplisit sistem informasi terintegrasi pada narasi C.5 yang diekstrak (kemungkinan dibahas pada C.7 SPMI/tata kelola, bukan C.5).</w:t>
            </w:r>
          </w:p>
        </w:tc>
        <w:tc>
          <w:tcPr>
            <w:tcW w:type="dxa" w:w="2160"/>
          </w:tcPr>
          <w:p>
            <w:r/>
            <w:r>
              <w:rPr>
                <w:sz w:val="18"/>
              </w:rPr>
              <w:t>5.1.A — "kapasitas sarana dan prasarana yang memadai" dapat mencakup sistem informasi secara implisit.</w:t>
            </w:r>
          </w:p>
        </w:tc>
        <w:tc>
          <w:tcPr>
            <w:tcW w:type="dxa" w:w="2160"/>
          </w:tcPr>
          <w:p>
            <w:r/>
            <w:r>
              <w:rPr>
                <w:sz w:val="18"/>
              </w:rPr>
              <w:t>Masukan Pendidikan, Pernyataan #133 + Indikator #8 (sistem informasi terintegrasi akademik-keuangan-SDM-aset, 100%); Masukan Penelitian, Pernyataan #67 + Indikator #4 (SIRISBANK ≥85%→100%); Masukan PkM, Pernyataan #59 + Indikator #13 (SIRISBANK ≥85%→100%).</w:t>
            </w:r>
          </w:p>
        </w:tc>
        <w:tc>
          <w:tcPr>
            <w:tcW w:type="dxa" w:w="2160"/>
          </w:tcPr>
          <w:p>
            <w:r/>
            <w:r>
              <w:rPr>
                <w:sz w:val="18"/>
              </w:rPr>
              <w:t>SELARAS PENUH (MELAMPAUI: sistem informasi terintegrasi dibangun terpisah untuk ketiga domain tridharma)</w:t>
            </w:r>
          </w:p>
        </w:tc>
      </w:tr>
      <w:tr>
        <w:tc>
          <w:tcPr>
            <w:tcW w:type="dxa" w:w="2160"/>
          </w:tcPr>
          <w:p>
            <w:r/>
            <w:r>
              <w:rPr>
                <w:sz w:val="18"/>
              </w:rPr>
              <w:t>Survei kepuasan terhadap sarana dan prasarana — tidak disebutkan eksplisit pada narasi C.5 LAM Teknik yang diekstrak.</w:t>
            </w:r>
          </w:p>
        </w:tc>
        <w:tc>
          <w:tcPr>
            <w:tcW w:type="dxa" w:w="2160"/>
          </w:tcPr>
          <w:p>
            <w:r/>
            <w:r>
              <w:rPr>
                <w:sz w:val="18"/>
              </w:rPr>
              <w:t>5.3.A — Tim Penyusun WAJIB menyampaikan hasil survei kepuasan terhadap tata kelola-tata pamong, sarana dan prasarana, SERTA SDM dengan responden dosen, mahasiswa, dan tendik (hal.25, eksplisit).</w:t>
            </w:r>
          </w:p>
        </w:tc>
        <w:tc>
          <w:tcPr>
            <w:tcW w:type="dxa" w:w="2160"/>
          </w:tcPr>
          <w:p>
            <w:r/>
            <w:r>
              <w:rPr>
                <w:sz w:val="18"/>
              </w:rPr>
              <w:t>TIDAK ditemukan indikator/strategi survei kepuasan KHUSUS sarana-prasarana pada ketiga dokumen Masukan (Pendidikan/Penelitian/PkM). Survei kepuasan pemangku kepentingan yang ada (Standar Tata Kelola, Pernyataan #31) berfokus pada tata pamong/tata kelola secara umum, tidak secara eksplisit menyasar sarana-prasarana.</w:t>
            </w:r>
          </w:p>
        </w:tc>
        <w:tc>
          <w:tcPr>
            <w:tcW w:type="dxa" w:w="2160"/>
          </w:tcPr>
          <w:p>
            <w:r/>
            <w:r>
              <w:rPr>
                <w:sz w:val="18"/>
              </w:rPr>
              <w:t>GAP SEBAGIAN (survei kepuasan sarana-prasarana belum eksplisit, di luar cakupan tiga dokumen Masukan ini)</w:t>
            </w:r>
          </w:p>
        </w:tc>
      </w:tr>
      <w:tr>
        <w:tc>
          <w:tcPr>
            <w:tcW w:type="dxa" w:w="2160"/>
          </w:tcPr>
          <w:p>
            <w:r/>
            <w:r>
              <w:rPr>
                <w:sz w:val="18"/>
              </w:rPr>
              <w:t>4. Analisis Faktor Keberhasilan dan Penghambat pencapaian kriteria sarana, prasarana, dan K3L (hal.21-22).</w:t>
            </w:r>
          </w:p>
        </w:tc>
        <w:tc>
          <w:tcPr>
            <w:tcW w:type="dxa" w:w="2160"/>
          </w:tcPr>
          <w:p>
            <w:r/>
            <w:r>
              <w:rPr>
                <w:sz w:val="18"/>
              </w:rPr>
              <w:t>5.3 [Evaluasi] — faktor pendukung terlampaui/tercapainya standar, akar masalah penyebab tidak tercapainya standar.</w:t>
            </w:r>
          </w:p>
        </w:tc>
        <w:tc>
          <w:tcPr>
            <w:tcW w:type="dxa" w:w="2160"/>
          </w:tcPr>
          <w:p>
            <w:r/>
            <w:r>
              <w:rPr>
                <w:sz w:val="18"/>
              </w:rPr>
              <w:t>Masukan Pendidikan, Indikator *9 (root-cause analysis &amp; SWOT tahunan Standar Sarana dan Prasarana, sesuai Standar SPMI FTII, berlaku wajib lintas-standar).</w:t>
            </w:r>
          </w:p>
        </w:tc>
        <w:tc>
          <w:tcPr>
            <w:tcW w:type="dxa" w:w="2160"/>
          </w:tcPr>
          <w:p>
            <w:r/>
            <w:r>
              <w:rPr>
                <w:sz w:val="18"/>
              </w:rPr>
              <w:t>SELARAS PENUH</w:t>
            </w:r>
          </w:p>
        </w:tc>
      </w:tr>
      <w:tr>
        <w:tc>
          <w:tcPr>
            <w:tcW w:type="dxa" w:w="2160"/>
          </w:tcPr>
          <w:p>
            <w:r/>
            <w:r>
              <w:rPr>
                <w:sz w:val="18"/>
              </w:rPr>
              <w:t>5. Strategi perbaikan dan pengembangan menggunakan Analisis SWOT atas kriteria sarana, prasarana, dan K3L (hal.22).</w:t>
            </w:r>
          </w:p>
        </w:tc>
        <w:tc>
          <w:tcPr>
            <w:tcW w:type="dxa" w:w="2160"/>
          </w:tcPr>
          <w:p>
            <w:r/>
            <w:r>
              <w:rPr>
                <w:sz w:val="18"/>
              </w:rPr>
              <w:t>5.4 [Pengendalian] — tindak lanjut (revisi dan rekomendasi) hasil evaluasi.</w:t>
            </w:r>
          </w:p>
        </w:tc>
        <w:tc>
          <w:tcPr>
            <w:tcW w:type="dxa" w:w="2160"/>
          </w:tcPr>
          <w:p>
            <w:r/>
            <w:r>
              <w:rPr>
                <w:sz w:val="18"/>
              </w:rPr>
              <w:t>Masukan Pendidikan, Indikator *9 (idem, root-cause+SWOT tahunan mencakup tahap pengendalian melalui RTL sesuai mekanisme Standar SPMI).</w:t>
            </w:r>
          </w:p>
        </w:tc>
        <w:tc>
          <w:tcPr>
            <w:tcW w:type="dxa" w:w="2160"/>
          </w:tcPr>
          <w:p>
            <w:r/>
            <w:r>
              <w:rPr>
                <w:sz w:val="18"/>
              </w:rPr>
              <w:t>SELARAS PENUH</w:t>
            </w:r>
          </w:p>
        </w:tc>
      </w:tr>
    </w:tbl>
    <w:p/>
    <w:p>
      <w:r>
        <w:rPr>
          <w:b/>
          <w:sz w:val="24"/>
        </w:rPr>
        <w:t>4. TEMUAN DAN KESIMPULAN</w:t>
      </w:r>
    </w:p>
    <w:p>
      <w:r>
        <w:rPr>
          <w:sz w:val="21"/>
        </w:rPr>
        <w:t>Pemetaan menemukan bahwa ketiga standar FTII (Masukan Pendidikan sub-standar Sarana dan Prasarana Pembelajaran, Masukan Penelitian sub-standar Sarana dan Prasarana Penelitian, dan Masukan PkM sub-standar Sarana dan Prasarana PkM) SECARA GABUNGAN telah SELARAS PENUH — dan pada beberapa unsur MELAMPAUI — terhadap mayoritas unsur IKU C.5 Sarana-Prasarana-K3L LAM Teknik dan unsur sarana-prasarana pada C.5 Akuntabilitas LAM INFOKOM 2.1, khususnya pada: kelengkapan sarana akademik dan perpustakaan, laboratorium sesuai panduan asosiasi, K3L (bahkan diperluas ke skala institusi), aksesibilitas difabel (5 aspek eksplisit), sarana penelitian dan PkM, sistem informasi terintegrasi (dibangun terpisah untuk 3 domain tridharma), serta root-cause analysis dan SWOT tahunan.</w:t>
      </w:r>
    </w:p>
    <w:p>
      <w:r>
        <w:rPr>
          <w:sz w:val="21"/>
        </w:rPr>
        <w:t>Ditemukan 2 (dua) GAP SEBAGIAN yang bersifat pelengkap, bukan struktural: (1) sarana non-akademik berupa pusat kesehatan, pusat layanan konseling, dan pusat layanan karir — disyaratkan eksplisit oleh C.5 LAM Teknik unsur a.II, namun tidak dibahas pada Standar Masukan Pendidikan FTII (kemungkinan substansinya berada pada Standar Kemahasiswaan, di luar cakupan ketiga dokumen Masukan yang dipetakan pada dokumen ini); dan (2) survei kepuasan yang secara eksplisit menyasar sarana-prasarana — disyaratkan C.5 LAM INFOKOM sub-butir 5.3.A, namun survei kepuasan pemangku kepentingan yang ada pada FTII (Standar Tata Kelola) berfokus pada tata pamong/tata kelola secara umum, belum eksplisit menyasar sarana-prasarana sebagai objek survei tersendiri.</w:t>
      </w:r>
    </w:p>
    <w:p>
      <w:r>
        <w:rPr>
          <w:sz w:val="21"/>
        </w:rPr>
        <w:t>Ditemukan pula 1 (satu) GAP LAMA yang SUDAH DIKETAHUI dan SUDAH DIPUTUSKAN oleh FTII: indikator terukur untuk kepemilikan/status hak lahan (Pernyataan #128 Masukan Pendidikan) belum tersedia pada Tabel Indikator, karena usulan penambahan indikator ini SUDAH DITOLAK 2 (dua) kali pada sesi cek-ulang sebelumnya. Gap ini dilaporkan kembali di sini murni sebagai konteks pemetaan menyeluruh, BUKAN sebagai rekomendasi perbaikan baru.</w:t>
      </w:r>
    </w:p>
    <w:p>
      <w:r>
        <w:rPr>
          <w:sz w:val="21"/>
        </w:rPr>
        <w:t>Kesimpulan: TIDAK ada gap struktural yang menghalangi pemenuhan ambang skor tertinggi C.5 LAM Teknik maupun unsur sarana-prasarana pada C.5 LAM INFOKOM 2.1 pada ketiga standar Masukan FTII. Dua gap sebagian (sarana non-akademik kesehatan/konseling/karir, dan survei kepuasan sarana-prasarana) bersifat pelengkap dan berpotensi ditutup melalui cross-reference ke Standar Kemahasiswaan dan Standar Tata Kelola, bukan melalui revisi ketiga dokumen Masukan ini. Satu gap lama (kepemilikan lahan) tetap sebagaimana keputusan FTII sebelumnya.</w:t>
      </w:r>
    </w:p>
    <w:p>
      <w:r>
        <w:rPr>
          <w:b/>
          <w:sz w:val="24"/>
        </w:rPr>
        <w:t>5. REFERENSI</w:t>
      </w:r>
    </w:p>
    <w:p>
      <w:r>
        <w:rPr>
          <w:sz w:val="21"/>
        </w:rPr>
        <w:t>standarmasukanpendidikanunggul.docx (revisi ke-2, FTII UNISBANK).</w:t>
      </w:r>
    </w:p>
    <w:p>
      <w:r>
        <w:rPr>
          <w:sz w:val="21"/>
        </w:rPr>
        <w:t>standarmasukanpenelitianunggul.docx (revisi ke-2, FTII UNISBANK).</w:t>
      </w:r>
    </w:p>
    <w:p>
      <w:r>
        <w:rPr>
          <w:sz w:val="21"/>
        </w:rPr>
        <w:t>standarmasukanpkmunggul.docx (revisi ke-2, FTII UNISBANK).</w:t>
      </w:r>
    </w:p>
    <w:p>
      <w:r>
        <w:rPr>
          <w:sz w:val="21"/>
        </w:rPr>
        <w:t>Pedoman Penyusunan LEDPS – Instrumen Akreditasi Program Studi (IAPS)-AVP 2025, LAM Teknik, Kriteria C.5 Sarana, Prasarana, dan Keselamatan Kesehatan Kerja dan Lingkungan (K3L), halaman 21-22.</w:t>
      </w:r>
    </w:p>
    <w:p>
      <w:r>
        <w:rPr>
          <w:sz w:val="21"/>
        </w:rPr>
        <w:t>Laporan Evaluasi Diri LAM INFOKOM 2.1 (2025), Instrumen APS untuk Perolehan dan Perpanjangan Status Terakreditasi Unggul S1-LED, Kriteria C.5 Akuntabilitas, halaman 25-26.</w:t>
      </w:r>
    </w:p>
    <w:p/>
    <w:p>
      <w:r>
        <w:rPr>
          <w:sz w:val="21"/>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