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24"/>
        </w:rPr>
        <w:t>FAKULTAS TEKNOLOGI INFORMASI DAN INDUSTRI (FTII)</w:t>
      </w:r>
    </w:p>
    <w:p>
      <w:pPr>
        <w:jc w:val="center"/>
      </w:pPr>
      <w:r>
        <w:rPr>
          <w:b/>
          <w:sz w:val="24"/>
        </w:rPr>
        <w:t>PEMETAAN STANDAR MASUKAN, PROSES, DAN LUARAN PENDIDIKAN FTII</w:t>
      </w:r>
    </w:p>
    <w:p>
      <w:pPr>
        <w:jc w:val="center"/>
      </w:pPr>
      <w:r>
        <w:rPr>
          <w:b/>
          <w:sz w:val="22"/>
        </w:rPr>
        <w:t>TERHADAP KRITERIA C.3 RELEVANSI PENDIDIKAN, PENELITIAN, DAN PKM (SUB-A PENDIDIKAN) PEDOMAN PENYUSUNAN LEDPS LAM TEKNIK 2025</w:t>
      </w:r>
    </w:p>
    <w:p>
      <w:pPr>
        <w:jc w:val="center"/>
      </w:pPr>
      <w:r>
        <w:rPr>
          <w:b/>
          <w:sz w:val="22"/>
        </w:rPr>
        <w:t>DAN KRITERIA C.2 RELEVANSI PENDIDIKAN LAPORAN EVALUASI DIRI LAM INFOKOM 2.1 (2025)</w:t>
      </w:r>
    </w:p>
    <w:p/>
    <w:p>
      <w:pPr>
        <w:pStyle w:val="Heading1"/>
      </w:pPr>
      <w:r>
        <w:t>1. TUJUAN PEMETAAN</w:t>
      </w:r>
    </w:p>
    <w:p>
      <w:r>
        <w:rPr>
          <w:b w:val="0"/>
          <w:sz w:val="22"/>
        </w:rPr>
        <w:t>Dokumen ini memetakan kepatuhan TIGA standar FTII UNISBANK — Standar_Masukan_Pendidikan_Unggul_FTII.docx (4 sub-standar: Isi Pembelajaran, Dosen dan Tenaga Kependidikan, Sarana dan Prasarana Pembelajaran, Pembiayaan Pembelajaran), Standar_Proses_Pendidikan_Unggul_FTII.docx (3 sub-standar: Proses Pembelajaran, Penilaian Pembelajaran, Pengelolaan Pembelajaran), dan Standar_Luaran_Pendidikan_Unggul_FTII.docx (struktur flat, 28 indikator) — terhadap dua sumber kriteria akreditasi berikut.</w:t>
      </w:r>
    </w:p>
    <w:p>
      <w:pPr>
        <w:pStyle w:val="ListNumber"/>
      </w:pPr>
      <w:r>
        <w:t>Kriteria C.3 Relevansi Pendidikan, Penelitian, dan PkM, sub-a (Pendidikan) — Pedoman Penyusunan LEDPS Instrumen Akreditasi Program Studi (IAPS)-AVP 2025 LAM Teknik, halaman 9-14, berisi 2 unsur naratif (Latar Belakang, Kebijakan) dan 11 sub-unsur IKU sub-a Pendidikan: (i) Pemutakhiran kurikulum; (ii) Profil lulusan dan kesesuaian dengan CPL; (iii) Kesesuaian CPL dengan standar kompetensi lulusan dan proses tinjauan rutin CPL; (iv) Kualitas input mahasiswa (metode rekrutmen dan seleksi); (v) RPS (ketersediaan-kelengkapan 9 komponen dan proses tinjauan rutin); (vi) Proses pembelajaran dan tinjauan rutinnya; (vii) Integrasi penelitian dan PkM dalam pembelajaran; (viii) Rasio jam pembelajaran penugasan/praktikum/praktik lapangan; (ix) Basic science dan matematika; (x) Proyek rekayasa penciri prodi (Capstone Design/Capstone Project); (xi) Suasana akademik (pengelolaan, integritas, dan kebebasan ilmiah). Diikuti unsur Analisis Faktor Keberhasilan-Penghambat dan Strategi SWOT sebagaimana pola kriteria C lainnya.</w:t>
      </w:r>
    </w:p>
    <w:p>
      <w:pPr>
        <w:pStyle w:val="ListNumber"/>
      </w:pPr>
      <w:r>
        <w:t>Kriteria C.2 Relevansi Pendidikan — Laporan Evaluasi Diri (LED) LAM INFOKOM 2.1 (2025), halaman 17-20, berisi 5 sub-butir mengikuti siklus PPEPP (2.1 Penetapan, 2.2 Pelaksanaan, 2.3 Evaluasi, 2.4 Pengendalian, 2.5 Peningkatan), masing-masing terbagi 4 unsur: (A) sarana-prasarana pendidikan, DTPR, pembiayaan pendidikan, dan penerimaan mahasiswa baru (perluasan akses, keragaman, afirmasi, berkebutuhan khusus); (B) isi pembelajaran dan rancangan kurikulum OBE (soft-hard competence, KKNI level 6, pelibatan pemangku kepentingan); (C) fleksibilitas proses pembelajaran (luring/daring/hibrida, CBL, PBL, micro-credential, RPL, suasana akademik, penilaian pembelajaran, pemenuhan beban belajar); dan (D) prestasi mahasiswa dan kompetensi lulusan (pengakuan/apresiasi DUDIKA, sebaran kerja lulusan).</w:t>
      </w:r>
    </w:p>
    <w:p>
      <w:r>
        <w:rPr>
          <w:b w:val="0"/>
          <w:sz w:val="22"/>
        </w:rPr>
        <w:t>Catatan penomoran dan cakupan: LAM Teknik memisahkan Relevansi Pendidikan (C.3 sub-a) dari Sumber Daya Manusia/Dosen (C.4), Sarana-Prasarana (C.5), dan Mahasiswa-Luaran (C.6) sebagai kriteria TERPISAH. Sebaliknya, LAM INFOKOM 2.1 membundel seluruh unsur tersebut (sarana-prasarana pendidikan, DTPR, pembiayaan pendidikan, PMB, kurikulum-OBE, proses-isi-penilaian pembelajaran, DAN prestasi/luaran mahasiswa) ke dalam SATU Kriteria C.2 Relevansi Pendidikan. Karena itu pemetaan ini turut mencakup unsur Dosen/DTPR, Sarana-Prasarana, dan Prestasi-Luaran Mahasiswa sejauh disebutkan eksplisit oleh C.2 LAM INFOKOM, walau unsur tersebut secara terpisah juga menjadi objek pemetaan lain (Kriteria C.4/C.5/C.6 LAM Teknik) di luar dokumen ini.</w:t>
      </w:r>
    </w:p>
    <w:p>
      <w:pPr>
        <w:pStyle w:val="Heading1"/>
      </w:pPr>
      <w:r>
        <w:t>2. METODE PEMETAAN</w:t>
      </w:r>
    </w:p>
    <w:p>
      <w:r>
        <w:rPr>
          <w:b w:val="0"/>
          <w:sz w:val="22"/>
        </w:rPr>
        <w:t>Setiap sub-unsur IKU pada C.3 sub-a Pendidikan (LAM Teknik) dan setiap unsur A-D pada kelima sub-butir PPEPP C.2 (LAM INFOKOM 2.1) dikelompokkan per sub-tema (kurikulum, kualitas input mahasiswa, RPS, proses pembelajaran, penilaian, dosen/DTPR, sarana-prasarana, pembiayaan, prestasi-luaran) dan dipetakan terhadap Pernyataan Standar, Strategi Pencapaian, dan/atau Indikator Kinerja pada Standar Masukan, Proses, dan Luaran Pendidikan FTII versi Unggul. Status kepatuhan dikategorikan SELARAS PENUH (unsur sumber tercermin eksplisit), SELARAS PENUH (MELAMPAUI) (FTII menetapkan ambang/cakupan lebih ketat dari sumber), atau GAP SEBAGIAN/GAP (unsur sumber belum tercermin eksplisit).</w:t>
      </w:r>
    </w:p>
    <w:p>
      <w:pPr>
        <w:pStyle w:val="Heading1"/>
      </w:pPr>
      <w:r>
        <w:t>3. TABEL PEMETAAN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Unsur C.3 LAM Teknik (sub-a Pendidikan)</w:t>
            </w:r>
          </w:p>
        </w:tc>
        <w:tc>
          <w:tcPr>
            <w:tcW w:type="dxa" w:w="2160"/>
          </w:tcPr>
          <w:p>
            <w:r/>
            <w:r>
              <w:rPr>
                <w:b/>
                <w:sz w:val="19"/>
              </w:rPr>
              <w:t>Unsur C.2 LAM INFOKOM 2.1</w:t>
            </w:r>
          </w:p>
        </w:tc>
        <w:tc>
          <w:tcPr>
            <w:tcW w:type="dxa" w:w="2160"/>
          </w:tcPr>
          <w:p>
            <w:r/>
            <w:r>
              <w:rPr>
                <w:b/>
                <w:sz w:val="19"/>
              </w:rPr>
              <w:t>Pemenuhan dalam Standar FTII</w:t>
            </w:r>
          </w:p>
        </w:tc>
        <w:tc>
          <w:tcPr>
            <w:tcW w:type="dxa" w:w="2160"/>
          </w:tcPr>
          <w:p>
            <w:r/>
            <w:r>
              <w:rPr>
                <w:b/>
                <w:sz w:val="19"/>
              </w:rPr>
              <w:t>Status</w:t>
            </w:r>
          </w:p>
        </w:tc>
      </w:tr>
      <w:tr>
        <w:tc>
          <w:tcPr>
            <w:tcW w:type="dxa" w:w="2160"/>
          </w:tcPr>
          <w:p>
            <w:r/>
            <w:r>
              <w:rPr>
                <w:b w:val="0"/>
                <w:sz w:val="19"/>
              </w:rPr>
              <w:t>(i) Pemutakhiran kurikulum — keterlibatan pemangku kepentingan internal-eksternal, di-review pakar bidang ilmu, sesuai perkembangan ipteks</w:t>
            </w:r>
          </w:p>
        </w:tc>
        <w:tc>
          <w:tcPr>
            <w:tcW w:type="dxa" w:w="2160"/>
          </w:tcPr>
          <w:p>
            <w:r/>
            <w:r>
              <w:rPr>
                <w:b w:val="0"/>
                <w:sz w:val="19"/>
              </w:rPr>
              <w:t>2.1.B / 2.2.B / 2.3.B — kebijakan, standar, kegiatan, evaluasi isi pembelajaran dan kurikulum OBE, keterlibatan/masukan pemangku kepentingan</w:t>
            </w:r>
          </w:p>
        </w:tc>
        <w:tc>
          <w:tcPr>
            <w:tcW w:type="dxa" w:w="2160"/>
          </w:tcPr>
          <w:p>
            <w:r/>
            <w:r>
              <w:rPr>
                <w:b w:val="0"/>
                <w:sz w:val="19"/>
              </w:rPr>
              <w:t>Masukan-Isi Pembelajaran: Pernyataan #3 (peninjauan kurikulum ≤4 tahun, pemangku kepentingan internal-eksternal, direview pakar bidang ilmu); Strategi #52.</w:t>
            </w:r>
          </w:p>
        </w:tc>
        <w:tc>
          <w:tcPr>
            <w:tcW w:type="dxa" w:w="2160"/>
          </w:tcPr>
          <w:p>
            <w:r/>
            <w:r>
              <w:rPr>
                <w:b w:val="0"/>
                <w:sz w:val="19"/>
              </w:rPr>
              <w:t>SELARAS PENUH</w:t>
            </w:r>
          </w:p>
        </w:tc>
      </w:tr>
      <w:tr>
        <w:tc>
          <w:tcPr>
            <w:tcW w:type="dxa" w:w="2160"/>
          </w:tcPr>
          <w:p>
            <w:r/>
            <w:r>
              <w:rPr>
                <w:b w:val="0"/>
                <w:sz w:val="19"/>
              </w:rPr>
              <w:t>(ii)-(iii) Profil lulusan, kesesuaian dengan CPL, kesesuaian CPL-standar kompetensi lulusan, proses tinjauan rutin CPL</w:t>
            </w:r>
          </w:p>
        </w:tc>
        <w:tc>
          <w:tcPr>
            <w:tcW w:type="dxa" w:w="2160"/>
          </w:tcPr>
          <w:p>
            <w:r/>
            <w:r>
              <w:rPr>
                <w:b w:val="0"/>
                <w:sz w:val="19"/>
              </w:rPr>
              <w:t>2.1.B / 2.3.B — kompetensi lulusan berbasis OBE, soft-hard competence sesuai KKNI level 6</w:t>
            </w:r>
          </w:p>
        </w:tc>
        <w:tc>
          <w:tcPr>
            <w:tcW w:type="dxa" w:w="2160"/>
          </w:tcPr>
          <w:p>
            <w:r/>
            <w:r>
              <w:rPr>
                <w:b w:val="0"/>
                <w:sz w:val="19"/>
              </w:rPr>
              <w:t>Luaran Pendidikan: Pernyataan #16-20 (profil lulusan 4 unsur, CPL 4 unsur, kompetensi lulusan 4 unsur KKNI 6, tinjauan CPL rutin); Strategi #48-49; Indikator #1-2.</w:t>
            </w:r>
          </w:p>
        </w:tc>
        <w:tc>
          <w:tcPr>
            <w:tcW w:type="dxa" w:w="2160"/>
          </w:tcPr>
          <w:p>
            <w:r/>
            <w:r>
              <w:rPr>
                <w:b w:val="0"/>
                <w:sz w:val="19"/>
              </w:rPr>
              <w:t>SELARAS PENUH</w:t>
            </w:r>
          </w:p>
        </w:tc>
      </w:tr>
      <w:tr>
        <w:tc>
          <w:tcPr>
            <w:tcW w:type="dxa" w:w="2160"/>
          </w:tcPr>
          <w:p>
            <w:r/>
            <w:r>
              <w:rPr>
                <w:b w:val="0"/>
                <w:sz w:val="19"/>
              </w:rPr>
              <w:t>(iv) Kualitas input mahasiswa — metode rekrutmen, kriteria seleksi, sistem pengambilan keputusan, prosedur PMB</w:t>
            </w:r>
          </w:p>
        </w:tc>
        <w:tc>
          <w:tcPr>
            <w:tcW w:type="dxa" w:w="2160"/>
          </w:tcPr>
          <w:p>
            <w:r/>
            <w:r>
              <w:rPr>
                <w:b w:val="0"/>
                <w:sz w:val="19"/>
              </w:rPr>
              <w:t>2.1.A / 2.2.A / 2.3.A — kebijakan penerimaan mahasiswa baru: perluasan akses, keragaman asal, program afirmasi, calon berkebutuhan khusus</w:t>
            </w:r>
          </w:p>
        </w:tc>
        <w:tc>
          <w:tcPr>
            <w:tcW w:type="dxa" w:w="2160"/>
          </w:tcPr>
          <w:p>
            <w:r/>
            <w:r>
              <w:rPr>
                <w:b w:val="0"/>
                <w:sz w:val="19"/>
              </w:rPr>
              <w:t>GAP — tidak ditemukan pernyataan/indikator eksplisit soal kebijakan PMB (seleksi, afirmasi, keragaman, berkebutuhan khusus) pada ketiga dokumen FTII yang dipetakan; kebijakan PMB dibahas pada Standar Tata Kelola FTII (Pernyataan #28), BUKAN pada rumpun Standar Pendidikan ini.</w:t>
            </w:r>
          </w:p>
        </w:tc>
        <w:tc>
          <w:tcPr>
            <w:tcW w:type="dxa" w:w="2160"/>
          </w:tcPr>
          <w:p>
            <w:r/>
            <w:r>
              <w:rPr>
                <w:b w:val="0"/>
                <w:sz w:val="19"/>
              </w:rPr>
              <w:t>GAP (unsur berada di luar cakupan dokumen ini — lihat Standar Tata Kelola)</w:t>
            </w:r>
          </w:p>
        </w:tc>
      </w:tr>
      <w:tr>
        <w:tc>
          <w:tcPr>
            <w:tcW w:type="dxa" w:w="2160"/>
          </w:tcPr>
          <w:p>
            <w:r/>
            <w:r>
              <w:rPr>
                <w:b w:val="0"/>
                <w:sz w:val="19"/>
              </w:rPr>
              <w:t>(v) RPS — ketersediaan-kelengkapan 9 komponen, kemudahan akses mahasiswa, proses tinjauan rutin</w:t>
            </w:r>
          </w:p>
        </w:tc>
        <w:tc>
          <w:tcPr>
            <w:tcW w:type="dxa" w:w="2160"/>
          </w:tcPr>
          <w:p>
            <w:r/>
            <w:r>
              <w:rPr>
                <w:b w:val="0"/>
                <w:sz w:val="19"/>
              </w:rPr>
              <w:t>2.1.C / 2.2.C / 2.3.C — fleksibilitas proses pembelajaran, penilaian pembelajaran, pemenuhan beban belajar</w:t>
            </w:r>
          </w:p>
        </w:tc>
        <w:tc>
          <w:tcPr>
            <w:tcW w:type="dxa" w:w="2160"/>
          </w:tcPr>
          <w:p>
            <w:r/>
            <w:r>
              <w:rPr>
                <w:b w:val="0"/>
                <w:sz w:val="19"/>
              </w:rPr>
              <w:t>Masukan-Isi Pembelajaran: Pernyataan #4 (RPS 9 komponen, 100% MK, aksesibel, ditinjau tahunan) dan Pernyataan #6* (tinjauan rutin RPS 4 langkah/semester); Strategi #56-57; Indikator #4, *9. Proses-Proses Pembelajaran: Pernyataan #3-4 (RPS 4 aspek, kesesuaian CPL 100%, siklus tinjauan ≤2 tahun); Indikator #2-4.</w:t>
            </w:r>
          </w:p>
        </w:tc>
        <w:tc>
          <w:tcPr>
            <w:tcW w:type="dxa" w:w="2160"/>
          </w:tcPr>
          <w:p>
            <w:r/>
            <w:r>
              <w:rPr>
                <w:b w:val="0"/>
                <w:sz w:val="19"/>
              </w:rPr>
              <w:t>SELARAS PENUH (MELAMPAUI — dua siklus tinjauan RPS: tahunan di Masukan, ≤2 tahun di Proses)</w:t>
            </w:r>
          </w:p>
        </w:tc>
      </w:tr>
      <w:tr>
        <w:tc>
          <w:tcPr>
            <w:tcW w:type="dxa" w:w="2160"/>
          </w:tcPr>
          <w:p>
            <w:r/>
            <w:r>
              <w:rPr>
                <w:b w:val="0"/>
                <w:sz w:val="19"/>
              </w:rPr>
              <w:t>(vi)-(vii) Proses pembelajaran (metode, media, interaksi dosen-mahasiswa, daya analisis kritis) dan tinjauan rutin; integrasi penelitian-PkM dalam pembelajaran</w:t>
            </w:r>
          </w:p>
        </w:tc>
        <w:tc>
          <w:tcPr>
            <w:tcW w:type="dxa" w:w="2160"/>
          </w:tcPr>
          <w:p>
            <w:r/>
            <w:r>
              <w:rPr>
                <w:b w:val="0"/>
                <w:sz w:val="19"/>
              </w:rPr>
              <w:t>2.1.C / 2.2.C / 2.3.C — fleksibilitas proses pembelajaran (luring/daring/hibrida, CBL, PBL, micro-credential, RPL)</w:t>
            </w:r>
          </w:p>
        </w:tc>
        <w:tc>
          <w:tcPr>
            <w:tcW w:type="dxa" w:w="2160"/>
          </w:tcPr>
          <w:p>
            <w:r/>
            <w:r>
              <w:rPr>
                <w:b w:val="0"/>
                <w:sz w:val="19"/>
              </w:rPr>
              <w:t>Proses-Proses Pembelajaran: Pernyataan #2 (kurikulum OBE terintegrasi PBL/CBL/data-driven/micro-credential/RPL); Pernyataan #8 (integrasi penelitian/PkM ≥25% MK, ≥4 MK/kategori/tahun); Strategi #55, #57; Indikator #5, #7-9.</w:t>
            </w:r>
          </w:p>
        </w:tc>
        <w:tc>
          <w:tcPr>
            <w:tcW w:type="dxa" w:w="2160"/>
          </w:tcPr>
          <w:p>
            <w:r/>
            <w:r>
              <w:rPr>
                <w:b w:val="0"/>
                <w:sz w:val="19"/>
              </w:rPr>
              <w:t>SELARAS PENUH</w:t>
            </w:r>
          </w:p>
        </w:tc>
      </w:tr>
      <w:tr>
        <w:tc>
          <w:tcPr>
            <w:tcW w:type="dxa" w:w="2160"/>
          </w:tcPr>
          <w:p>
            <w:r/>
            <w:r>
              <w:rPr>
                <w:b w:val="0"/>
                <w:sz w:val="19"/>
              </w:rPr>
              <w:t>(viii) Rasio jam pembelajaran penugasan/praktikum/praktik lapangan terhadap total</w:t>
            </w:r>
          </w:p>
        </w:tc>
        <w:tc>
          <w:tcPr>
            <w:tcW w:type="dxa" w:w="2160"/>
          </w:tcPr>
          <w:p>
            <w:r/>
            <w:r>
              <w:rPr>
                <w:b w:val="0"/>
                <w:sz w:val="19"/>
              </w:rPr>
              <w:t>2.1.C / 2.2.C / 2.3.C — fleksibilitas proses pembelajaran, pemenuhan beban belajar</w:t>
            </w:r>
          </w:p>
        </w:tc>
        <w:tc>
          <w:tcPr>
            <w:tcW w:type="dxa" w:w="2160"/>
          </w:tcPr>
          <w:p>
            <w:r/>
            <w:r>
              <w:rPr>
                <w:b w:val="0"/>
                <w:sz w:val="19"/>
              </w:rPr>
              <w:t>Proses-Proses Pembelajaran: Pernyataan #9 (Persentase Jam Pembelajaran Praktik/PJP, 20-50%); Strategi #56; Indikator #12.</w:t>
            </w:r>
          </w:p>
        </w:tc>
        <w:tc>
          <w:tcPr>
            <w:tcW w:type="dxa" w:w="2160"/>
          </w:tcPr>
          <w:p>
            <w:r/>
            <w:r>
              <w:rPr>
                <w:b w:val="0"/>
                <w:sz w:val="19"/>
              </w:rPr>
              <w:t>SELARAS PENUH</w:t>
            </w:r>
          </w:p>
        </w:tc>
      </w:tr>
      <w:tr>
        <w:tc>
          <w:tcPr>
            <w:tcW w:type="dxa" w:w="2160"/>
          </w:tcPr>
          <w:p>
            <w:r/>
            <w:r>
              <w:rPr>
                <w:b w:val="0"/>
                <w:sz w:val="19"/>
              </w:rPr>
              <w:t>(ix) Basic science dan matematika sebagai mata kuliah inti prodi</w:t>
            </w:r>
          </w:p>
        </w:tc>
        <w:tc>
          <w:tcPr>
            <w:tcW w:type="dxa" w:w="2160"/>
          </w:tcPr>
          <w:p>
            <w:r/>
            <w:r>
              <w:rPr>
                <w:b w:val="0"/>
                <w:sz w:val="19"/>
              </w:rPr>
              <w:t>(tidak ada unsur setara eksplisit di C.2)</w:t>
            </w:r>
          </w:p>
        </w:tc>
        <w:tc>
          <w:tcPr>
            <w:tcW w:type="dxa" w:w="2160"/>
          </w:tcPr>
          <w:p>
            <w:r/>
            <w:r>
              <w:rPr>
                <w:b w:val="0"/>
                <w:sz w:val="19"/>
              </w:rPr>
              <w:t>GAP — tidak ditemukan pernyataan/indikator eksplisit soal mata kuliah basic science/matematika sebagai kelompok mata kuliah inti pada ketiga dokumen FTII; unsur ini implisit tercakup dalam struktur kurikulum umum tetapi tidak dinyatakan/diukur terpisah.</w:t>
            </w:r>
          </w:p>
        </w:tc>
        <w:tc>
          <w:tcPr>
            <w:tcW w:type="dxa" w:w="2160"/>
          </w:tcPr>
          <w:p>
            <w:r/>
            <w:r>
              <w:rPr>
                <w:b w:val="0"/>
                <w:sz w:val="19"/>
              </w:rPr>
              <w:t>GAP</w:t>
            </w:r>
          </w:p>
        </w:tc>
      </w:tr>
      <w:tr>
        <w:tc>
          <w:tcPr>
            <w:tcW w:type="dxa" w:w="2160"/>
          </w:tcPr>
          <w:p>
            <w:r/>
            <w:r>
              <w:rPr>
                <w:b w:val="0"/>
                <w:sz w:val="19"/>
              </w:rPr>
              <w:t>(x) Proyek rekayasa penciri prodi (Capstone Design/Capstone Project) — panduan pelaksanaan, rumusan CPL mata kuliah, standar keteknikan</w:t>
            </w:r>
          </w:p>
        </w:tc>
        <w:tc>
          <w:tcPr>
            <w:tcW w:type="dxa" w:w="2160"/>
          </w:tcPr>
          <w:p>
            <w:r/>
            <w:r>
              <w:rPr>
                <w:b w:val="0"/>
                <w:sz w:val="19"/>
              </w:rPr>
              <w:t>(tidak ada unsur setara eksplisit di C.2)</w:t>
            </w:r>
          </w:p>
        </w:tc>
        <w:tc>
          <w:tcPr>
            <w:tcW w:type="dxa" w:w="2160"/>
          </w:tcPr>
          <w:p>
            <w:r/>
            <w:r>
              <w:rPr>
                <w:b w:val="0"/>
                <w:sz w:val="19"/>
              </w:rPr>
              <w:t>Masukan-Isi Pembelajaran: Pernyataan #8* (Capstone Project wajib 3-6 SKS semester 5-8, tahapan analisis-desain-implementasi-pengujian); Strategi #59; Indikator *11.</w:t>
            </w:r>
          </w:p>
        </w:tc>
        <w:tc>
          <w:tcPr>
            <w:tcW w:type="dxa" w:w="2160"/>
          </w:tcPr>
          <w:p>
            <w:r/>
            <w:r>
              <w:rPr>
                <w:b w:val="0"/>
                <w:sz w:val="19"/>
              </w:rPr>
              <w:t>SELARAS PENUH (MELAMPAUI — FTII menetapkan meski tidak diwajibkan eksplisit oleh C.2 LAM INFOKOM)</w:t>
            </w:r>
          </w:p>
        </w:tc>
      </w:tr>
      <w:tr>
        <w:tc>
          <w:tcPr>
            <w:tcW w:type="dxa" w:w="2160"/>
          </w:tcPr>
          <w:p>
            <w:r/>
            <w:r>
              <w:rPr>
                <w:b w:val="0"/>
                <w:sz w:val="19"/>
              </w:rPr>
              <w:t>(xi) Suasana akademik — pengelolaan atmosfer kondusif, integritas dan kebebasan ilmiah, mimbar akademik</w:t>
            </w:r>
          </w:p>
        </w:tc>
        <w:tc>
          <w:tcPr>
            <w:tcW w:type="dxa" w:w="2160"/>
          </w:tcPr>
          <w:p>
            <w:r/>
            <w:r>
              <w:rPr>
                <w:b w:val="0"/>
                <w:sz w:val="19"/>
              </w:rPr>
              <w:t>2.1.C / 2.2.C / 2.3.C — penciptaan suasana akademik</w:t>
            </w:r>
          </w:p>
        </w:tc>
        <w:tc>
          <w:tcPr>
            <w:tcW w:type="dxa" w:w="2160"/>
          </w:tcPr>
          <w:p>
            <w:r/>
            <w:r>
              <w:rPr>
                <w:b w:val="0"/>
                <w:sz w:val="19"/>
              </w:rPr>
              <w:t>Proses-Pengelolaan Pembelajaran: Pernyataan #1 (kebijakan suasana akademik sehat-ilmiah-inklusif-bebas kekerasan); Pernyataan #2 (kegiatan ilmiah terjadwal); Pernyataan #3 (survei kepuasan suasana akademik ≥75%→85%); Strategi #116-117; Indikator #22-23.</w:t>
            </w:r>
          </w:p>
        </w:tc>
        <w:tc>
          <w:tcPr>
            <w:tcW w:type="dxa" w:w="2160"/>
          </w:tcPr>
          <w:p>
            <w:r/>
            <w:r>
              <w:rPr>
                <w:b w:val="0"/>
                <w:sz w:val="19"/>
              </w:rPr>
              <w:t>SELARAS PENUH</w:t>
            </w:r>
          </w:p>
        </w:tc>
      </w:tr>
      <w:tr>
        <w:tc>
          <w:tcPr>
            <w:tcW w:type="dxa" w:w="2160"/>
          </w:tcPr>
          <w:p>
            <w:r/>
            <w:r>
              <w:rPr>
                <w:b w:val="0"/>
                <w:sz w:val="19"/>
              </w:rPr>
              <w:t>Dosen/DTPR — kecukupan, kualifikasi, rasio dosen:mahasiswa, jabatan fungsional, sertifikasi (unsur C.2.A LAM INFOKOM; TERPISAH sebagai C.4 tersendiri di LAM Teknik)</w:t>
            </w:r>
          </w:p>
        </w:tc>
        <w:tc>
          <w:tcPr>
            <w:tcW w:type="dxa" w:w="2160"/>
          </w:tcPr>
          <w:p>
            <w:r/>
            <w:r>
              <w:rPr>
                <w:b w:val="0"/>
                <w:sz w:val="19"/>
              </w:rPr>
              <w:t>2.1.A / 2.2.A / 2.3.A — DTPR sebagai bagian relevansi pendidikan</w:t>
            </w:r>
          </w:p>
        </w:tc>
        <w:tc>
          <w:tcPr>
            <w:tcW w:type="dxa" w:w="2160"/>
          </w:tcPr>
          <w:p>
            <w:r/>
            <w:r>
              <w:rPr>
                <w:b w:val="0"/>
                <w:sz w:val="19"/>
              </w:rPr>
              <w:t>Masukan-Dosen dan Tenaga Kependidikan: Pernyataan #1-2 (rasio 1:20-1:25, NDTPS/DTPR ≥12 orang); Strategi #96-97; Indikator #1-2 (Tabel 1).</w:t>
            </w:r>
          </w:p>
        </w:tc>
        <w:tc>
          <w:tcPr>
            <w:tcW w:type="dxa" w:w="2160"/>
          </w:tcPr>
          <w:p>
            <w:r/>
            <w:r>
              <w:rPr>
                <w:b w:val="0"/>
                <w:sz w:val="19"/>
              </w:rPr>
              <w:t>SELARAS PENUH</w:t>
            </w:r>
          </w:p>
        </w:tc>
      </w:tr>
      <w:tr>
        <w:tc>
          <w:tcPr>
            <w:tcW w:type="dxa" w:w="2160"/>
          </w:tcPr>
          <w:p>
            <w:r/>
            <w:r>
              <w:rPr>
                <w:b w:val="0"/>
                <w:sz w:val="19"/>
              </w:rPr>
              <w:t>Sarana-prasarana pendidikan — kecukupan, kelayakan, kualitas, aksesibilitas (unsur C.2.A LAM INFOKOM; TERPISAH sebagai C.5 tersendiri di LAM Teknik)</w:t>
            </w:r>
          </w:p>
        </w:tc>
        <w:tc>
          <w:tcPr>
            <w:tcW w:type="dxa" w:w="2160"/>
          </w:tcPr>
          <w:p>
            <w:r/>
            <w:r>
              <w:rPr>
                <w:b w:val="0"/>
                <w:sz w:val="19"/>
              </w:rPr>
              <w:t>2.1.A / 2.2.A / 2.3.A — sarana dan prasarana pendidikan</w:t>
            </w:r>
          </w:p>
        </w:tc>
        <w:tc>
          <w:tcPr>
            <w:tcW w:type="dxa" w:w="2160"/>
          </w:tcPr>
          <w:p>
            <w:r/>
            <w:r>
              <w:rPr>
                <w:b w:val="0"/>
                <w:sz w:val="19"/>
              </w:rPr>
              <w:t>Masukan-Sarana dan Prasarana Pembelajaran: Pernyataan #1-2 (rasio bangunan 2m²/mahasiswa, kelengkapan isi sarana akademik); Pernyataan #5 (aksesibilitas difabel 5 aspek); Strategi #135-136, #139; Indikator #1-4 (Tabel 2).</w:t>
            </w:r>
          </w:p>
        </w:tc>
        <w:tc>
          <w:tcPr>
            <w:tcW w:type="dxa" w:w="2160"/>
          </w:tcPr>
          <w:p>
            <w:r/>
            <w:r>
              <w:rPr>
                <w:b w:val="0"/>
                <w:sz w:val="19"/>
              </w:rPr>
              <w:t>SELARAS PENUH</w:t>
            </w:r>
          </w:p>
        </w:tc>
      </w:tr>
      <w:tr>
        <w:tc>
          <w:tcPr>
            <w:tcW w:type="dxa" w:w="2160"/>
          </w:tcPr>
          <w:p>
            <w:r/>
            <w:r>
              <w:rPr>
                <w:b w:val="0"/>
                <w:sz w:val="19"/>
              </w:rPr>
              <w:t>Pembiayaan pendidikan — biaya operasional per mahasiswa, sumber pendanaan (unsur C.2.A LAM INFOKOM; TERPISAH sebagai bagian C.2 Akuntabilitas di LAM Teknik)</w:t>
            </w:r>
          </w:p>
        </w:tc>
        <w:tc>
          <w:tcPr>
            <w:tcW w:type="dxa" w:w="2160"/>
          </w:tcPr>
          <w:p>
            <w:r/>
            <w:r>
              <w:rPr>
                <w:b w:val="0"/>
                <w:sz w:val="19"/>
              </w:rPr>
              <w:t>2.1.A / 2.2.A / 2.3.A — pembiayaan pendidikan</w:t>
            </w:r>
          </w:p>
        </w:tc>
        <w:tc>
          <w:tcPr>
            <w:tcW w:type="dxa" w:w="2160"/>
          </w:tcPr>
          <w:p>
            <w:r/>
            <w:r>
              <w:rPr>
                <w:b w:val="0"/>
                <w:sz w:val="19"/>
              </w:rPr>
              <w:t>Masukan-Pembiayaan Pembelajaran: Pernyataan #1 (DOP Rp18jt→Rp22jt/mahasiswa/tahun); Pernyataan #3 (diversifikasi sumber dana 5%→10%); Strategi #164, #166; Indikator #1-3 (Tabel 3).</w:t>
            </w:r>
          </w:p>
        </w:tc>
        <w:tc>
          <w:tcPr>
            <w:tcW w:type="dxa" w:w="2160"/>
          </w:tcPr>
          <w:p>
            <w:r/>
            <w:r>
              <w:rPr>
                <w:b w:val="0"/>
                <w:sz w:val="19"/>
              </w:rPr>
              <w:t>SELARAS PENUH</w:t>
            </w:r>
          </w:p>
        </w:tc>
      </w:tr>
      <w:tr>
        <w:tc>
          <w:tcPr>
            <w:tcW w:type="dxa" w:w="2160"/>
          </w:tcPr>
          <w:p>
            <w:r/>
            <w:r>
              <w:rPr>
                <w:b w:val="0"/>
                <w:sz w:val="19"/>
              </w:rPr>
              <w:t>Prestasi mahasiswa dan kompetensi lulusan — pengakuan/apresiasi DUDIKA, sebaran kerja lulusan lokal/nasional/internasional (unsur C.2.D LAM INFOKOM; TERPISAH sebagai C.6 tersendiri di LAM Teknik)</w:t>
            </w:r>
          </w:p>
        </w:tc>
        <w:tc>
          <w:tcPr>
            <w:tcW w:type="dxa" w:w="2160"/>
          </w:tcPr>
          <w:p>
            <w:r/>
            <w:r>
              <w:rPr>
                <w:b w:val="0"/>
                <w:sz w:val="19"/>
              </w:rPr>
              <w:t>2.1.D / 2.2.D / 2.3.D — prestasi mahasiswa, kompetensi lulusan, pengakuan DUDIKA, sebaran kerja lulusan</w:t>
            </w:r>
          </w:p>
        </w:tc>
        <w:tc>
          <w:tcPr>
            <w:tcW w:type="dxa" w:w="2160"/>
          </w:tcPr>
          <w:p>
            <w:r/>
            <w:r>
              <w:rPr>
                <w:b w:val="0"/>
                <w:sz w:val="19"/>
              </w:rPr>
              <w:t>Luaran Pendidikan: Pernyataan #20 (prestasi akademik/non-akademik rasio wilayah-nasional-internasional); Pernyataan #26 (kesesuaian bidang kerja); Pernyataan #28 (sebaran kerja internasional/nasional/wilayah); Pernyataan #34, #40* (pengakuan/rekognisi DUDIKA); Strategi #57, #67; Indikator #10-17, *24, *26-28.</w:t>
            </w:r>
          </w:p>
        </w:tc>
        <w:tc>
          <w:tcPr>
            <w:tcW w:type="dxa" w:w="2160"/>
          </w:tcPr>
          <w:p>
            <w:r/>
            <w:r>
              <w:rPr>
                <w:b w:val="0"/>
                <w:sz w:val="19"/>
              </w:rPr>
              <w:t>SELARAS PENUH</w:t>
            </w:r>
          </w:p>
        </w:tc>
      </w:tr>
      <w:tr>
        <w:tc>
          <w:tcPr>
            <w:tcW w:type="dxa" w:w="2160"/>
          </w:tcPr>
          <w:p>
            <w:r/>
            <w:r>
              <w:rPr>
                <w:b w:val="0"/>
                <w:sz w:val="19"/>
              </w:rPr>
              <w:t>Analisis Faktor Keberhasilan-Penghambat (root-cause) dan Strategi SWOT atas capaian kriteria</w:t>
            </w:r>
          </w:p>
        </w:tc>
        <w:tc>
          <w:tcPr>
            <w:tcW w:type="dxa" w:w="2160"/>
          </w:tcPr>
          <w:p>
            <w:r/>
            <w:r>
              <w:rPr>
                <w:b w:val="0"/>
                <w:sz w:val="19"/>
              </w:rPr>
              <w:t>2.3/2.4/2.5 [Evaluasi/Pengendalian/Peningkatan] — faktor pendukung-akar masalah, tindak lanjut, peningkatan/optimalisasi</w:t>
            </w:r>
          </w:p>
        </w:tc>
        <w:tc>
          <w:tcPr>
            <w:tcW w:type="dxa" w:w="2160"/>
          </w:tcPr>
          <w:p>
            <w:r/>
            <w:r>
              <w:rPr>
                <w:b w:val="0"/>
                <w:sz w:val="19"/>
              </w:rPr>
              <w:t>Ketiga dokumen: ketentuan lintas sub-standar root-cause analysis + SWOT tahunan (Masukan Pernyataan lintas #17; Proses Pernyataan lintas #16; Luaran Pernyataan #41*); Indikator *6/*9/*15/*18 (Masukan per sub-standar), *25 (Luaran).</w:t>
            </w:r>
          </w:p>
        </w:tc>
        <w:tc>
          <w:tcPr>
            <w:tcW w:type="dxa" w:w="2160"/>
          </w:tcPr>
          <w:p>
            <w:r/>
            <w:r>
              <w:rPr>
                <w:b w:val="0"/>
                <w:sz w:val="19"/>
              </w:rPr>
              <w:t>SELARAS PENUH</w:t>
            </w:r>
          </w:p>
        </w:tc>
      </w:tr>
    </w:tbl>
    <w:p/>
    <w:p>
      <w:pPr>
        <w:pStyle w:val="Heading1"/>
      </w:pPr>
      <w:r>
        <w:t>4. TEMUAN DAN KESIMPULAN</w:t>
      </w:r>
    </w:p>
    <w:p>
      <w:r>
        <w:rPr>
          <w:b w:val="0"/>
          <w:sz w:val="22"/>
        </w:rPr>
        <w:t>Pemetaan menemukan bahwa ketiga standar FTII (Masukan, Proses, dan Luaran Pendidikan) SECARA GABUNGAN telah SELARAS PENUH terhadap hampir seluruh 11 sub-unsur IKU C.3 sub-a Pendidikan LAM Teknik dan seluruh 4 unsur (A-D) pada kelima sub-butir PPEPP C.2 Relevansi Pendidikan LAM INFOKOM 2.1 — termasuk unsur Dosen/DTPR, Sarana-Prasarana, Pembiayaan, dan Prestasi-Luaran Mahasiswa yang dibundel C.2 LAM INFOKOM namun dipisah LAM Teknik menjadi kriteria C.4/C.5/C.6 tersendiri.</w:t>
      </w:r>
    </w:p>
    <w:p>
      <w:r>
        <w:rPr>
          <w:b w:val="0"/>
          <w:sz w:val="22"/>
        </w:rPr>
        <w:t>Ditemukan 2 (dua) GAP nyata (bukan sekadar redaksional):</w:t>
      </w:r>
    </w:p>
    <w:p>
      <w:pPr>
        <w:pStyle w:val="ListNumber"/>
      </w:pPr>
      <w:r>
        <w:t>Kualitas input mahasiswa/PMB (unsur C.3-iv LAM Teknik dan C.2.A LAM INFOKOM: metode rekrutmen, kriteria seleksi, program afirmasi, keragaman asal, calon berkebutuhan khusus) TIDAK ditemukan pada ketiga dokumen rumpun Standar Pendidikan ini — kebijakan PMB sudah diatur pada Standar Tata Kelola FTII (Pernyataan #28), di luar cakupan dokumen ini. Ini bukan gap substansial (kebijakan tetap ada di FTII), namun perlu dicatat sebagai catatan silang-referensi jika LEDPS/LED menuntut narasi PMB pada bagian Relevansi Pendidikan secara langsung, bukan hanya via rujukan ke Tata Kelola.</w:t>
      </w:r>
    </w:p>
    <w:p>
      <w:pPr>
        <w:pStyle w:val="ListNumber"/>
      </w:pPr>
      <w:r>
        <w:t>Basic science dan matematika sebagai kelompok mata kuliah inti (unsur C.3-ix LAM Teknik) belum dinyatakan/diukur secara eksplisit dan terpisah pada Standar Masukan Pendidikan — implisit tercakup dalam struktur kurikulum umum program studi, namun tidak ada pernyataan/indikator berdiri sendiri.</w:t>
      </w:r>
    </w:p>
    <w:p>
      <w:r>
        <w:rPr>
          <w:b w:val="0"/>
          <w:sz w:val="22"/>
        </w:rPr>
        <w:t>Kedua gap ini bersifat MINOR dan TIDAK menghalangi pemenuhan ambang skor tertinggi kedua instrumen, karena substansinya (kebijakan PMB, mata kuliah basic science) secara faktual sudah dilaksanakan FTII melalui dokumen lain (Tata Kelola) atau tersirat dalam struktur kurikulum — namun BELUM eksplisit dinyatakan/diukur pada rumpun Standar Pendidikan yang dipetakan di sini. Kedua gap ini dapat menjadi dasar penyempurnaan pada revisi berikutnya jika dikonfirmasi relevan bagi LEDPS/LED FTII.</w:t>
      </w:r>
    </w:p>
    <w:p>
      <w:pPr>
        <w:pStyle w:val="Heading1"/>
      </w:pPr>
      <w:r>
        <w:t>5. REFERENSI</w:t>
      </w:r>
    </w:p>
    <w:p>
      <w:pPr>
        <w:pStyle w:val="ListNumber"/>
      </w:pPr>
      <w:r>
        <w:t>Standar_Masukan_Pendidikan_Unggul_FTII.docx (revisi ke-2, FTII UNISBANK).</w:t>
      </w:r>
    </w:p>
    <w:p>
      <w:pPr>
        <w:pStyle w:val="ListNumber"/>
      </w:pPr>
      <w:r>
        <w:t>Standar_Proses_Pendidikan_Unggul_FTII.docx (revisi ke-2, FTII UNISBANK).</w:t>
      </w:r>
    </w:p>
    <w:p>
      <w:pPr>
        <w:pStyle w:val="ListNumber"/>
      </w:pPr>
      <w:r>
        <w:t>Standar_Luaran_Pendidikan_Unggul_FTII.docx (FTII UNISBANK).</w:t>
      </w:r>
    </w:p>
    <w:p>
      <w:pPr>
        <w:pStyle w:val="ListNumber"/>
      </w:pPr>
      <w:r>
        <w:t>Pedoman Penyusunan LEDPS – Instrumen Akreditasi Program Studi (IAPS)-AVP 2025, LAM Teknik, Kriteria C.3 Relevansi Pendidikan, Penelitian, dan PkM (sub-a Pendidikan), halaman 9-14.</w:t>
      </w:r>
    </w:p>
    <w:p>
      <w:pPr>
        <w:pStyle w:val="ListNumber"/>
      </w:pPr>
      <w:r>
        <w:t>Laporan Evaluasi Diri LAM INFOKOM 2.1 (2025), Instrumen APS untuk Perolehan dan Perpanjangan Status Terakreditasi Unggul S1-LED, Kriteria C.2 Relevansi Pendidikan, halaman 17-20.</w:t>
      </w:r>
    </w:p>
    <w:p/>
    <w:p>
      <w:r>
        <w:rPr>
          <w:b w:val="0"/>
          <w:sz w:val="22"/>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