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6"/>
        </w:rPr>
        <w:t>PEMETAAN STANDAR MASUKAN, PROSES, DAN LUARAN PENELITIAN FTII</w:t>
      </w:r>
    </w:p>
    <w:p>
      <w:pPr>
        <w:jc w:val="center"/>
      </w:pPr>
      <w:r>
        <w:rPr>
          <w:b/>
          <w:sz w:val="22"/>
        </w:rPr>
        <w:t>TERHADAP KRITERIA C.3 RELEVANSI PENDIDIKAN, PENELITIAN, DAN PKM (SUB-B PENELITIAN) PEDOMAN PENYUSUNAN LEDPS LAM TEKNIK 2025</w:t>
      </w:r>
    </w:p>
    <w:p>
      <w:pPr>
        <w:jc w:val="center"/>
      </w:pPr>
      <w:r>
        <w:rPr>
          <w:b/>
          <w:sz w:val="22"/>
        </w:rPr>
        <w:t>DAN KRITERIA C.3 RELEVANSI PENELITIAN LAPORAN EVALUASI DIRI LAM INFOKOM 2.1 (2025)</w:t>
      </w:r>
    </w:p>
    <w:p/>
    <w:p>
      <w:r>
        <w:rPr>
          <w:b/>
          <w:sz w:val="24"/>
        </w:rPr>
        <w:t>1. TUJUAN PEMETAAN</w:t>
      </w:r>
    </w:p>
    <w:p>
      <w:pPr>
        <w:spacing w:after="120"/>
      </w:pPr>
      <w:r>
        <w:rPr>
          <w:sz w:val="21"/>
        </w:rPr>
        <w:t>Dokumen ini memetakan kepatuhan TIGA standar FTII UNISBANK — standarmasukanpenelitianunggul.docx (4 sub-standar: Peneliti, Sarana dan Prasarana Penelitian, Pengelolaan Penelitian, Pendanaan dan Pembiayaan Penelitian), standarprosespenelitianunggul.docx (3 sub-standar: Perencanaan Penelitian, Pelaksanaan Penelitian, Etika dan Pengelolaan Penelitian), dan standarluaranpenelitianunggul.docx (struktur flat, 19 indikator) — terhadap dua kriteria akreditasi yang membahas relevansi penelitian, guna memverifikasi kesiapan FTII mencapai status Terakreditasi Unggul.</w:t>
      </w:r>
    </w:p>
    <w:p>
      <w:pPr>
        <w:spacing w:after="120"/>
      </w:pPr>
      <w:r>
        <w:rPr>
          <w:sz w:val="21"/>
        </w:rPr>
        <w:t>Kriteria C.3 Relevansi Pendidikan, Penelitian, dan PkM, sub-b (Penelitian) — Pedoman Penyusunan LEDPS Instrumen Akreditasi Program Studi (IAPS)-AVP 2025 LAM Teknik, halaman 14-15, berisi 3 unsur naratif dalam Indikator Kinerja Utama (IKU): (i) Kesesuaian penelitian dalam mendukung VMTS UPPS dan visi keilmuan program studi (4 unsur: peta jalan mendukung VMTS, memayungi tema dosen-mahasiswa, evaluasi berkala, dampak positif masyarakat); (ii) Penelitian DTPS yang melibatkan mahasiswa (kesesuaian data penelitian DTPS dengan peta jalan dan pelibatan mahasiswa 3 tahun terakhir); (iii) Penelitian DTPS yang menjadi rujukan tema tesis/disertasi (KHUSUS program Magister/Magister Terapan/Doktor/Doktor Terapan — TIDAK berlaku untuk program Sarjana). Ditambah unsur c.iii "Dana Penelitian DTPS" pada bagian Keuangan (C.2 LAM Teknik, halaman 8) yang relevan disandingkan di sini karena membahas pembiayaan penelitian.</w:t>
      </w:r>
    </w:p>
    <w:p>
      <w:pPr>
        <w:spacing w:after="120"/>
      </w:pPr>
      <w:r>
        <w:rPr>
          <w:sz w:val="21"/>
        </w:rPr>
        <w:t>Kriteria C.3 Relevansi Penelitian — Laporan Evaluasi Diri (LED) LAM INFOKOM 2.1 (2025), halaman 17-19, berisi 5 sub-butir mengikuti siklus PPEPP (3.1 Penetapan, 3.2 Pelaksanaan, 3.3 Evaluasi, 3.4 Pengendalian, 3.5 Peningkatan), masing-masing terdiri atas 3 unsur A-C: (A) sarana-prasarana penelitian, DTPR, pembiayaan penelitian, dan peta jalan penelitian; (B) implementasi peta jalan penelitian dan pelibatan mahasiswa berdasarkan VMTS PT-UPPS-Prodi serta kebutuhan masyarakat/DUDIKA; (C) perolehan hibah penelitian, kerjasama penelitian, publikasi (lokal/nasional/internasional), perolehan HKI, serta keberlanjutan penelitian.</w:t>
      </w:r>
    </w:p>
    <w:p>
      <w:pPr>
        <w:spacing w:after="120"/>
      </w:pPr>
      <w:r>
        <w:rPr>
          <w:sz w:val="21"/>
        </w:rPr>
        <w:t>Catatan penomoran dan cakupan: LAM Teknik memisahkan Relevansi Penelitian (C.3 sub-b) dari Dosen/SDM (C.4, termasuk kinerja publikasi-HKI-sitasi DTPS), Sarana-Prasarana (C.5), dan Keuangan/Dana Penelitian (C.2 unsur c.iii) sebagai kriteria/unsur TERPISAH — sehingga unsur "sarana-prasarana penelitian" dan "dana penelitian" pada C.3 LAM Teknik hanya disinggung sepintas di kriteria lain, bukan di C.3 itu sendiri. Sebaliknya, C.3 LAM INFOKOM 2.1 MENGGABUNGKAN sarana-prasarana, DTPR, pembiayaan, peta jalan, pelibatan mahasiswa, hibah, kerjasama, publikasi, dan HKI SEKALIGUS dalam satu kriteria. Pemetaan berikut memperhitungkan kedua cakupan berbeda ini secara eksplisit.</w:t>
      </w:r>
    </w:p>
    <w:p>
      <w:r>
        <w:rPr>
          <w:b/>
          <w:sz w:val="24"/>
        </w:rPr>
        <w:t>2. METODE PEMETAAN</w:t>
      </w:r>
    </w:p>
    <w:p>
      <w:pPr>
        <w:spacing w:after="120"/>
      </w:pPr>
      <w:r>
        <w:rPr>
          <w:sz w:val="21"/>
        </w:rPr>
        <w:t>Setiap unsur IKU pada C.3 sub-b Penelitian (LAM Teknik, termasuk unsur c.iii Dana Penelitian DTPS dari C.2) dan setiap unsur A-C pada kelima sub-butir PPEPP C.3 (LAM INFOKOM 2.1) dikelompokkan per sub-tema (kesesuaian roadmap/VMTS, pelibatan mahasiswa, sarana-prasarana-DTPR-pembiayaan, hibah-kerjasama, publikasi-HKI, keberlanjutan), kemudian dipetakan terhadap Pernyataan Standar, Strategi Pencapaian, dan/atau Indikator Kinerja pada ketiga standar FTII (Masukan/Proses/Luaran Penelitian) yang relevan. Status kepatuhan dikategorikan: SELARAS PENUH (unsur tercakup eksplisit dan setara/melampaui ambang tertinggi kedua instrumen), MELAMPAUI (praktik unggulan FTII di luar tuntutan eksplisit sumber), TIDAK BERLAKU (unsur sumber tidak relevan untuk program Sarjana), atau GAP (unsur sumber belum tercakup eksplisit pada ketiga standar FTII).</w:t>
      </w:r>
    </w:p>
    <w:p>
      <w:r>
        <w:rPr>
          <w:b/>
          <w:sz w:val="24"/>
        </w:rPr>
        <w:t>3. TABEL PEMETAAN</w:t>
      </w:r>
    </w:p>
    <w:p/>
    <w:tbl>
      <w:tblPr>
        <w:tblStyle w:val="TableGrid"/>
        <w:tblW w:type="auto" w:w="0"/>
        <w:tblLook w:firstColumn="1" w:firstRow="1" w:lastColumn="0" w:lastRow="0" w:noHBand="0" w:noVBand="1" w:val="04A0"/>
      </w:tblPr>
      <w:tblGrid>
        <w:gridCol w:w="2160"/>
        <w:gridCol w:w="2160"/>
        <w:gridCol w:w="2160"/>
        <w:gridCol w:w="2160"/>
      </w:tblGrid>
      <w:tr>
        <w:tc>
          <w:tcPr>
            <w:tcW w:type="dxa" w:w="2438"/>
          </w:tcPr>
          <w:p>
            <w:r/>
            <w:r>
              <w:rPr>
                <w:b/>
                <w:sz w:val="18"/>
              </w:rPr>
              <w:t>Unsur C.3 sub-b LAM Teknik (+ c.iii Dana Penelitian DTPS)</w:t>
            </w:r>
          </w:p>
        </w:tc>
        <w:tc>
          <w:tcPr>
            <w:tcW w:type="dxa" w:w="2438"/>
          </w:tcPr>
          <w:p>
            <w:r/>
            <w:r>
              <w:rPr>
                <w:b/>
                <w:sz w:val="18"/>
              </w:rPr>
              <w:t>Unsur C.3 LAM INFOKOM 2.1</w:t>
            </w:r>
          </w:p>
        </w:tc>
        <w:tc>
          <w:tcPr>
            <w:tcW w:type="dxa" w:w="3855"/>
          </w:tcPr>
          <w:p>
            <w:r/>
            <w:r>
              <w:rPr>
                <w:b/>
                <w:sz w:val="18"/>
              </w:rPr>
              <w:t>Pemenuhan dalam Standar FTII</w:t>
            </w:r>
          </w:p>
        </w:tc>
        <w:tc>
          <w:tcPr>
            <w:tcW w:type="dxa" w:w="1474"/>
          </w:tcPr>
          <w:p>
            <w:r/>
            <w:r>
              <w:rPr>
                <w:b/>
                <w:sz w:val="18"/>
              </w:rPr>
              <w:t>Status</w:t>
            </w:r>
          </w:p>
        </w:tc>
      </w:tr>
      <w:tr>
        <w:tc>
          <w:tcPr>
            <w:tcW w:type="dxa" w:w="2438"/>
          </w:tcPr>
          <w:p>
            <w:r/>
            <w:r>
              <w:rPr>
                <w:sz w:val="18"/>
              </w:rPr>
              <w:t>(i) Kesesuaian penelitian dgn VMTS-visi keilmuan: peta jalan mendukung VMTS; memayungi tema dosen-mahasiswa; evaluasi berkala keselarasan visi.</w:t>
            </w:r>
          </w:p>
        </w:tc>
        <w:tc>
          <w:tcPr>
            <w:tcW w:type="dxa" w:w="2438"/>
          </w:tcPr>
          <w:p>
            <w:r/>
            <w:r>
              <w:rPr>
                <w:sz w:val="18"/>
              </w:rPr>
              <w:t>3.1.A / 3.2.A / 3.3.A — kebijakan, pelaksanaan, evaluasi sarana-prasarana, DTPR, pembiayaan, dan peta jalan penelitian.</w:t>
            </w:r>
          </w:p>
        </w:tc>
        <w:tc>
          <w:tcPr>
            <w:tcW w:type="dxa" w:w="3855"/>
          </w:tcPr>
          <w:p>
            <w:r/>
            <w:r>
              <w:rPr>
                <w:sz w:val="18"/>
              </w:rPr>
              <w:t>Proses Penelitian (Perencanaan) Pernyataan #27 (RIP/roadmap selaras VMTS) + #28 (90%→100% penelitian dosen selaras roadmap) + #29 (sosialisasi ≥1x/tahun); Masukan Penelitian (Pengelolaan) Pernyataan #90 (Renstra+roadmap memuat 5 unsur wajib, termasuk evaluasi berkala dan orientasi dampak masyarakat).</w:t>
            </w:r>
          </w:p>
        </w:tc>
        <w:tc>
          <w:tcPr>
            <w:tcW w:type="dxa" w:w="1474"/>
          </w:tcPr>
          <w:p>
            <w:r/>
            <w:r>
              <w:rPr>
                <w:sz w:val="18"/>
              </w:rPr>
              <w:t>SELARAS PENUH</w:t>
            </w:r>
          </w:p>
        </w:tc>
      </w:tr>
      <w:tr>
        <w:tc>
          <w:tcPr>
            <w:tcW w:type="dxa" w:w="2438"/>
          </w:tcPr>
          <w:p>
            <w:r/>
            <w:r>
              <w:rPr>
                <w:sz w:val="18"/>
              </w:rPr>
              <w:t>(i)-lanjutan Dampak positif bagi masyarakat dari peta jalan penelitian (unsur ke-4 dari 4 unsur).</w:t>
            </w:r>
          </w:p>
        </w:tc>
        <w:tc>
          <w:tcPr>
            <w:tcW w:type="dxa" w:w="2438"/>
          </w:tcPr>
          <w:p>
            <w:r/>
            <w:r>
              <w:rPr>
                <w:sz w:val="18"/>
              </w:rPr>
              <w:t>3.1.C / 3.3.C — keberlanjutan penelitian (cakupan luas, termasuk orientasi dampak).</w:t>
            </w:r>
          </w:p>
        </w:tc>
        <w:tc>
          <w:tcPr>
            <w:tcW w:type="dxa" w:w="3855"/>
          </w:tcPr>
          <w:p>
            <w:r/>
            <w:r>
              <w:rPr>
                <w:sz w:val="18"/>
              </w:rPr>
              <w:t>Standar Luaran Penelitian Pernyataan #25 ("luaran penelitian harus mendukung pengembangan ilmu pengetahuan, teknologi, inovasi, serta memberikan kontribusi terhadap peningkatan kualitas pembelajaran dan PkM") — bersifat NARATIF, tanpa indikator kuantitatif dedicated (konsisten dengan temuan pemetaan luaran penelitian sebelumnya, yang mengonfirmasi unsur ini memang tidak dituntut sebagai IKU terukur oleh kedua instrumen).</w:t>
            </w:r>
          </w:p>
        </w:tc>
        <w:tc>
          <w:tcPr>
            <w:tcW w:type="dxa" w:w="1474"/>
          </w:tcPr>
          <w:p>
            <w:r/>
            <w:r>
              <w:rPr>
                <w:sz w:val="18"/>
              </w:rPr>
              <w:t>SELARAS (kualitatif)</w:t>
            </w:r>
          </w:p>
        </w:tc>
      </w:tr>
      <w:tr>
        <w:tc>
          <w:tcPr>
            <w:tcW w:type="dxa" w:w="2438"/>
          </w:tcPr>
          <w:p>
            <w:r/>
            <w:r>
              <w:rPr>
                <w:sz w:val="18"/>
              </w:rPr>
              <w:t>(ii) Penelitian DTPS melibatkan mahasiswa: kesesuaian data penelitian dgn peta jalan + pelibatan mahasiswa 3 tahun terakhir.</w:t>
            </w:r>
          </w:p>
        </w:tc>
        <w:tc>
          <w:tcPr>
            <w:tcW w:type="dxa" w:w="2438"/>
          </w:tcPr>
          <w:p>
            <w:r/>
            <w:r>
              <w:rPr>
                <w:sz w:val="18"/>
              </w:rPr>
              <w:t>3.1.B / 3.2.B / 3.3.B — implementasi peta jalan penelitian dan pelibatan mahasiswa berdasarkan VMTS PT-UPPS-Prodi serta kebutuhan masyarakat/DUDIKA.</w:t>
            </w:r>
          </w:p>
        </w:tc>
        <w:tc>
          <w:tcPr>
            <w:tcW w:type="dxa" w:w="3855"/>
          </w:tcPr>
          <w:p>
            <w:r/>
            <w:r>
              <w:rPr>
                <w:sz w:val="18"/>
              </w:rPr>
              <w:t>Proses Penelitian (Pelaksanaan) Pernyataan #53 (100% penelitian dosen melibatkan mahasiswa, 25%→30% mahasiswa terlibat) + #54 (co-author mahasiswa 75%→80%); Strategi #62.</w:t>
            </w:r>
          </w:p>
        </w:tc>
        <w:tc>
          <w:tcPr>
            <w:tcW w:type="dxa" w:w="1474"/>
          </w:tcPr>
          <w:p>
            <w:r/>
            <w:r>
              <w:rPr>
                <w:sz w:val="18"/>
              </w:rPr>
              <w:t>SELARAS PENUH (melampaui — co-author eksplisit ditargetkan, tidak sekadar keterlibatan)</w:t>
            </w:r>
          </w:p>
        </w:tc>
      </w:tr>
      <w:tr>
        <w:tc>
          <w:tcPr>
            <w:tcW w:type="dxa" w:w="2438"/>
          </w:tcPr>
          <w:p>
            <w:r/>
            <w:r>
              <w:rPr>
                <w:sz w:val="18"/>
              </w:rPr>
              <w:t>(iii) Penelitian DTPS rujukan tema tesis/disertasi mahasiswa — KHUSUS program Magister/Magister Terapan/Doktor/Doktor Terapan.</w:t>
            </w:r>
          </w:p>
        </w:tc>
        <w:tc>
          <w:tcPr>
            <w:tcW w:type="dxa" w:w="2438"/>
          </w:tcPr>
          <w:p>
            <w:r/>
            <w:r>
              <w:rPr>
                <w:sz w:val="18"/>
              </w:rPr>
              <w:t>— (tidak ada padanan eksplisit; LAM INFOKOM 2.1 LED S1 ini juga untuk jenjang Sarjana).</w:t>
            </w:r>
          </w:p>
        </w:tc>
        <w:tc>
          <w:tcPr>
            <w:tcW w:type="dxa" w:w="3855"/>
          </w:tcPr>
          <w:p>
            <w:r/>
            <w:r>
              <w:rPr>
                <w:sz w:val="18"/>
              </w:rPr>
              <w:t>TIDAK BERLAKU — FTII menyelenggarakan program Sarjana (S1); unsur ini secara eksplisit hanya disyaratkan LAM Teknik untuk program Magister/Doktor, bukan Sarjana.</w:t>
            </w:r>
          </w:p>
        </w:tc>
        <w:tc>
          <w:tcPr>
            <w:tcW w:type="dxa" w:w="1474"/>
          </w:tcPr>
          <w:p>
            <w:r/>
            <w:r>
              <w:rPr>
                <w:sz w:val="18"/>
              </w:rPr>
              <w:t>TIDAK BERLAKU</w:t>
            </w:r>
          </w:p>
        </w:tc>
      </w:tr>
      <w:tr>
        <w:tc>
          <w:tcPr>
            <w:tcW w:type="dxa" w:w="2438"/>
          </w:tcPr>
          <w:p>
            <w:r/>
            <w:r>
              <w:rPr>
                <w:sz w:val="18"/>
              </w:rPr>
              <w:t>Dana Penelitian DTPS (unsur c.iii, bagian Keuangan C.2): rerata dana penelitian DTPS per tahun, ambang skor 4 ≥Rp10.000.000.</w:t>
            </w:r>
          </w:p>
        </w:tc>
        <w:tc>
          <w:tcPr>
            <w:tcW w:type="dxa" w:w="2438"/>
          </w:tcPr>
          <w:p>
            <w:r/>
            <w:r>
              <w:rPr>
                <w:sz w:val="18"/>
              </w:rPr>
              <w:t>3.1.A / 3.2.A / 3.3.A — pembiayaan penelitian (bagian dari unsur A bersama sarana-prasarana dan DTPR).</w:t>
            </w:r>
          </w:p>
        </w:tc>
        <w:tc>
          <w:tcPr>
            <w:tcW w:type="dxa" w:w="3855"/>
          </w:tcPr>
          <w:p>
            <w:r/>
            <w:r>
              <w:rPr>
                <w:sz w:val="18"/>
              </w:rPr>
              <w:t>Masukan Penelitian (Pendanaan) Pernyataan #114 (dana penelitian per dosen ≥Rp20.000.000→Rp25.000.000, eksplisit "tetap melampaui ambang skor sempurna LAM Teknik ≥Rp10.000.000") + Indikator #1 Tabel 3.</w:t>
            </w:r>
          </w:p>
        </w:tc>
        <w:tc>
          <w:tcPr>
            <w:tcW w:type="dxa" w:w="1474"/>
          </w:tcPr>
          <w:p>
            <w:r/>
            <w:r>
              <w:rPr>
                <w:sz w:val="18"/>
              </w:rPr>
              <w:t>MELAMPAUI (2x ambang skor 4 LAM Teknik)</w:t>
            </w:r>
          </w:p>
        </w:tc>
      </w:tr>
      <w:tr>
        <w:tc>
          <w:tcPr>
            <w:tcW w:type="dxa" w:w="2438"/>
          </w:tcPr>
          <w:p>
            <w:r/>
            <w:r>
              <w:rPr>
                <w:sz w:val="18"/>
              </w:rPr>
              <w:t>Sarana dan prasarana penelitian — tidak dibahas eksplisit sebagai unsur C.3 LAM Teknik (dibahas terpisah di C.5 Sarana-Prasarana).</w:t>
            </w:r>
          </w:p>
        </w:tc>
        <w:tc>
          <w:tcPr>
            <w:tcW w:type="dxa" w:w="2438"/>
          </w:tcPr>
          <w:p>
            <w:r/>
            <w:r>
              <w:rPr>
                <w:sz w:val="18"/>
              </w:rPr>
              <w:t>3.1.A / 3.2.A / 3.3.A — sarana dan prasarana penelitian (unsur A, digabung bersama DTPR dan pembiayaan).</w:t>
            </w:r>
          </w:p>
        </w:tc>
        <w:tc>
          <w:tcPr>
            <w:tcW w:type="dxa" w:w="3855"/>
          </w:tcPr>
          <w:p>
            <w:r/>
            <w:r>
              <w:rPr>
                <w:sz w:val="18"/>
              </w:rPr>
              <w:t>Masukan Penelitian (Sarana dan Prasarana Penelitian) Pernyataan #64 (checklist 4 unsur: ruang LPPM/DPPMP, sarana, prasarana, K3) + #65 (pemanfaatan-kemutakhiran-aksesibilitas 85%→100%) + #67 (SIRISBANK 85%→100%).</w:t>
            </w:r>
          </w:p>
        </w:tc>
        <w:tc>
          <w:tcPr>
            <w:tcW w:type="dxa" w:w="1474"/>
          </w:tcPr>
          <w:p>
            <w:r/>
            <w:r>
              <w:rPr>
                <w:sz w:val="18"/>
              </w:rPr>
              <w:t>SELARAS PENUH</w:t>
            </w:r>
          </w:p>
        </w:tc>
      </w:tr>
      <w:tr>
        <w:tc>
          <w:tcPr>
            <w:tcW w:type="dxa" w:w="2438"/>
          </w:tcPr>
          <w:p>
            <w:r/>
            <w:r>
              <w:rPr>
                <w:sz w:val="18"/>
              </w:rPr>
              <w:t>Pengembangan DTPR/DTPS di bidang penelitian — tidak dibahas eksplisit sebagai unsur C.3 LAM Teknik (kompetensi peneliti dibahas di C.4 SDM: kinerja publikasi-HKI-sitasi DTPS).</w:t>
            </w:r>
          </w:p>
        </w:tc>
        <w:tc>
          <w:tcPr>
            <w:tcW w:type="dxa" w:w="2438"/>
          </w:tcPr>
          <w:p>
            <w:r/>
            <w:r>
              <w:rPr>
                <w:sz w:val="18"/>
              </w:rPr>
              <w:t>Disebutkan dalam kalimat pembuka C.3 ("...serta pengembangan DTPR di bidang penelitian"), namun TIDAK dirinci sebagai unsur A/B/C tersendiri pada kelima sub-butir PPEPP.</w:t>
            </w:r>
          </w:p>
        </w:tc>
        <w:tc>
          <w:tcPr>
            <w:tcW w:type="dxa" w:w="3855"/>
          </w:tcPr>
          <w:p>
            <w:r/>
            <w:r>
              <w:rPr>
                <w:sz w:val="18"/>
              </w:rPr>
              <w:t>Masukan Penelitian (Peneliti) Pernyataan #37 (≥3 kegiatan pengembangan kompetensi peneliti/tahun, 95% dosen partisipasi) + #38 (penghargaan nasional/internasional) + #39 (mobilitas sabbatical/post-doc).</w:t>
            </w:r>
          </w:p>
        </w:tc>
        <w:tc>
          <w:tcPr>
            <w:tcW w:type="dxa" w:w="1474"/>
          </w:tcPr>
          <w:p>
            <w:r/>
            <w:r>
              <w:rPr>
                <w:sz w:val="18"/>
              </w:rPr>
              <w:t>SELARAS (melampaui cakupan eksplisit C.3, mengisi kesenjangan sistematika sumber)</w:t>
            </w:r>
          </w:p>
        </w:tc>
      </w:tr>
      <w:tr>
        <w:tc>
          <w:tcPr>
            <w:tcW w:type="dxa" w:w="2438"/>
          </w:tcPr>
          <w:p>
            <w:r/>
            <w:r>
              <w:rPr>
                <w:sz w:val="18"/>
              </w:rPr>
              <w:t>(c.i) Kesesuaian penelitian → perolehan hibah (implisit, dibahas detail di C.4 Kinerja DTPS: publikasi, HKI, sitasi).</w:t>
            </w:r>
          </w:p>
        </w:tc>
        <w:tc>
          <w:tcPr>
            <w:tcW w:type="dxa" w:w="2438"/>
          </w:tcPr>
          <w:p>
            <w:r/>
            <w:r>
              <w:rPr>
                <w:sz w:val="18"/>
              </w:rPr>
              <w:t>3.1.C / 3.2.C / 3.3.C — perolehan hibah penelitian, kerjasama penelitian.</w:t>
            </w:r>
          </w:p>
        </w:tc>
        <w:tc>
          <w:tcPr>
            <w:tcW w:type="dxa" w:w="3855"/>
          </w:tcPr>
          <w:p>
            <w:r/>
            <w:r>
              <w:rPr>
                <w:sz w:val="18"/>
              </w:rPr>
              <w:t>Proses Penelitian (Pelaksanaan) Pernyataan #50 (sumber pendanaan terdiversifikasi internasional/nasional/mandiri) + #51 (hibah eksternal 5→15 judul/tahun) + #52 (30%→60% dosen memperoleh hibah eksternal); label ambang telah dikoreksi menjadi "target internal FTII" (bukan kutipan langsung LAM Teknik, karena kata "hibah" tidak ditemukan literal di C.3/C.4 LAM Teknik).</w:t>
            </w:r>
          </w:p>
        </w:tc>
        <w:tc>
          <w:tcPr>
            <w:tcW w:type="dxa" w:w="1474"/>
          </w:tcPr>
          <w:p>
            <w:r/>
            <w:r>
              <w:rPr>
                <w:sz w:val="18"/>
              </w:rPr>
              <w:t>SELARAS PENUH (indikator internal FTII, tidak bertentangan)</w:t>
            </w:r>
          </w:p>
        </w:tc>
      </w:tr>
      <w:tr>
        <w:tc>
          <w:tcPr>
            <w:tcW w:type="dxa" w:w="2438"/>
          </w:tcPr>
          <w:p>
            <w:r/>
            <w:r>
              <w:rPr>
                <w:sz w:val="18"/>
              </w:rPr>
              <w:t>— (kerjasama penelitian tidak dibahas eksplisit di C.3 LAM Teknik, dibahas di C.2 Kerja Sama unsur b).</w:t>
            </w:r>
          </w:p>
        </w:tc>
        <w:tc>
          <w:tcPr>
            <w:tcW w:type="dxa" w:w="2438"/>
          </w:tcPr>
          <w:p>
            <w:r/>
            <w:r>
              <w:rPr>
                <w:sz w:val="18"/>
              </w:rPr>
              <w:t>3.1.C / 3.2.C / 3.3.C — kerjasama penelitian (lokal, nasional, internasional).</w:t>
            </w:r>
          </w:p>
        </w:tc>
        <w:tc>
          <w:tcPr>
            <w:tcW w:type="dxa" w:w="3855"/>
          </w:tcPr>
          <w:p>
            <w:r/>
            <w:r>
              <w:rPr>
                <w:sz w:val="18"/>
              </w:rPr>
              <w:t>Proses Penelitian (Pelaksanaan) Pernyataan #57 (kerja sama DUDIKA/pemerintah/PT nasional/PT internasional meningkat tiap tahun, Indikator #9 Tabel 1).</w:t>
            </w:r>
          </w:p>
        </w:tc>
        <w:tc>
          <w:tcPr>
            <w:tcW w:type="dxa" w:w="1474"/>
          </w:tcPr>
          <w:p>
            <w:r/>
            <w:r>
              <w:rPr>
                <w:sz w:val="18"/>
              </w:rPr>
              <w:t>SELARAS PENUH</w:t>
            </w:r>
          </w:p>
        </w:tc>
      </w:tr>
      <w:tr>
        <w:tc>
          <w:tcPr>
            <w:tcW w:type="dxa" w:w="2438"/>
          </w:tcPr>
          <w:p>
            <w:r/>
            <w:r>
              <w:rPr>
                <w:sz w:val="18"/>
              </w:rPr>
              <w:t>Publikasi ilmiah DTPS (dibahas di C.4 Kinerja DTPS, bukan C.3 — publikasi jurnal bereputasi, sitasi, penulis utama/korespondensi).</w:t>
            </w:r>
          </w:p>
        </w:tc>
        <w:tc>
          <w:tcPr>
            <w:tcW w:type="dxa" w:w="2438"/>
          </w:tcPr>
          <w:p>
            <w:r/>
            <w:r>
              <w:rPr>
                <w:sz w:val="18"/>
              </w:rPr>
              <w:t>3.1.C / 3.2.C / 3.3.C — publikasi baik lingkup lokal, nasional, dan internasional.</w:t>
            </w:r>
          </w:p>
        </w:tc>
        <w:tc>
          <w:tcPr>
            <w:tcW w:type="dxa" w:w="3855"/>
          </w:tcPr>
          <w:p>
            <w:r/>
            <w:r>
              <w:rPr>
                <w:sz w:val="18"/>
              </w:rPr>
              <w:t>Standar Luaran Penelitian Pernyataan #21 (publikasi internasional seluruh jenis ≥20%, bereputasi ≥10%) + #22 (publikasi nasional terakreditasi ≥30%) + Indikator #6-9 Tabel 1.</w:t>
            </w:r>
          </w:p>
        </w:tc>
        <w:tc>
          <w:tcPr>
            <w:tcW w:type="dxa" w:w="1474"/>
          </w:tcPr>
          <w:p>
            <w:r/>
            <w:r>
              <w:rPr>
                <w:sz w:val="18"/>
              </w:rPr>
              <w:t>SELARAS PENUH</w:t>
            </w:r>
          </w:p>
        </w:tc>
      </w:tr>
      <w:tr>
        <w:tc>
          <w:tcPr>
            <w:tcW w:type="dxa" w:w="2438"/>
          </w:tcPr>
          <w:p>
            <w:r/>
            <w:r>
              <w:rPr>
                <w:sz w:val="18"/>
              </w:rPr>
              <w:t>Luaran penelitian memperoleh HKI (Paten/Paten Sederhana, teknologi tepat guna, produk, buku ber-ISBN, book chapter) — dibahas di C.4 Kinerja DTPS.</w:t>
            </w:r>
          </w:p>
        </w:tc>
        <w:tc>
          <w:tcPr>
            <w:tcW w:type="dxa" w:w="2438"/>
          </w:tcPr>
          <w:p>
            <w:r/>
            <w:r>
              <w:rPr>
                <w:sz w:val="18"/>
              </w:rPr>
              <w:t>3.1.C / 3.2.C / 3.3.C — perolehan HKI.</w:t>
            </w:r>
          </w:p>
        </w:tc>
        <w:tc>
          <w:tcPr>
            <w:tcW w:type="dxa" w:w="3855"/>
          </w:tcPr>
          <w:p>
            <w:r/>
            <w:r>
              <w:rPr>
                <w:sz w:val="18"/>
              </w:rPr>
              <w:t>Standar Luaran Penelitian Pernyataan #23 (HKI Paten ≥3/tahun, HKI Non-Paten ≥10/tahun) + #24 (buku ber-ISBN/book chapter →30%); Indikator #10-12 Tabel 1.</w:t>
            </w:r>
          </w:p>
        </w:tc>
        <w:tc>
          <w:tcPr>
            <w:tcW w:type="dxa" w:w="1474"/>
          </w:tcPr>
          <w:p>
            <w:r/>
            <w:r>
              <w:rPr>
                <w:sz w:val="18"/>
              </w:rPr>
              <w:t>SELARAS PENUH</w:t>
            </w:r>
          </w:p>
        </w:tc>
      </w:tr>
      <w:tr>
        <w:tc>
          <w:tcPr>
            <w:tcW w:type="dxa" w:w="2438"/>
          </w:tcPr>
          <w:p>
            <w:r/>
            <w:r>
              <w:rPr>
                <w:sz w:val="18"/>
              </w:rPr>
              <w:t>— (keberlanjutan penelitian sebagai konsep eksplisit tidak ditemukan literal di C.3 LAM Teknik).</w:t>
            </w:r>
          </w:p>
        </w:tc>
        <w:tc>
          <w:tcPr>
            <w:tcW w:type="dxa" w:w="2438"/>
          </w:tcPr>
          <w:p>
            <w:r/>
            <w:r>
              <w:rPr>
                <w:sz w:val="18"/>
              </w:rPr>
              <w:t>3.1.C / 3.2.C / 3.3.C — keberlanjutan penelitian (disebut eksplisit sebagai unsur C, tanpa rincian definisi operasional lebih lanjut pada teks sumber).</w:t>
            </w:r>
          </w:p>
        </w:tc>
        <w:tc>
          <w:tcPr>
            <w:tcW w:type="dxa" w:w="3855"/>
          </w:tcPr>
          <w:p>
            <w:r/>
            <w:r>
              <w:rPr>
                <w:sz w:val="18"/>
              </w:rPr>
              <w:t>Tidak ditemukan indikator FTII yang secara eksplisit diberi label "keberlanjutan penelitian" (research sustainability) sebagai metrik tersendiri. Substansinya TERSEBAR pada beberapa indikator terkait (RIP/roadmap jangka panjang, target hibah meningkat bertahap, kerja sama multi-tahun), namun belum disatukan sebagai satu indikator eksplisit "keberlanjutan".</w:t>
            </w:r>
          </w:p>
        </w:tc>
        <w:tc>
          <w:tcPr>
            <w:tcW w:type="dxa" w:w="1474"/>
          </w:tcPr>
          <w:p>
            <w:r/>
            <w:r>
              <w:rPr>
                <w:sz w:val="18"/>
              </w:rPr>
              <w:t>GAP MINOR (redaksional, substansi tersebar)</w:t>
            </w:r>
          </w:p>
        </w:tc>
      </w:tr>
      <w:tr>
        <w:tc>
          <w:tcPr>
            <w:tcW w:type="dxa" w:w="2438"/>
          </w:tcPr>
          <w:p>
            <w:r/>
            <w:r>
              <w:rPr>
                <w:sz w:val="18"/>
              </w:rPr>
              <w:t>Kepuasan terhadap layanan penelitian (implisit dalam evaluasi C.3 LAM INFOKOM, tidak eksplisit disebut LAM Teknik).</w:t>
            </w:r>
          </w:p>
        </w:tc>
        <w:tc>
          <w:tcPr>
            <w:tcW w:type="dxa" w:w="2438"/>
          </w:tcPr>
          <w:p>
            <w:r/>
            <w:r>
              <w:rPr>
                <w:sz w:val="18"/>
              </w:rPr>
              <w:t>3.3 [EVALUASI] — "Tim Penyusun perlu menyampaikan hasil survei kepuasan terhadap layanan penelitian dengan responden dosen."</w:t>
            </w:r>
          </w:p>
        </w:tc>
        <w:tc>
          <w:tcPr>
            <w:tcW w:type="dxa" w:w="3855"/>
          </w:tcPr>
          <w:p>
            <w:r/>
            <w:r>
              <w:rPr>
                <w:sz w:val="18"/>
              </w:rPr>
              <w:t>Masukan Penelitian (Pengelolaan) Pernyataan #92 (kepuasan dosen, mahasiswa, dan mitra penelitian terhadap sarana-prasarana dan layanan penelitian ≥80%→95%); Indikator #3-4 Tabel 2.</w:t>
            </w:r>
          </w:p>
        </w:tc>
        <w:tc>
          <w:tcPr>
            <w:tcW w:type="dxa" w:w="1474"/>
          </w:tcPr>
          <w:p>
            <w:r/>
            <w:r>
              <w:rPr>
                <w:sz w:val="18"/>
              </w:rPr>
              <w:t>SELARAS PENUH (melampaui — cakupan responden FTII lebih luas: dosen+mahasiswa+mitra, bukan hanya dosen)</w:t>
            </w:r>
          </w:p>
        </w:tc>
      </w:tr>
    </w:tbl>
    <w:p/>
    <w:p>
      <w:r>
        <w:rPr>
          <w:b/>
          <w:sz w:val="24"/>
        </w:rPr>
        <w:t>4. TEMUAN DAN KESIMPULAN</w:t>
      </w:r>
    </w:p>
    <w:p>
      <w:pPr>
        <w:spacing w:after="120"/>
      </w:pPr>
      <w:r>
        <w:rPr>
          <w:sz w:val="21"/>
        </w:rPr>
        <w:t>Pemetaan menemukan bahwa ketiga standar FTII (Masukan, Proses, dan Luaran Penelitian) SECARA GABUNGAN telah SELARAS PENUH — dan pada beberapa unsur MELAMPAUI — terhadap seluruh 3 unsur IKU C.3 sub-b Penelitian LAM Teknik (dikecualikan unsur iii yang tidak berlaku untuk program Sarjana) dan seluruh 3 unsur (A-C) pada kelima sub-butir PPEPP C.3 Relevansi Penelitian LAM INFOKOM 2.1.</w:t>
      </w:r>
    </w:p>
    <w:p>
      <w:pPr>
        <w:spacing w:after="120"/>
      </w:pPr>
      <w:r>
        <w:rPr>
          <w:sz w:val="21"/>
        </w:rPr>
        <w:t>Ditemukan 1 (satu) GAP MINOR yang bersifat redaksional, bukan struktural: konsep "keberlanjutan penelitian" (research sustainability) disebut eksplisit sebagai unsur C.3.C LAM INFOKOM 2.1, namun tidak ada satu indikator FTII yang secara eksplisit diberi label demikian — substansinya tersebar pada RIP/roadmap jangka panjang, target hibah bertahap, dan kerja sama multi-tahun yang sudah ada. Gap ini TIDAK menghalangi pemenuhan ambang skor tertinggi kedua instrumen karena substansi keberlanjutan secara faktual sudah terkandung dalam indikator-indikator yang ada, namun penamaan eksplisit "keberlanjutan" sebagai satu indikator konsolidatif akan memperkuat kejelasan bukti pada LED.</w:t>
      </w:r>
    </w:p>
    <w:p>
      <w:pPr>
        <w:spacing w:after="120"/>
      </w:pPr>
      <w:r>
        <w:rPr>
          <w:sz w:val="21"/>
        </w:rPr>
        <w:t>Klarifikasi tambahan: unsur (iii) "Penelitian DTPS rujukan tema tesis/disertasi" pada C.3 LAM Teknik dinyatakan TIDAK BERLAKU bagi FTII karena secara eksplisit hanya disyaratkan untuk program Magister/Magister Terapan/Doktor/Doktor Terapan, sedangkan FTII menyelenggarakan program Sarjana (S1).</w:t>
      </w:r>
    </w:p>
    <w:p>
      <w:pPr>
        <w:spacing w:after="120"/>
      </w:pPr>
      <w:r>
        <w:rPr>
          <w:sz w:val="21"/>
        </w:rPr>
        <w:t>Beberapa unsur FTII bahkan MELAMPAUI ketentuan sumber, di antaranya: (a) dana penelitian per dosen (Rp20-25 juta) dua kali lipat ambang skor sempurna LAM Teknik (≥Rp10 juta); (b) cakupan survei kepuasan layanan penelitian FTII mencakup dosen, mahasiswa, DAN mitra penelitian, sedangkan LAM INFOKOM 2.1 hanya mensyaratkan responden dosen; (c) target co-authorship mahasiswa (75%→80%) sebagai indikator eksplisit, melampaui sekadar "pelibatan" yang dituntut kedua sumber.</w:t>
      </w:r>
    </w:p>
    <w:p>
      <w:pPr>
        <w:spacing w:after="120"/>
      </w:pPr>
      <w:r>
        <w:rPr>
          <w:sz w:val="21"/>
        </w:rPr>
        <w:t>Kesimpulan: TIDAK ada gap struktural yang menghalangi pemenuhan ambang skor tertinggi C.3 sub-b LAM Teknik maupun deskriptor tertinggi C.3 LAM INFOKOM 2.1 pada ketiga standar Penelitian FTII. Satu gap minor (penamaan eksplisit indikator "keberlanjutan penelitian") bersifat opsional untuk penguatan kejelasan bukti LED, bukan prasyarat pemenuhan ambang.</w:t>
      </w:r>
    </w:p>
    <w:p>
      <w:r>
        <w:rPr>
          <w:b/>
          <w:sz w:val="24"/>
        </w:rPr>
        <w:t>5. REFERENSI</w:t>
      </w:r>
    </w:p>
    <w:p>
      <w:pPr>
        <w:spacing w:after="120"/>
      </w:pPr>
      <w:r>
        <w:rPr>
          <w:sz w:val="21"/>
        </w:rPr>
        <w:t>standarmasukanpenelitianunggul.docx (revisi ke-2, FTII UNISBANK).</w:t>
      </w:r>
    </w:p>
    <w:p>
      <w:pPr>
        <w:spacing w:after="120"/>
      </w:pPr>
      <w:r>
        <w:rPr>
          <w:sz w:val="21"/>
        </w:rPr>
        <w:t>standarprosespenelitianunggul.docx (revisi, FTII UNISBANK).</w:t>
      </w:r>
    </w:p>
    <w:p>
      <w:pPr>
        <w:spacing w:after="120"/>
      </w:pPr>
      <w:r>
        <w:rPr>
          <w:sz w:val="21"/>
        </w:rPr>
        <w:t>standarluaranpenelitianunggul.docx (revisi, FTII UNISBANK).</w:t>
      </w:r>
    </w:p>
    <w:p>
      <w:pPr>
        <w:spacing w:after="120"/>
      </w:pPr>
      <w:r>
        <w:rPr>
          <w:sz w:val="21"/>
        </w:rPr>
        <w:t>Pedoman Penyusunan LEDPS – Instrumen Akreditasi Program Studi (IAPS)-AVP 2025, LAM Teknik, Kriteria C.3 Relevansi Pendidikan, Penelitian, dan PkM (sub-b Penelitian), halaman 14-15; unsur c.iii Dana Penelitian DTPS (Kriteria C.2 Akuntabilitas, Keuangan), halaman 8.</w:t>
      </w:r>
    </w:p>
    <w:p>
      <w:pPr>
        <w:spacing w:after="120"/>
      </w:pPr>
      <w:r>
        <w:rPr>
          <w:sz w:val="21"/>
        </w:rPr>
        <w:t>Laporan Evaluasi Diri LAM INFOKOM 2.1 (2025), Instrumen APS untuk Perolehan dan Perpanjangan Status Terakreditasi Unggul S1-LED, Kriteria C.3 Relevansi Penelitian, halaman 17-19.</w:t>
      </w:r>
    </w:p>
    <w:p/>
    <w:p>
      <w:pPr>
        <w:jc w:val="right"/>
      </w:pPr>
      <w:r>
        <w:rPr>
          <w:sz w:val="21"/>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