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6"/>
        </w:rPr>
        <w:t>PEMETAAN STANDAR MASUKAN, PROSES, DAN LUARAN PkM FTII</w:t>
      </w:r>
    </w:p>
    <w:p>
      <w:pPr>
        <w:jc w:val="center"/>
      </w:pPr>
      <w:r>
        <w:rPr>
          <w:b/>
          <w:sz w:val="24"/>
        </w:rPr>
        <w:t>TERHADAP KRITERIA C.3 RELEVANSI PENDIDIKAN, PENELITIAN, DAN PKM (SUB-C PKM) PEDOMAN PENYUSUNAN LEDPS LAM TEKNIK 2025</w:t>
      </w:r>
    </w:p>
    <w:p>
      <w:pPr>
        <w:jc w:val="center"/>
      </w:pPr>
      <w:r>
        <w:rPr>
          <w:b/>
          <w:sz w:val="24"/>
        </w:rPr>
        <w:t>DAN KRITERIA C.4 RELEVANSI PENGABDIAN KEPADA MASYARAKAT LAPORAN EVALUASI DIRI LAM INFOKOM 2.1 (2025)</w:t>
      </w:r>
    </w:p>
    <w:p/>
    <w:p>
      <w:r>
        <w:rPr>
          <w:b/>
          <w:sz w:val="24"/>
        </w:rPr>
        <w:t>1. TUJUAN PEMETAAN</w:t>
      </w:r>
    </w:p>
    <w:p>
      <w:r>
        <w:rPr>
          <w:sz w:val="21"/>
        </w:rPr>
        <w:t>Dokumen ini memetakan kepatuhan TIGA standar FTII UNISBANK — standarmasukanpkmunggul.docx (4 sub-standar: Pelaksana PkM, Sarana dan Prasarana PkM, Pengelolaan PkM, Pendanaan dan Pembiayaan PkM), standarprosespkmunggul.docx (3 sub-standar: Perencanaan PkM, Pelaksanaan PkM, Etika dan Pengelolaan PkM), dan standarluaranpkmunggul.docx (struktur flat, 19 indikator) — terhadap dua sumber kriteria akreditasi berikut:</w:t>
      </w:r>
    </w:p>
    <w:p>
      <w:r>
        <w:rPr>
          <w:sz w:val="21"/>
        </w:rPr>
        <w:t>Kriteria C.3 Relevansi Pendidikan, Penelitian, dan PkM, sub-c (PkM) — Pedoman Penyusunan LEDPS Instrumen Akreditasi Program Studi (IAPS)-AVP 2025 LAM Teknik, halaman 16, berisi 2 unsur naratif dalam Indikator Kinerja Utama: (i) Kesesuaian PkM dalam mendukung VMTS UPPS dan visi keilmuan program studi, mencakup 4 (empat) unsur — (1) UPPS memiliki peta jalan PkM yang mendukung VMTS UPPS dan visi keilmuan program studi; (2) Peta jalan memayungi tema PkM dosen dan mahasiswa dalam mendukung pengembangan kapasitas; (3) Evaluasi berkala keselarasan dengan Visi; dan (4) Memberikan dampak positif bagi masyarakat; dan (ii) PkM DTPS yang melibatkan mahasiswa, yaitu kesesuaian data PkM DTPS dengan peta jalan PkM dan pelaksanaannya melibatkan mahasiswa program studi dalam 3 tahun terakhir.</w:t>
      </w:r>
    </w:p>
    <w:p>
      <w:r>
        <w:rPr>
          <w:sz w:val="21"/>
        </w:rPr>
        <w:t>Kriteria C.4 Relevansi Pengabdian kepada Masyarakat — Laporan Evaluasi Diri (LED) LAM INFOKOM 2.1 (2025), halaman 22-23, berisi 5 sub-butir mengikuti siklus PPEPP (4.1 Penetapan, 4.2 Pelaksanaan, 4.3 Evaluasi, 4.4 Pengendalian, 4.5 Peningkatan), masing-masing memuat 3 unsur A-C: (A) sarana-prasarana PkM, pengembangan DTPR, pembiayaan PkM, dan peta jalan PkM (layanan kepakaran); (B) implementasi peta jalan PkM dan pelibatan mahasiswa berdasarkan VMTS PT-UPPS-PS serta kebutuhan masyarakat dan DUDIKA; (C) perolehan hibah PkM, kerjasama PkM, diseminasi (lokal/nasional/internasional), perolehan HKI, serta keberlanjutan PkM.</w:t>
      </w:r>
    </w:p>
    <w:p>
      <w:r>
        <w:rPr>
          <w:sz w:val="21"/>
        </w:rPr>
        <w:t>Catatan penomoran dan cakupan: LAM Teknik memisahkan Relevansi PkM (C.3 sub-c) dari Sumber Daya Manusia/Dosen (C.4, kualifikasi dan kinerja DTPS termasuk PkM), Sarana-Prasarana (C.5), dan Keuangan (C.2 unsur pembiayaan PkM). Sebaliknya, C.4 LAM INFOKOM 2.1 menggabungkan sarana-prasarana, DTPR, pembiayaan, peta jalan, pelibatan mahasiswa, DAN luaran/hilirisasi PkM (hibah, kerjasama, diseminasi, HKI, keberlanjutan) menjadi satu kriteria tunggal.</w:t>
      </w:r>
    </w:p>
    <w:p>
      <w:r>
        <w:rPr>
          <w:b/>
          <w:sz w:val="24"/>
        </w:rPr>
        <w:t>2. METODE PEMETAAN</w:t>
      </w:r>
    </w:p>
    <w:p>
      <w:r>
        <w:rPr>
          <w:sz w:val="21"/>
        </w:rPr>
        <w:t>Setiap unsur IKU pada C.3 sub-c PkM (LAM Teknik) dan setiap unsur A-C pada kelima sub-butir PPEPP C.4 (LAM INFOKOM 2.1) dikelompokkan per sub-tema (kesesuaian roadmap PkM, pelibatan mahasiswa, sarana-prasarana-DTPR-pembiayaan, hilirisasi/luaran PkM, etika-pengelolaan) dan dipetakan terhadap Pernyataan Standar, Strategi Pencapaian, dan/atau Indikator Kinerja pada ketiga standar FTII di atas, dengan status kepatuhan dikategorikan SELARAS PENUH, MELAMPAUI, SEBAGIAN, atau GAP.</w:t>
      </w:r>
    </w:p>
    <w:p>
      <w:r>
        <w:rPr>
          <w:b/>
          <w:sz w:val="24"/>
        </w:rPr>
        <w:t>3. TABEL PEMETAAN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Unsur C.3 sub-c LAM Teknik</w:t>
            </w:r>
          </w:p>
        </w:tc>
        <w:tc>
          <w:tcPr>
            <w:tcW w:type="dxa" w:w="2160"/>
          </w:tcPr>
          <w:p>
            <w:r/>
            <w:r>
              <w:rPr>
                <w:b/>
                <w:sz w:val="19"/>
              </w:rPr>
              <w:t>Unsur C.4 LAM INFOKOM 2.1</w:t>
            </w:r>
          </w:p>
        </w:tc>
        <w:tc>
          <w:tcPr>
            <w:tcW w:type="dxa" w:w="2160"/>
          </w:tcPr>
          <w:p>
            <w:r/>
            <w:r>
              <w:rPr>
                <w:b/>
                <w:sz w:val="19"/>
              </w:rPr>
              <w:t>Pemenuhan dalam Standar FTII</w:t>
            </w:r>
          </w:p>
        </w:tc>
        <w:tc>
          <w:tcPr>
            <w:tcW w:type="dxa" w:w="2160"/>
          </w:tcPr>
          <w:p>
            <w:r/>
            <w:r>
              <w:rPr>
                <w:b/>
                <w:sz w:val="19"/>
              </w:rPr>
              <w:t>Status</w:t>
            </w:r>
          </w:p>
        </w:tc>
      </w:tr>
      <w:tr>
        <w:tc>
          <w:tcPr>
            <w:tcW w:type="dxa" w:w="2160"/>
          </w:tcPr>
          <w:p>
            <w:r/>
            <w:r>
              <w:rPr>
                <w:sz w:val="18"/>
              </w:rPr>
              <w:t>(i)-(1) UPPS memiliki peta jalan PkM mendukung VMTS dan visi keilmuan prodi</w:t>
            </w:r>
          </w:p>
        </w:tc>
        <w:tc>
          <w:tcPr>
            <w:tcW w:type="dxa" w:w="2160"/>
          </w:tcPr>
          <w:p>
            <w:r/>
            <w:r>
              <w:rPr>
                <w:sz w:val="18"/>
              </w:rPr>
              <w:t>4.1.A — kebijakan/standar/indikator peta jalan PkM (layanan kepakaran)</w:t>
            </w:r>
          </w:p>
        </w:tc>
        <w:tc>
          <w:tcPr>
            <w:tcW w:type="dxa" w:w="2160"/>
          </w:tcPr>
          <w:p>
            <w:r/>
            <w:r>
              <w:rPr>
                <w:sz w:val="18"/>
              </w:rPr>
              <w:t>Masukan PkM, Pengelolaan PkM, Pernyataan #2 (Renstra PkM dan roadmap 4 unsur wajib) + Indikator #1 Tabel 2 (Ketersediaan Renstra/roadmap 4 unsur); Proses PkM, Perencanaan PkM, Pernyataan #4 (RIP/roadmap PkM selaras VMTS-DUDIKA) + Indikator #1 Tabel 0</w:t>
            </w:r>
          </w:p>
        </w:tc>
        <w:tc>
          <w:tcPr>
            <w:tcW w:type="dxa" w:w="2160"/>
          </w:tcPr>
          <w:p>
            <w:r/>
            <w:r>
              <w:rPr>
                <w:sz w:val="18"/>
              </w:rPr>
              <w:t>SELARAS PENUH</w:t>
            </w:r>
          </w:p>
        </w:tc>
      </w:tr>
      <w:tr>
        <w:tc>
          <w:tcPr>
            <w:tcW w:type="dxa" w:w="2160"/>
          </w:tcPr>
          <w:p>
            <w:r/>
            <w:r>
              <w:rPr>
                <w:sz w:val="18"/>
              </w:rPr>
              <w:t>(i)-(2) Peta jalan memayungi tema PkM dosen dan mahasiswa</w:t>
            </w:r>
          </w:p>
        </w:tc>
        <w:tc>
          <w:tcPr>
            <w:tcW w:type="dxa" w:w="2160"/>
          </w:tcPr>
          <w:p>
            <w:r/>
            <w:r>
              <w:rPr>
                <w:sz w:val="18"/>
              </w:rPr>
              <w:t>4.1.B / 4.2.B — implementasi peta jalan PkM dan pelibatan mahasiswa</w:t>
            </w:r>
          </w:p>
        </w:tc>
        <w:tc>
          <w:tcPr>
            <w:tcW w:type="dxa" w:w="2160"/>
          </w:tcPr>
          <w:p>
            <w:r/>
            <w:r>
              <w:rPr>
                <w:sz w:val="18"/>
              </w:rPr>
              <w:t>Proses PkM, Perencanaan PkM, Pernyataan #5 (%kegiatan PkM sesuai roadmap 75%→90%) + Strategi #38 + Indikator #5 Tabel 0; Pelaksanaan PkM, Pernyataan #1-2 (100% kegiatan libatkan mahasiswa, %mahasiswa terlibat 25%→30%) + Indikator Tabel 1</w:t>
            </w:r>
          </w:p>
        </w:tc>
        <w:tc>
          <w:tcPr>
            <w:tcW w:type="dxa" w:w="2160"/>
          </w:tcPr>
          <w:p>
            <w:r/>
            <w:r>
              <w:rPr>
                <w:sz w:val="18"/>
              </w:rPr>
              <w:t>SELARAS PENUH</w:t>
            </w:r>
          </w:p>
        </w:tc>
      </w:tr>
      <w:tr>
        <w:tc>
          <w:tcPr>
            <w:tcW w:type="dxa" w:w="2160"/>
          </w:tcPr>
          <w:p>
            <w:r/>
            <w:r>
              <w:rPr>
                <w:sz w:val="18"/>
              </w:rPr>
              <w:t>(i)-(3) Evaluasi berkala keselarasan roadmap dengan Visi</w:t>
            </w:r>
          </w:p>
        </w:tc>
        <w:tc>
          <w:tcPr>
            <w:tcW w:type="dxa" w:w="2160"/>
          </w:tcPr>
          <w:p>
            <w:r/>
            <w:r>
              <w:rPr>
                <w:sz w:val="18"/>
              </w:rPr>
              <w:t>4.3.A/B — evaluasi ketercapaian peta jalan dan pelibatan mahasiswa</w:t>
            </w:r>
          </w:p>
        </w:tc>
        <w:tc>
          <w:tcPr>
            <w:tcW w:type="dxa" w:w="2160"/>
          </w:tcPr>
          <w:p>
            <w:r/>
            <w:r>
              <w:rPr>
                <w:sz w:val="18"/>
              </w:rPr>
              <w:t>Proses PkM, Perencanaan PkM, Pernyataan #6 (sosialisasi RIP/roadmap ≥1x/tahun); Pengelolaan PkM, Pernyataan #5 (monev+AMI+RTL+PPEPP berkelanjutan) + Indikator #18 Tabel 2 (frekuensi monev/AMI ≥1x/tahun)</w:t>
            </w:r>
          </w:p>
        </w:tc>
        <w:tc>
          <w:tcPr>
            <w:tcW w:type="dxa" w:w="2160"/>
          </w:tcPr>
          <w:p>
            <w:r/>
            <w:r>
              <w:rPr>
                <w:sz w:val="18"/>
              </w:rPr>
              <w:t>SELARAS PENUH</w:t>
            </w:r>
          </w:p>
        </w:tc>
      </w:tr>
      <w:tr>
        <w:tc>
          <w:tcPr>
            <w:tcW w:type="dxa" w:w="2160"/>
          </w:tcPr>
          <w:p>
            <w:r/>
            <w:r>
              <w:rPr>
                <w:sz w:val="18"/>
              </w:rPr>
              <w:t>(i)-(4) PkM memberikan dampak positif bagi masyarakat</w:t>
            </w:r>
          </w:p>
        </w:tc>
        <w:tc>
          <w:tcPr>
            <w:tcW w:type="dxa" w:w="2160"/>
          </w:tcPr>
          <w:p>
            <w:r/>
            <w:r>
              <w:rPr>
                <w:sz w:val="18"/>
              </w:rPr>
              <w:t>4.1.C/4.2.C/4.3.C — perolehan hibah, kerjasama, diseminasi, HKI, keberlanjutan PkM</w:t>
            </w:r>
          </w:p>
        </w:tc>
        <w:tc>
          <w:tcPr>
            <w:tcW w:type="dxa" w:w="2160"/>
          </w:tcPr>
          <w:p>
            <w:r/>
            <w:r>
              <w:rPr>
                <w:sz w:val="18"/>
              </w:rPr>
              <w:t>Luaran PkM, Pernyataan #11 (diseminasi/pemanfaatan hasil PkM bagi masyarakat-DUDI) + Pernyataan #14 (pengakuan/apresiasi masyarakat-DUDIKA) + Indikator *18 Tabel 1 (bentuk pengakuan 2→4/tahun)</w:t>
            </w:r>
          </w:p>
        </w:tc>
        <w:tc>
          <w:tcPr>
            <w:tcW w:type="dxa" w:w="2160"/>
          </w:tcPr>
          <w:p>
            <w:r/>
            <w:r>
              <w:rPr>
                <w:sz w:val="18"/>
              </w:rPr>
              <w:t>SELARAS PENUH</w:t>
            </w:r>
          </w:p>
        </w:tc>
      </w:tr>
      <w:tr>
        <w:tc>
          <w:tcPr>
            <w:tcW w:type="dxa" w:w="2160"/>
          </w:tcPr>
          <w:p>
            <w:r/>
            <w:r>
              <w:rPr>
                <w:sz w:val="18"/>
              </w:rPr>
              <w:t>(ii) PkM DTPS melibatkan mahasiswa (data 3 tahun terakhir)</w:t>
            </w:r>
          </w:p>
        </w:tc>
        <w:tc>
          <w:tcPr>
            <w:tcW w:type="dxa" w:w="2160"/>
          </w:tcPr>
          <w:p>
            <w:r/>
            <w:r>
              <w:rPr>
                <w:sz w:val="18"/>
              </w:rPr>
              <w:t>4.1.B/4.2.B — pelibatan mahasiswa berbasis VMTS-DUDIKA</w:t>
            </w:r>
          </w:p>
        </w:tc>
        <w:tc>
          <w:tcPr>
            <w:tcW w:type="dxa" w:w="2160"/>
          </w:tcPr>
          <w:p>
            <w:r/>
            <w:r>
              <w:rPr>
                <w:sz w:val="18"/>
              </w:rPr>
              <w:t>Proses PkM, Pelaksanaan PkM, Pernyataan #1 (100% PkM libatkan mahasiswa) + Pernyataan #2 (%mahasiswa terlibat 25%→30%) + Indikator #1-2 Tabel 1</w:t>
            </w:r>
          </w:p>
        </w:tc>
        <w:tc>
          <w:tcPr>
            <w:tcW w:type="dxa" w:w="2160"/>
          </w:tcPr>
          <w:p>
            <w:r/>
            <w:r>
              <w:rPr>
                <w:sz w:val="18"/>
              </w:rPr>
              <w:t>SELARAS PENUH</w:t>
            </w:r>
          </w:p>
        </w:tc>
      </w:tr>
      <w:tr>
        <w:tc>
          <w:tcPr>
            <w:tcW w:type="dxa" w:w="2160"/>
          </w:tcPr>
          <w:p>
            <w:r/>
            <w:r>
              <w:rPr>
                <w:sz w:val="18"/>
              </w:rPr>
              <w:t>— (sarana-prasarana PkM tidak eksplisit di C.3 LAM Teknik, dibahas di C.5 terpisah)</w:t>
            </w:r>
          </w:p>
        </w:tc>
        <w:tc>
          <w:tcPr>
            <w:tcW w:type="dxa" w:w="2160"/>
          </w:tcPr>
          <w:p>
            <w:r/>
            <w:r>
              <w:rPr>
                <w:sz w:val="18"/>
              </w:rPr>
              <w:t>4.1.A/4.2.A — sarana-prasarana PkM, pengembangan DTPR, pembiayaan PkM</w:t>
            </w:r>
          </w:p>
        </w:tc>
        <w:tc>
          <w:tcPr>
            <w:tcW w:type="dxa" w:w="2160"/>
          </w:tcPr>
          <w:p>
            <w:r/>
            <w:r>
              <w:rPr>
                <w:sz w:val="18"/>
              </w:rPr>
              <w:t>Masukan PkM, Sarana dan Prasarana PkM, Pernyataan #1 (checklist 4 unsur: ruang unit pengelola, referensi ilmiah, prasarana, 4 aspek K3) + Indikator #10-13 Tabel 1; Pelaksana PkM, Pernyataan #2 (≥3 kegiatan pengembangan kompetensi/tahun, partisipasi ≥95%) + Indikator #5-6 Tabel 0</w:t>
            </w:r>
          </w:p>
        </w:tc>
        <w:tc>
          <w:tcPr>
            <w:tcW w:type="dxa" w:w="2160"/>
          </w:tcPr>
          <w:p>
            <w:r/>
            <w:r>
              <w:rPr>
                <w:sz w:val="18"/>
              </w:rPr>
              <w:t>SELARAS PENUH</w:t>
            </w:r>
          </w:p>
        </w:tc>
      </w:tr>
      <w:tr>
        <w:tc>
          <w:tcPr>
            <w:tcW w:type="dxa" w:w="2160"/>
          </w:tcPr>
          <w:p>
            <w:r/>
            <w:r>
              <w:rPr>
                <w:sz w:val="18"/>
              </w:rPr>
              <w:t>— (pembiayaan PkM tidak eksplisit di C.3 sub-c, dibahas di C.2 unsur pembiayaan)</w:t>
            </w:r>
          </w:p>
        </w:tc>
        <w:tc>
          <w:tcPr>
            <w:tcW w:type="dxa" w:w="2160"/>
          </w:tcPr>
          <w:p>
            <w:r/>
            <w:r>
              <w:rPr>
                <w:sz w:val="18"/>
              </w:rPr>
              <w:t>4.1.A — pembiayaan PkM</w:t>
            </w:r>
          </w:p>
        </w:tc>
        <w:tc>
          <w:tcPr>
            <w:tcW w:type="dxa" w:w="2160"/>
          </w:tcPr>
          <w:p>
            <w:r/>
            <w:r>
              <w:rPr>
                <w:sz w:val="18"/>
              </w:rPr>
              <w:t>Masukan PkM, Pendanaan dan Pembiayaan PkM, Pernyataan #1 (dana PkM/dosen ≥Rp5jt→6,5jt) + Pernyataan #4 (diversifikasi eksternal 10%→20%) + Indikator #14-15, *19-20 Tabel 3</w:t>
            </w:r>
          </w:p>
        </w:tc>
        <w:tc>
          <w:tcPr>
            <w:tcW w:type="dxa" w:w="2160"/>
          </w:tcPr>
          <w:p>
            <w:r/>
            <w:r>
              <w:rPr>
                <w:sz w:val="18"/>
              </w:rPr>
              <w:t>SELARAS PENUH</w:t>
            </w:r>
          </w:p>
        </w:tc>
      </w:tr>
      <w:tr>
        <w:tc>
          <w:tcPr>
            <w:tcW w:type="dxa" w:w="2160"/>
          </w:tcPr>
          <w:p>
            <w:r/>
            <w:r>
              <w:rPr>
                <w:sz w:val="18"/>
              </w:rPr>
              <w:t>— (kerjasama PkM tidak eksplisit di C.3 sub-c LAM Teknik)</w:t>
            </w:r>
          </w:p>
        </w:tc>
        <w:tc>
          <w:tcPr>
            <w:tcW w:type="dxa" w:w="2160"/>
          </w:tcPr>
          <w:p>
            <w:r/>
            <w:r>
              <w:rPr>
                <w:sz w:val="18"/>
              </w:rPr>
              <w:t>4.1.C/4.2.C/4.3.C — kerjasama PkM lokal/nasional/internasional</w:t>
            </w:r>
          </w:p>
        </w:tc>
        <w:tc>
          <w:tcPr>
            <w:tcW w:type="dxa" w:w="2160"/>
          </w:tcPr>
          <w:p>
            <w:r/>
            <w:r>
              <w:rPr>
                <w:sz w:val="18"/>
              </w:rPr>
              <w:t>Proses PkM, Pelaksanaan PkM, Pernyataan #3 (kerja sama DUDI/pemerintah/PT nasional/internasional ≥1-2/kategori/tahun) + Indikator #3 Tabel 1</w:t>
            </w:r>
          </w:p>
        </w:tc>
        <w:tc>
          <w:tcPr>
            <w:tcW w:type="dxa" w:w="2160"/>
          </w:tcPr>
          <w:p>
            <w:r/>
            <w:r>
              <w:rPr>
                <w:sz w:val="18"/>
              </w:rPr>
              <w:t>SELARAS PENUH</w:t>
            </w:r>
          </w:p>
        </w:tc>
      </w:tr>
      <w:tr>
        <w:tc>
          <w:tcPr>
            <w:tcW w:type="dxa" w:w="2160"/>
          </w:tcPr>
          <w:p>
            <w:r/>
            <w:r>
              <w:rPr>
                <w:sz w:val="18"/>
              </w:rPr>
              <w:t>— (hibah PkM dan diseminasi tidak eksplisit di C.3 sub-c)</w:t>
            </w:r>
          </w:p>
        </w:tc>
        <w:tc>
          <w:tcPr>
            <w:tcW w:type="dxa" w:w="2160"/>
          </w:tcPr>
          <w:p>
            <w:r/>
            <w:r>
              <w:rPr>
                <w:sz w:val="18"/>
              </w:rPr>
              <w:t>4.1.C/4.2.C/4.3.C — perolehan hibah PkM dan diseminasi</w:t>
            </w:r>
          </w:p>
        </w:tc>
        <w:tc>
          <w:tcPr>
            <w:tcW w:type="dxa" w:w="2160"/>
          </w:tcPr>
          <w:p>
            <w:r/>
            <w:r>
              <w:rPr>
                <w:sz w:val="18"/>
              </w:rPr>
              <w:t>Masukan PkM, Pelaksana PkM, Pernyataan #3 (≥1 kegiatan PkM/dosen/tahun, proporsi sumber pendanaan) + Indikator #7-8 Tabel 0; Luaran PkM, Pernyataan #4 (jumlah kegiatan PkM memperoleh hibah eksternal) + Indikator #4-5 Tabel 1 (diseminasi)</w:t>
            </w:r>
          </w:p>
        </w:tc>
        <w:tc>
          <w:tcPr>
            <w:tcW w:type="dxa" w:w="2160"/>
          </w:tcPr>
          <w:p>
            <w:r/>
            <w:r>
              <w:rPr>
                <w:sz w:val="18"/>
              </w:rPr>
              <w:t>SELARAS PENUH</w:t>
            </w:r>
          </w:p>
        </w:tc>
      </w:tr>
      <w:tr>
        <w:tc>
          <w:tcPr>
            <w:tcW w:type="dxa" w:w="2160"/>
          </w:tcPr>
          <w:p>
            <w:r/>
            <w:r>
              <w:rPr>
                <w:sz w:val="18"/>
              </w:rPr>
              <w:t>— (HKI tidak eksplisit di C.3 sub-c)</w:t>
            </w:r>
          </w:p>
        </w:tc>
        <w:tc>
          <w:tcPr>
            <w:tcW w:type="dxa" w:w="2160"/>
          </w:tcPr>
          <w:p>
            <w:r/>
            <w:r>
              <w:rPr>
                <w:sz w:val="18"/>
              </w:rPr>
              <w:t>4.1.C/4.2.C/4.3.C — perolehan HKI hasil PkM</w:t>
            </w:r>
          </w:p>
        </w:tc>
        <w:tc>
          <w:tcPr>
            <w:tcW w:type="dxa" w:w="2160"/>
          </w:tcPr>
          <w:p>
            <w:r/>
            <w:r>
              <w:rPr>
                <w:sz w:val="18"/>
              </w:rPr>
              <w:t>Luaran PkM, Pernyataan #23 (HKI Paten/Paten Sederhana dan Non-Paten, 2 kategori terpisah) + Indikator #10-11 Tabel 1</w:t>
            </w:r>
          </w:p>
        </w:tc>
        <w:tc>
          <w:tcPr>
            <w:tcW w:type="dxa" w:w="2160"/>
          </w:tcPr>
          <w:p>
            <w:r/>
            <w:r>
              <w:rPr>
                <w:sz w:val="18"/>
              </w:rPr>
              <w:t>SELARAS PENUH</w:t>
            </w:r>
          </w:p>
        </w:tc>
      </w:tr>
      <w:tr>
        <w:tc>
          <w:tcPr>
            <w:tcW w:type="dxa" w:w="2160"/>
          </w:tcPr>
          <w:p>
            <w:r/>
            <w:r>
              <w:rPr>
                <w:sz w:val="18"/>
              </w:rPr>
              <w:t>— (keberlanjutan PkM tidak eksplisit di C.3 sub-c LAM Teknik)</w:t>
            </w:r>
          </w:p>
        </w:tc>
        <w:tc>
          <w:tcPr>
            <w:tcW w:type="dxa" w:w="2160"/>
          </w:tcPr>
          <w:p>
            <w:r/>
            <w:r>
              <w:rPr>
                <w:sz w:val="18"/>
              </w:rPr>
              <w:t>4.1.C/4.2.C/4.3.C/4.5.C — keberlanjutan PkM (research/PkM sustainability)</w:t>
            </w:r>
          </w:p>
        </w:tc>
        <w:tc>
          <w:tcPr>
            <w:tcW w:type="dxa" w:w="2160"/>
          </w:tcPr>
          <w:p>
            <w:r/>
            <w:r>
              <w:rPr>
                <w:sz w:val="18"/>
              </w:rPr>
              <w:t>TIDAK ditemukan satu indikator PkM eksplisit bernama 'keberlanjutan PkM' pada ketiga dokumen FTII; substansi tersebar sebagian pada roadmap PkM (evaluasi berkala kesesuaian, Pengelolaan PkM Pernyataan #2) dan target hibah PkM bertahap (Masukan PkM), namun TIDAK ada metrik lintas-tahun/lintas-siklus yang eksplisit menamai keberlanjutan topik PkM, berbeda dari Standar Proses Penelitian yang telah memiliki Indikator *10 'Keberlanjutan penelitian' setelah perbaikan gap sebelumnya</w:t>
            </w:r>
          </w:p>
        </w:tc>
        <w:tc>
          <w:tcPr>
            <w:tcW w:type="dxa" w:w="2160"/>
          </w:tcPr>
          <w:p>
            <w:r/>
            <w:r>
              <w:rPr>
                <w:sz w:val="18"/>
              </w:rPr>
              <w:t>GAP MINOR (redaksional, belum ada padanan keberlanjutan penelitian)</w:t>
            </w:r>
          </w:p>
        </w:tc>
      </w:tr>
      <w:tr>
        <w:tc>
          <w:tcPr>
            <w:tcW w:type="dxa" w:w="2160"/>
          </w:tcPr>
          <w:p>
            <w:r/>
            <w:r>
              <w:rPr>
                <w:sz w:val="18"/>
              </w:rPr>
              <w:t>— (etika dan K3 PkM tidak dibahas eksplisit di C.3/C.4 kedua instrumen)</w:t>
            </w:r>
          </w:p>
        </w:tc>
        <w:tc>
          <w:tcPr>
            <w:tcW w:type="dxa" w:w="2160"/>
          </w:tcPr>
          <w:p>
            <w:r/>
            <w:r>
              <w:rPr>
                <w:sz w:val="18"/>
              </w:rPr>
              <w:t>(tidak ditemukan pembahasan eksplisit etika/K3 PkM di C.4 LAM INFOKOM)</w:t>
            </w:r>
          </w:p>
        </w:tc>
        <w:tc>
          <w:tcPr>
            <w:tcW w:type="dxa" w:w="2160"/>
          </w:tcPr>
          <w:p>
            <w:r/>
            <w:r>
              <w:rPr>
                <w:sz w:val="18"/>
              </w:rPr>
              <w:t>Proses PkM, Etika dan Pengelolaan PkM, Pernyataan #1-3 (0 pelanggaran etika, verifikasi K3 wajib syarat proposal, 0 kecelakaan K3) + Indikator Tabel 2 — MELAMPAUI cakupan kedua instrumen (praktik unggulan SPMI internal FTII)</w:t>
            </w:r>
          </w:p>
        </w:tc>
        <w:tc>
          <w:tcPr>
            <w:tcW w:type="dxa" w:w="2160"/>
          </w:tcPr>
          <w:p>
            <w:r/>
            <w:r>
              <w:rPr>
                <w:sz w:val="18"/>
              </w:rPr>
              <w:t>MELAMPAUI</w:t>
            </w:r>
          </w:p>
        </w:tc>
      </w:tr>
    </w:tbl>
    <w:p/>
    <w:p>
      <w:r>
        <w:rPr>
          <w:b/>
          <w:sz w:val="24"/>
        </w:rPr>
        <w:t>4. TEMUAN DAN KESIMPULAN</w:t>
      </w:r>
    </w:p>
    <w:p>
      <w:r>
        <w:rPr>
          <w:sz w:val="21"/>
        </w:rPr>
        <w:t>Pemetaan menemukan bahwa ketiga standar FTII (Masukan, Proses, dan Luaran PkM) SECARA GABUNGAN telah SELARAS PENUH terhadap seluruh 2 unsur IKU C.3 sub-c PkM LAM Teknik dan seluruh 3 unsur (A-C) pada kelima sub-butir PPEPP C.4 LAM INFOKOM 2.1. Pada unsur etika dan K3 PkM, dokumen FTII bahkan MELAMPAUI kedua instrumen sumber, karena tidak ditemukan pembahasan eksplisit etika/K3 PkM pada C.3 LAM Teknik maupun C.4 LAM INFOKOM — ketentuan ini murni praktik unggulan SPMI internal FTII.</w:t>
      </w:r>
    </w:p>
    <w:p>
      <w:r>
        <w:rPr>
          <w:sz w:val="21"/>
        </w:rPr>
        <w:t>Ditemukan 1 (satu) GAP MINOR yang bersifat redaksional, bukan struktural: konsep 'keberlanjutan PkM' (PkM sustainability) disebut eksplisit sebagai unsur C.4.C LAM INFOKOM 2.1 (unsur 4.1.C, 4.2.C, 4.3.C, 4.5.C), namun tidak ada satu indikator PkM eksplisit bernama 'keberlanjutan PkM' pada ketiga dokumen FTII — berbeda dari Standar Proses Penelitian yang telah menutup gap serupa dengan Indikator *10 'Keberlanjutan penelitian (research sustainability)' pada sub-standar Pelaksanaan Penelitian. Substansi keberlanjutan PkM tersebar sebagian pada evaluasi berkala roadmap (Pengelolaan PkM) dan target hibah bertahap (Masukan PkM), tetapi belum dikonsolidasikan menjadi satu metrik lintas-tahun/lintas-siklus yang eksplisit.</w:t>
      </w:r>
    </w:p>
    <w:p>
      <w:r>
        <w:rPr>
          <w:sz w:val="21"/>
        </w:rPr>
        <w:t>Kesimpulan: TIDAK ada gap struktural yang menghalangi pemenuhan ambang skor tertinggi C.3 sub-c LAM Teknik maupun deskriptor tertinggi C.4 LAM INFOKOM 2.1 pada ketiga standar PkM FTII. Satu gap minor (penamaan eksplisit keberlanjutan PkM) bersifat penguatan redaksional yang dapat ditutup dengan menambahkan satu Pernyataan, Strategi, dan Indikator baru pada sub-standar Pelaksanaan PkM (Standar Proses PkM), mengikuti pola perbaikan yang telah diterapkan pada Standar Proses Penelitian.</w:t>
      </w:r>
    </w:p>
    <w:p>
      <w:r>
        <w:rPr>
          <w:b/>
          <w:sz w:val="24"/>
        </w:rPr>
        <w:t>5. REFERENSI</w:t>
      </w:r>
    </w:p>
    <w:p>
      <w:r>
        <w:rPr>
          <w:sz w:val="21"/>
        </w:rPr>
        <w:t>standarmasukanpkmunggul.docx (revisi ke-2, FTII UNISBANK).</w:t>
      </w:r>
    </w:p>
    <w:p>
      <w:r>
        <w:rPr>
          <w:sz w:val="21"/>
        </w:rPr>
        <w:t>standarprosespkmunggul.docx (revisi, FTII UNISBANK).</w:t>
      </w:r>
    </w:p>
    <w:p>
      <w:r>
        <w:rPr>
          <w:sz w:val="21"/>
        </w:rPr>
        <w:t>standarluaranpkmunggul.docx (revisi, FTII UNISBANK).</w:t>
      </w:r>
    </w:p>
    <w:p>
      <w:r>
        <w:rPr>
          <w:sz w:val="21"/>
        </w:rPr>
        <w:t>Pedoman Penyusunan LEDPS – Instrumen Akreditasi Program Studi (IAPS)-AVP 2025, LAM Teknik, Kriteria C.3 Relevansi Pendidikan, Penelitian, dan PkM (sub-c PkM), halaman 16.</w:t>
      </w:r>
    </w:p>
    <w:p>
      <w:r>
        <w:rPr>
          <w:sz w:val="21"/>
        </w:rPr>
        <w:t>Laporan Evaluasi Diri LAM INFOKOM 2.1 (2025), Instrumen APS untuk Perolehan dan Perpanjangan Status Terakreditasi Unggul S1-LED, Kriteria C.4 Relevansi Pengabdian kepada Masyarakat, halaman 22-23.</w:t>
      </w:r>
    </w:p>
    <w:p/>
    <w:p>
      <w:r>
        <w:rPr>
          <w:sz w:val="21"/>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