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PEMETAAN STANDAR TATA PAMONG, TATA KELOLA</w:t>
      </w:r>
    </w:p>
    <w:p>
      <w:pPr>
        <w:jc w:val="center"/>
      </w:pPr>
      <w:r>
        <w:rPr>
          <w:b w:val="0"/>
          <w:sz w:val="24"/>
        </w:rPr>
        <w:t>Fakultas Teknologi Informasi dan Industri (FTII) UNISBANK terhadap 5 Dokumen Rujukan Eksternal</w:t>
      </w:r>
    </w:p>
    <w:p/>
    <w:p>
      <w:pPr>
        <w:spacing w:after="120"/>
      </w:pPr>
      <w:r>
        <w:rPr>
          <w:b w:val="0"/>
          <w:i/>
        </w:rPr>
        <w:t>Catatan metodologis: pemetaan disusun berdasarkan ekstraksi teks langsung dari kelima dokumen rujukan (pdftotext -layout, bukan ringkasan pihak ketiga) dan dari isi lengkap dokumen Standar Tata Pamong, Tata Kelola FTII (23 pernyataan standar/butir turunannya, 17 strategi pencapaian, 11 IKU tingkat UPPS, 24 IKU tingkat Universitas, dan 2 IKT). Kutipan pada tabel di bawah diringkas dari teks asli masing-masing dokumen hasil ekstraksi; bila suatu rujukan tidak memuat pembahasan eksplisit atas suatu tema, hal itu dinyatakan secara terbuka dan tidak dikarang.</w:t>
      </w:r>
    </w:p>
    <w:p>
      <w:pPr>
        <w:spacing w:before="280" w:after="120"/>
      </w:pPr>
      <w:r>
        <w:rPr>
          <w:b/>
          <w:sz w:val="26"/>
        </w:rPr>
        <w:t>A. DOKUMEN YANG DIBANDINGKAN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
              <w:rPr>
                <w:b/>
                <w:sz w:val="19"/>
              </w:rPr>
              <w:t>Kode</w:t>
            </w:r>
          </w:p>
        </w:tc>
        <w:tc>
          <w:tcPr>
            <w:tcW w:type="dxa" w:w="2880"/>
            <w:shd w:val="clear" w:color="auto" w:fill="D9D9D9"/>
          </w:tcPr>
          <w:p>
            <w:r/>
            <w:r>
              <w:rPr>
                <w:b/>
                <w:sz w:val="19"/>
              </w:rPr>
              <w:t>Dokumen</w:t>
            </w:r>
          </w:p>
        </w:tc>
        <w:tc>
          <w:tcPr>
            <w:tcW w:type="dxa" w:w="2880"/>
            <w:shd w:val="clear" w:color="auto" w:fill="D9D9D9"/>
          </w:tcPr>
          <w:p>
            <w:r/>
            <w:r>
              <w:rPr>
                <w:b/>
                <w:sz w:val="19"/>
              </w:rPr>
              <w:t>Sumber / Institusi</w:t>
            </w:r>
          </w:p>
        </w:tc>
      </w:tr>
      <w:tr>
        <w:tc>
          <w:tcPr>
            <w:tcW w:type="dxa" w:w="2880"/>
          </w:tcPr>
          <w:p>
            <w:r/>
            <w:r>
              <w:rPr>
                <w:b w:val="0"/>
                <w:sz w:val="19"/>
              </w:rPr>
              <w:t>FTII</w:t>
            </w:r>
          </w:p>
        </w:tc>
        <w:tc>
          <w:tcPr>
            <w:tcW w:type="dxa" w:w="2880"/>
          </w:tcPr>
          <w:p>
            <w:r/>
            <w:r>
              <w:rPr>
                <w:b w:val="0"/>
                <w:sz w:val="19"/>
              </w:rPr>
              <w:t>Standar Tata Pamong, Tata Kelola FTII UNISBANK</w:t>
            </w:r>
          </w:p>
        </w:tc>
        <w:tc>
          <w:tcPr>
            <w:tcW w:type="dxa" w:w="2880"/>
          </w:tcPr>
          <w:p>
            <w:r/>
            <w:r>
              <w:rPr>
                <w:b w:val="0"/>
                <w:sz w:val="19"/>
              </w:rPr>
              <w:t>Fakultas Teknologi Informasi dan Industri, Universitas Stikubank (UNISBANK) Semarang</w:t>
            </w:r>
          </w:p>
        </w:tc>
      </w:tr>
      <w:tr>
        <w:tc>
          <w:tcPr>
            <w:tcW w:type="dxa" w:w="2880"/>
          </w:tcPr>
          <w:p>
            <w:r/>
            <w:r>
              <w:rPr>
                <w:b w:val="0"/>
                <w:sz w:val="19"/>
              </w:rPr>
              <w:t>R1</w:t>
            </w:r>
          </w:p>
        </w:tc>
        <w:tc>
          <w:tcPr>
            <w:tcW w:type="dxa" w:w="2880"/>
          </w:tcPr>
          <w:p>
            <w:r/>
            <w:r>
              <w:rPr>
                <w:b w:val="0"/>
                <w:sz w:val="19"/>
              </w:rPr>
              <w:t>Panduan SPMI Sarjana dan Sarjana Terapan 2024 (SK Rektor) — Standar 2: Tata Pamong, Tata Kelola dan Kerjasama</w:t>
            </w:r>
          </w:p>
        </w:tc>
        <w:tc>
          <w:tcPr>
            <w:tcW w:type="dxa" w:w="2880"/>
          </w:tcPr>
          <w:p>
            <w:r/>
            <w:r>
              <w:rPr>
                <w:b w:val="0"/>
                <w:sz w:val="19"/>
              </w:rPr>
              <w:t>Institut Teknologi Sepuluh Nopember (ITS) — dokumen panduan SPMI/instrumen akreditasi internal</w:t>
            </w:r>
          </w:p>
        </w:tc>
      </w:tr>
      <w:tr>
        <w:tc>
          <w:tcPr>
            <w:tcW w:type="dxa" w:w="2880"/>
          </w:tcPr>
          <w:p>
            <w:r/>
            <w:r>
              <w:rPr>
                <w:b w:val="0"/>
                <w:sz w:val="19"/>
              </w:rPr>
              <w:t>R2</w:t>
            </w:r>
          </w:p>
        </w:tc>
        <w:tc>
          <w:tcPr>
            <w:tcW w:type="dxa" w:w="2880"/>
          </w:tcPr>
          <w:p>
            <w:r/>
            <w:r>
              <w:rPr>
                <w:b w:val="0"/>
                <w:sz w:val="19"/>
              </w:rPr>
              <w:t>Matriks Penilaian LED dan LKPS Sarjana APS Akademik dan Vokasi Teknik 2025 — II. Akuntabilitas, 2.1 Tata Pamong dan Tata Kelola</w:t>
            </w:r>
          </w:p>
        </w:tc>
        <w:tc>
          <w:tcPr>
            <w:tcW w:type="dxa" w:w="2880"/>
          </w:tcPr>
          <w:p>
            <w:r/>
            <w:r>
              <w:rPr>
                <w:b w:val="0"/>
                <w:sz w:val="19"/>
              </w:rPr>
              <w:t>LAM Teknik (Lembaga Akreditasi Mandiri Teknik)</w:t>
            </w:r>
          </w:p>
        </w:tc>
      </w:tr>
      <w:tr>
        <w:tc>
          <w:tcPr>
            <w:tcW w:type="dxa" w:w="2880"/>
          </w:tcPr>
          <w:p>
            <w:r/>
            <w:r>
              <w:rPr>
                <w:b w:val="0"/>
                <w:sz w:val="19"/>
              </w:rPr>
              <w:t>R3</w:t>
            </w:r>
          </w:p>
        </w:tc>
        <w:tc>
          <w:tcPr>
            <w:tcW w:type="dxa" w:w="2880"/>
          </w:tcPr>
          <w:p>
            <w:r/>
            <w:r>
              <w:rPr>
                <w:b w:val="0"/>
                <w:sz w:val="19"/>
              </w:rPr>
              <w:t>Kriteria Unggul 2.1 LAM INFOKOM — Kriteria 5: Akuntabilitas (butir 5.1-5.5, terkait sistem tata kelola)</w:t>
            </w:r>
          </w:p>
        </w:tc>
        <w:tc>
          <w:tcPr>
            <w:tcW w:type="dxa" w:w="2880"/>
          </w:tcPr>
          <w:p>
            <w:r/>
            <w:r>
              <w:rPr>
                <w:b w:val="0"/>
                <w:sz w:val="19"/>
              </w:rPr>
              <w:t>LAM INFOKOM (Lembaga Akreditasi Mandiri Informatika dan Komputer)</w:t>
            </w:r>
          </w:p>
        </w:tc>
      </w:tr>
      <w:tr>
        <w:tc>
          <w:tcPr>
            <w:tcW w:type="dxa" w:w="2880"/>
          </w:tcPr>
          <w:p>
            <w:r/>
            <w:r>
              <w:rPr>
                <w:b w:val="0"/>
                <w:sz w:val="19"/>
              </w:rPr>
              <w:t>R4</w:t>
            </w:r>
          </w:p>
        </w:tc>
        <w:tc>
          <w:tcPr>
            <w:tcW w:type="dxa" w:w="2880"/>
          </w:tcPr>
          <w:p>
            <w:r/>
            <w:r>
              <w:rPr>
                <w:b w:val="0"/>
                <w:sz w:val="19"/>
              </w:rPr>
              <w:t>Dokumen SPMI Fasilkom 2023 (rev) — Standar Sistem Tata Pamong</w:t>
            </w:r>
          </w:p>
        </w:tc>
        <w:tc>
          <w:tcPr>
            <w:tcW w:type="dxa" w:w="2880"/>
          </w:tcPr>
          <w:p>
            <w:r/>
            <w:r>
              <w:rPr>
                <w:b w:val="0"/>
                <w:sz w:val="19"/>
              </w:rPr>
              <w:t>Fakultas Ilmu Komputer, Universitas Pembangunan Nasional "Veteran" Jawa Timur (UPN Veteran Jatim)</w:t>
            </w:r>
          </w:p>
        </w:tc>
      </w:tr>
      <w:tr>
        <w:tc>
          <w:tcPr>
            <w:tcW w:type="dxa" w:w="2880"/>
          </w:tcPr>
          <w:p>
            <w:r/>
            <w:r>
              <w:rPr>
                <w:b w:val="0"/>
                <w:sz w:val="19"/>
              </w:rPr>
              <w:t>R5</w:t>
            </w:r>
          </w:p>
        </w:tc>
        <w:tc>
          <w:tcPr>
            <w:tcW w:type="dxa" w:w="2880"/>
          </w:tcPr>
          <w:p>
            <w:r/>
            <w:r>
              <w:rPr>
                <w:b w:val="0"/>
                <w:sz w:val="19"/>
              </w:rPr>
              <w:t>9. Standar SPMI Tahun 2022 — 8.4. Standar Tata Pamong</w:t>
            </w:r>
          </w:p>
        </w:tc>
        <w:tc>
          <w:tcPr>
            <w:tcW w:type="dxa" w:w="2880"/>
          </w:tcPr>
          <w:p>
            <w:r/>
            <w:r>
              <w:rPr>
                <w:b w:val="0"/>
                <w:sz w:val="19"/>
              </w:rPr>
              <w:t>Universitas Trunojoyo Madura (UTM)</w:t>
            </w:r>
          </w:p>
        </w:tc>
      </w:tr>
    </w:tbl>
    <w:p/>
    <w:p>
      <w:pPr>
        <w:spacing w:before="280" w:after="120"/>
      </w:pPr>
      <w:r>
        <w:rPr>
          <w:b/>
          <w:sz w:val="26"/>
        </w:rPr>
        <w:t>B. PEMETAAN PER TEMA STANDAR</w:t>
      </w:r>
    </w:p>
    <w:p>
      <w:pPr>
        <w:spacing w:before="200" w:after="80"/>
      </w:pPr>
      <w:r>
        <w:rPr>
          <w:b/>
          <w:sz w:val="23"/>
        </w:rPr>
        <w:t>Tema 1. Kelengkapan Struktur Organisasi, OTK, dan Keefektifan Penyelenggaraan</w:t>
      </w:r>
    </w:p>
    <w:p>
      <w:pPr>
        <w:spacing w:after="120"/>
      </w:pPr>
      <w:r>
        <w:rPr>
          <w:b w:val="0"/>
          <w:i w:val="0"/>
        </w:rPr>
        <w:t>Ketentuan FTII UNISBANK: FTII wajib memiliki Statuta, Struktur Organisasi, serta Organisasi dan Tata Kerja (OTK) sebagai dasar tata pamong dan tata kelola, dengan bukti pelaksanaan tugas/wewenang UPPS dan Prodi yang terdokumentasi (rapat, berita acara).</w:t>
      </w:r>
    </w:p>
    <w:p>
      <w:pPr>
        <w:spacing w:after="120"/>
      </w:pPr>
      <w:r>
        <w:rPr>
          <w:b w:val="0"/>
          <w:i w:val="0"/>
        </w:rPr>
        <w:t>Analisis Kesesuaian: SELARAS PENUH dengan seluruh 5 rujukan — kelengkapan struktur organisasi dan keefektifan pelaksanaannya menjadi butir penilaian eksplisit pada R1 (skor 4 butir 2.1.1) dan R2 (Indikator 4.I skor 4). R3 dan R4 menilainya melalui bukti sistem tata kelola yang berjalan efektif (bukan struktur semata). FTII sudah memiliki IKU eksplisit ketersediaan Statuta/OTK/Struktur Organisasi dengan target 100% tersedia, setara ambang skor tertinggi kelima rujukan.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2.1.1 skor 4: 'Terbukti UPPS menjalankan tugas dan fungsinya, serta telah berjalan dengan konsisten sesuai SPO, dan terbukti dilakukan RTM secara rutin... serta menindaklanjuti temuan hasil audit mutu internal'.</w:t>
            </w:r>
          </w:p>
        </w:tc>
      </w:tr>
      <w:tr>
        <w:tc>
          <w:tcPr>
            <w:tcW w:type="dxa" w:w="4320"/>
          </w:tcPr>
          <w:p>
            <w:r/>
            <w:r>
              <w:rPr>
                <w:b w:val="0"/>
                <w:sz w:val="19"/>
              </w:rPr>
              <w:t>R2</w:t>
            </w:r>
          </w:p>
        </w:tc>
        <w:tc>
          <w:tcPr>
            <w:tcW w:type="dxa" w:w="4320"/>
          </w:tcPr>
          <w:p>
            <w:r/>
            <w:r>
              <w:rPr>
                <w:b w:val="0"/>
                <w:sz w:val="19"/>
              </w:rPr>
              <w:t>Indikator 4.I skor 4: '(1) Tersedianya statuta PT yang mengatur struktur organisasi dan kebijakan operasional; (2) kewenangan dan tugas dijalankan efektif; (3) bukti sahih pelaksanaan; (4) aras kewenangan organ pokok dijalankan efektif untuk mendukung perkembangan jangka panjang'.</w:t>
            </w:r>
          </w:p>
        </w:tc>
      </w:tr>
      <w:tr>
        <w:tc>
          <w:tcPr>
            <w:tcW w:type="dxa" w:w="4320"/>
          </w:tcPr>
          <w:p>
            <w:r/>
            <w:r>
              <w:rPr>
                <w:b w:val="0"/>
                <w:sz w:val="19"/>
              </w:rPr>
              <w:t>R3</w:t>
            </w:r>
          </w:p>
        </w:tc>
        <w:tc>
          <w:tcPr>
            <w:tcW w:type="dxa" w:w="4320"/>
          </w:tcPr>
          <w:p>
            <w:r/>
            <w:r>
              <w:rPr>
                <w:b w:val="0"/>
                <w:sz w:val="19"/>
              </w:rPr>
              <w:t>Butir 5.1.A [Penetapan]: 'Tersedianya kebijakan, standar dan indikator terkait sistem tata kelola yang otonom secara transparan dan akuntabel yang didukung kapasitas sarana prasarana memadai dan SDM profesional, disertai bukti-bukti yang sahih dan sangat lengkap' (skor sempurna).</w:t>
            </w:r>
          </w:p>
        </w:tc>
      </w:tr>
      <w:tr>
        <w:tc>
          <w:tcPr>
            <w:tcW w:type="dxa" w:w="4320"/>
          </w:tcPr>
          <w:p>
            <w:r/>
            <w:r>
              <w:rPr>
                <w:b w:val="0"/>
                <w:sz w:val="19"/>
              </w:rPr>
              <w:t>R4</w:t>
            </w:r>
          </w:p>
        </w:tc>
        <w:tc>
          <w:tcPr>
            <w:tcW w:type="dxa" w:w="4320"/>
          </w:tcPr>
          <w:p>
            <w:r/>
            <w:r>
              <w:rPr>
                <w:b w:val="0"/>
                <w:sz w:val="19"/>
              </w:rPr>
              <w:t>IKU No.1 Standar Sistem Tata Pamong: 'Persentase program studi/unit kerja di fakultas yang menerapkan Sistem Tata Pamong sesuai kebijakan universitas', target ≥95% (2023) naik ke 100% (2025-2026).</w:t>
            </w:r>
          </w:p>
        </w:tc>
      </w:tr>
      <w:tr>
        <w:tc>
          <w:tcPr>
            <w:tcW w:type="dxa" w:w="4320"/>
          </w:tcPr>
          <w:p>
            <w:r/>
            <w:r>
              <w:rPr>
                <w:b w:val="0"/>
                <w:sz w:val="19"/>
              </w:rPr>
              <w:t>R5</w:t>
            </w:r>
          </w:p>
        </w:tc>
        <w:tc>
          <w:tcPr>
            <w:tcW w:type="dxa" w:w="4320"/>
          </w:tcPr>
          <w:p>
            <w:r/>
            <w:r>
              <w:rPr>
                <w:b w:val="0"/>
                <w:sz w:val="19"/>
              </w:rPr>
              <w:t>Pernyataan Isi Standar No.1,3: 'Rektor menetapkan Standar Tata Pamong dalam Peraturan Rektor'; 'Rektor harus membentuk sistem administrasi pengelolaan pendidikan tinggi berasaskan prinsip efektivitas, efisiensi dan produktivitas'.</w:t>
            </w:r>
          </w:p>
        </w:tc>
      </w:tr>
    </w:tbl>
    <w:p/>
    <w:p>
      <w:pPr>
        <w:spacing w:before="200" w:after="80"/>
      </w:pPr>
      <w:r>
        <w:rPr>
          <w:b/>
          <w:sz w:val="23"/>
        </w:rPr>
        <w:t>Tema 2. Perwujudan Good University Governance (Pilar/Kaidah Tata Pamong)</w:t>
      </w:r>
    </w:p>
    <w:p>
      <w:pPr>
        <w:spacing w:after="120"/>
      </w:pPr>
      <w:r>
        <w:rPr>
          <w:b w:val="0"/>
          <w:i w:val="0"/>
        </w:rPr>
        <w:t>Ketentuan FTII UNISBANK: FTII wajib menerapkan sistem tata pamong yang menjamin kredibilitas, transparansi, akuntabilitas, tanggung jawab, keadilan, dan manajemen risiko (6 aspek) sesuai prinsip Good University Governance (GUG).</w:t>
      </w:r>
    </w:p>
    <w:p>
      <w:pPr>
        <w:spacing w:after="120"/>
      </w:pPr>
      <w:r>
        <w:rPr>
          <w:b w:val="0"/>
          <w:i w:val="0"/>
        </w:rPr>
        <w:t>Analisis Kesesuaian: SELARAS PENUH dengan seluruh 5 rujukan pada 5 aspek inti (kredibel, transparan, akuntabel, bertanggung jawab, adil), namun FTII LEBIH LENGKAP karena secara eksplisit menambahkan 'manajemen risiko' sebagai aspek ke-6 — istilah ini TIDAK DITEMUKAN sebagai pilar/kaidah GUG tersendiri pada kelima dokumen rujukan (R1 dan R5 secara eksplisit hanya merumuskan 5 pilar/asas; R2 menilai GUG secara kualitatif deskriptif tanpa merinci pilar; R3 dan R4 tidak memerinci nama-nama pilar). Manajemen risiko pada R2 hanya muncul sebagai bagian penilaian pengelolaan keuangan (lihat Tema 11), bukan sebagai pilar GUG umum.</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2.1.2 skor 4: 'Unit pengelola memiliki praktek baik (best practices) dalam menerapkan tata pamong yang memenuhi 5 kaidah good governance: 1) Kredibel, 2) Transparan, 3) Akuntabel, 4) Bertanggung jawab, 5) Adil, untuk menjamin penyelenggaraan Prodi yang bermutu'.</w:t>
            </w:r>
          </w:p>
        </w:tc>
      </w:tr>
      <w:tr>
        <w:tc>
          <w:tcPr>
            <w:tcW w:type="dxa" w:w="4320"/>
          </w:tcPr>
          <w:p>
            <w:r/>
            <w:r>
              <w:rPr>
                <w:b w:val="0"/>
                <w:sz w:val="19"/>
              </w:rPr>
              <w:t>R2</w:t>
            </w:r>
          </w:p>
        </w:tc>
        <w:tc>
          <w:tcPr>
            <w:tcW w:type="dxa" w:w="4320"/>
          </w:tcPr>
          <w:p>
            <w:r/>
            <w:r>
              <w:rPr>
                <w:b w:val="0"/>
                <w:sz w:val="19"/>
              </w:rPr>
              <w:t>Indikator 4.II skor 4: 'UPPS dikelola secara efektif, transparan dan akuntabel dalam mendukung kualitas akademik, menciptakan lingkungan yang kondusif, dan memaksimalkan dampak positif bagi seluruh pemangku kepentingan internal dan eksternal'.</w:t>
            </w:r>
          </w:p>
        </w:tc>
      </w:tr>
      <w:tr>
        <w:tc>
          <w:tcPr>
            <w:tcW w:type="dxa" w:w="4320"/>
          </w:tcPr>
          <w:p>
            <w:r/>
            <w:r>
              <w:rPr>
                <w:b w:val="0"/>
                <w:sz w:val="19"/>
              </w:rPr>
              <w:t>R3</w:t>
            </w:r>
          </w:p>
        </w:tc>
        <w:tc>
          <w:tcPr>
            <w:tcW w:type="dxa" w:w="4320"/>
          </w:tcPr>
          <w:p>
            <w:r/>
            <w:r>
              <w:rPr>
                <w:b w:val="0"/>
                <w:sz w:val="19"/>
              </w:rPr>
              <w:t>Butir 5.1.A-5.5.B: seluruh 10 sub-butir menilai 'sistem tata kelola yang otonom secara transparan dan akuntabel' pada lima tahap PPEPP; skor sempurna mensyaratkan pelaksanaan 'sangat efektif disertai bukti-bukti yang sahih dan sangat lengkap'.</w:t>
            </w:r>
          </w:p>
        </w:tc>
      </w:tr>
      <w:tr>
        <w:tc>
          <w:tcPr>
            <w:tcW w:type="dxa" w:w="4320"/>
          </w:tcPr>
          <w:p>
            <w:r/>
            <w:r>
              <w:rPr>
                <w:b w:val="0"/>
                <w:sz w:val="19"/>
              </w:rPr>
              <w:t>R4</w:t>
            </w:r>
          </w:p>
        </w:tc>
        <w:tc>
          <w:tcPr>
            <w:tcW w:type="dxa" w:w="4320"/>
          </w:tcPr>
          <w:p>
            <w:r/>
            <w:r>
              <w:rPr>
                <w:b w:val="0"/>
                <w:sz w:val="19"/>
              </w:rPr>
              <w:t>tidak ditemukan perincian nama-nama pilar/kaidah GUG secara eksplisit; Pernyataan Standar hanya menyebut 'menjamin efektivitas, transparansi, dan akuntabilitas tata pamong' (3 dari 5/6 aspek FTII).</w:t>
            </w:r>
          </w:p>
        </w:tc>
      </w:tr>
      <w:tr>
        <w:tc>
          <w:tcPr>
            <w:tcW w:type="dxa" w:w="4320"/>
          </w:tcPr>
          <w:p>
            <w:r/>
            <w:r>
              <w:rPr>
                <w:b w:val="0"/>
                <w:sz w:val="19"/>
              </w:rPr>
              <w:t>R5</w:t>
            </w:r>
          </w:p>
        </w:tc>
        <w:tc>
          <w:tcPr>
            <w:tcW w:type="dxa" w:w="4320"/>
          </w:tcPr>
          <w:p>
            <w:r/>
            <w:r>
              <w:rPr>
                <w:b w:val="0"/>
                <w:sz w:val="19"/>
              </w:rPr>
              <w:t>Rasional &amp; Definisi Istilah No.1: 'mewujudkan pengelolaan perguruan tinggi yang menjunjung tinggi asas kredibilitas, transparansi, akuntabilitas, tanggung jawab dan adil' (5 asas, identik dengan R1, tanpa manajemen risiko).</w:t>
            </w:r>
          </w:p>
        </w:tc>
      </w:tr>
    </w:tbl>
    <w:p/>
    <w:p>
      <w:pPr>
        <w:spacing w:before="200" w:after="80"/>
      </w:pPr>
      <w:r>
        <w:rPr>
          <w:b/>
          <w:sz w:val="23"/>
        </w:rPr>
        <w:t>Tema 3. Komitmen dan Kapabilitas Manajerial Pimpinan</w:t>
      </w:r>
    </w:p>
    <w:p>
      <w:pPr>
        <w:spacing w:after="120"/>
      </w:pPr>
      <w:r>
        <w:rPr>
          <w:b w:val="0"/>
          <w:i w:val="0"/>
        </w:rPr>
        <w:t>Ketentuan FTII UNISBANK: FTII menyebutkan peningkatan kapasitas manajerial pimpinan dalam bagian strategi VMTS (bukan sebagai pernyataan standar/IKU tersendiri pada Standar Tata Pamong).</w:t>
      </w:r>
    </w:p>
    <w:p>
      <w:pPr>
        <w:spacing w:after="120"/>
      </w:pPr>
      <w:r>
        <w:rPr>
          <w:b w:val="0"/>
          <w:i w:val="0"/>
        </w:rPr>
        <w:t>Analisis Kesesuaian: GAP TERIDENTIFIKASI — R1 dan R2 menjadikan 'komitmen pimpinan' dan 'kapabilitas manajerial pimpinan' sebagai butir penilaian tersendiri dengan bobot signifikan (R1 butir 2.2.1-2.2.2; R2 Indikator 5 dengan komponen kepemimpinan, pengambilan keputusan, dan manajemen konflik), namun Standar Tata Pamong FTII SAAT INI TIDAK memiliki pernyataan standar maupun IKU eksplisit dan terukur mengenai komitmen/kapabilitas manajerial pimpinan UPPS — hanya disinggung sepintas sebagai strategi operasional VMTS ('meningkatkan kapasitas manajerial pimpinan') tanpa indikator kinerja. R3, R4, dan R5 juga tidak merinci indikator kepemimpinan personal secara terpisah (fokus pada sistem, bukan individu pimpinan), sehingga ini merupakan area prioritas untuk penguatan pada standar unggul FTII.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2.2.1 'Komitmen unit pengelola Prodi (UPPS) dan Prodi dalam kepemimpinan' dan butir 2.2.2 'Kapabilitas pimpinan UPPS' — keduanya butir penilaian tersendiri terpisah dari struktur organisasi/GUG.</w:t>
            </w:r>
          </w:p>
        </w:tc>
      </w:tr>
      <w:tr>
        <w:tc>
          <w:tcPr>
            <w:tcW w:type="dxa" w:w="4320"/>
          </w:tcPr>
          <w:p>
            <w:r/>
            <w:r>
              <w:rPr>
                <w:b w:val="0"/>
                <w:sz w:val="19"/>
              </w:rPr>
              <w:t>R2</w:t>
            </w:r>
          </w:p>
        </w:tc>
        <w:tc>
          <w:tcPr>
            <w:tcW w:type="dxa" w:w="4320"/>
          </w:tcPr>
          <w:p>
            <w:r/>
            <w:r>
              <w:rPr>
                <w:b w:val="0"/>
                <w:sz w:val="19"/>
              </w:rPr>
              <w:t>Indikator 5.I 'Komitmen pimpinan': visi &amp; tujuan organisasi, integritas &amp; transparansi, pengembangan SDM. Indikator 5.II 'Kemampuan manajerial': kepemimpinan, pengambilan keputusan, manajemen konflik yang berdampak positif bagi organisasi (skor 4).</w:t>
            </w:r>
          </w:p>
        </w:tc>
      </w:tr>
      <w:tr>
        <w:tc>
          <w:tcPr>
            <w:tcW w:type="dxa" w:w="4320"/>
          </w:tcPr>
          <w:p>
            <w:r/>
            <w:r>
              <w:rPr>
                <w:b w:val="0"/>
                <w:sz w:val="19"/>
              </w:rPr>
              <w:t>R3</w:t>
            </w:r>
          </w:p>
        </w:tc>
        <w:tc>
          <w:tcPr>
            <w:tcW w:type="dxa" w:w="4320"/>
          </w:tcPr>
          <w:p>
            <w:r/>
            <w:r>
              <w:rPr>
                <w:b w:val="0"/>
                <w:sz w:val="19"/>
              </w:rPr>
              <w:t>tidak ditemukan butir penilaian kepemimpinan personal pimpinan yang terpisah dalam Kriteria 5 Akuntabilitas (fokus pada sistem tata kelola, bukan individu).</w:t>
            </w:r>
          </w:p>
        </w:tc>
      </w:tr>
      <w:tr>
        <w:tc>
          <w:tcPr>
            <w:tcW w:type="dxa" w:w="4320"/>
          </w:tcPr>
          <w:p>
            <w:r/>
            <w:r>
              <w:rPr>
                <w:b w:val="0"/>
                <w:sz w:val="19"/>
              </w:rPr>
              <w:t>R4</w:t>
            </w:r>
          </w:p>
        </w:tc>
        <w:tc>
          <w:tcPr>
            <w:tcW w:type="dxa" w:w="4320"/>
          </w:tcPr>
          <w:p>
            <w:r/>
            <w:r>
              <w:rPr>
                <w:b w:val="0"/>
                <w:sz w:val="19"/>
              </w:rPr>
              <w:t>tidak ditemukan indikator kepemimpinan/kapabilitas manajerial pimpinan yang terpisah dalam Standar Sistem Tata Pamong (fokus pada sistem dan fungsi manajemen unit kerja).</w:t>
            </w:r>
          </w:p>
        </w:tc>
      </w:tr>
      <w:tr>
        <w:tc>
          <w:tcPr>
            <w:tcW w:type="dxa" w:w="4320"/>
          </w:tcPr>
          <w:p>
            <w:r/>
            <w:r>
              <w:rPr>
                <w:b w:val="0"/>
                <w:sz w:val="19"/>
              </w:rPr>
              <w:t>R5</w:t>
            </w:r>
          </w:p>
        </w:tc>
        <w:tc>
          <w:tcPr>
            <w:tcW w:type="dxa" w:w="4320"/>
          </w:tcPr>
          <w:p>
            <w:r/>
            <w:r>
              <w:rPr>
                <w:b w:val="0"/>
                <w:sz w:val="19"/>
              </w:rPr>
              <w:t>disinggung tidak langsung pada Rasional ('kepemimpinan yang mengedepankan good university governance') namun tidak dirumuskan sebagai indikator terukur tersendiri.</w:t>
            </w:r>
          </w:p>
        </w:tc>
      </w:tr>
    </w:tbl>
    <w:p/>
    <w:p>
      <w:pPr>
        <w:spacing w:before="200" w:after="80"/>
      </w:pPr>
      <w:r>
        <w:rPr>
          <w:b/>
          <w:sz w:val="23"/>
        </w:rPr>
        <w:t>Tema 4. Fungsi Manajemen (Planning-Organizing-Staffing-Leading-Controlling) Terdokumentasi</w:t>
      </w:r>
    </w:p>
    <w:p>
      <w:pPr>
        <w:spacing w:after="120"/>
      </w:pPr>
      <w:r>
        <w:rPr>
          <w:b w:val="0"/>
          <w:i w:val="0"/>
        </w:rPr>
        <w:t>Ketentuan FTII UNISBANK: Universitas dan FTII wajib memiliki sistem pengelolaan berbasis fungsi manajemen (perencanaan, pengorganisasian, penempatan personil, pengarahan, pengawasan) yang dibuktikan dengan dokumen formal dan implementasinya.</w:t>
      </w:r>
    </w:p>
    <w:p>
      <w:pPr>
        <w:spacing w:after="120"/>
      </w:pPr>
      <w:r>
        <w:rPr>
          <w:b w:val="0"/>
          <w:i w:val="0"/>
        </w:rPr>
        <w:t>Analisis Kesesuaian: IDENTIK dengan R5 dan SANGAT SELARAS dengan R4 — R5 merumuskan kelima unsur fungsi manajemen persis sama (perencanaan, pengorganisasian, pengembangan staf, pengarahan, pengawasan) sebagai bagian Pernyataan Standar; R4 menjadikannya IKT tersendiri dengan target kuantitatif eksplisit (≥95% unit kerja memiliki dokumen fungsi manajemen, naik ke 100%). FTII LEBIH TERUKUR dibanding R1/R2/R3 yang menilai fungsi manajemen secara tersirat lewat SOP/bukti tata kelola tanpa merinci kelima fungsi POSDC secara eksplisit.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IKU No.2: 'Persentase unit kerja di fakultas yang memiliki dokumen pelaksanaan fungsi manajemen (planning, organizing, staffing, leading, controlling)', target ≥95% (2023) menuju 100% (2025-2026).</w:t>
            </w:r>
          </w:p>
        </w:tc>
      </w:tr>
      <w:tr>
        <w:tc>
          <w:tcPr>
            <w:tcW w:type="dxa" w:w="4320"/>
          </w:tcPr>
          <w:p>
            <w:r/>
            <w:r>
              <w:rPr>
                <w:b w:val="0"/>
                <w:sz w:val="19"/>
              </w:rPr>
              <w:t>R5</w:t>
            </w:r>
          </w:p>
        </w:tc>
        <w:tc>
          <w:tcPr>
            <w:tcW w:type="dxa" w:w="4320"/>
          </w:tcPr>
          <w:p>
            <w:r/>
            <w:r>
              <w:rPr>
                <w:b w:val="0"/>
                <w:sz w:val="19"/>
              </w:rPr>
              <w:t>Pernyataan Isi Standar No.4: pimpinan 'harus memastikan tata pamong dijalankan dengan baik dimulai dari sistem pengelolaan fungsional yang meliputi perencanaan, pengorganisasian, pengembangan staf, pengarahan, pengawasan, monitoring dan evaluasi'.</w:t>
            </w:r>
          </w:p>
        </w:tc>
      </w:tr>
      <w:tr>
        <w:tc>
          <w:tcPr>
            <w:tcW w:type="dxa" w:w="4320"/>
          </w:tcPr>
          <w:p>
            <w:r/>
            <w:r>
              <w:rPr>
                <w:b w:val="0"/>
                <w:sz w:val="19"/>
              </w:rPr>
              <w:t>R1</w:t>
            </w:r>
          </w:p>
        </w:tc>
        <w:tc>
          <w:tcPr>
            <w:tcW w:type="dxa" w:w="4320"/>
          </w:tcPr>
          <w:p>
            <w:r/>
            <w:r>
              <w:rPr>
                <w:b w:val="0"/>
                <w:sz w:val="19"/>
              </w:rPr>
              <w:t>tidak ditemukan perincian eksplisit 5 fungsi manajemen POSDC; dinilai secara tersirat melalui 'SOP untuk pengelolaan fungsional dan operasional' pada dokumen pendukung butir 2.1.1.</w:t>
            </w:r>
          </w:p>
        </w:tc>
      </w:tr>
      <w:tr>
        <w:tc>
          <w:tcPr>
            <w:tcW w:type="dxa" w:w="4320"/>
          </w:tcPr>
          <w:p>
            <w:r/>
            <w:r>
              <w:rPr>
                <w:b w:val="0"/>
                <w:sz w:val="19"/>
              </w:rPr>
              <w:t>R2</w:t>
            </w:r>
          </w:p>
        </w:tc>
        <w:tc>
          <w:tcPr>
            <w:tcW w:type="dxa" w:w="4320"/>
          </w:tcPr>
          <w:p>
            <w:r/>
            <w:r>
              <w:rPr>
                <w:b w:val="0"/>
                <w:sz w:val="19"/>
              </w:rPr>
              <w:t>tidak ditemukan perincian eksplisit 5 fungsi manajemen; indikator berfokus pada kelengkapan struktur organisasi dan perwujudan GUG secara umum.</w:t>
            </w:r>
          </w:p>
        </w:tc>
      </w:tr>
      <w:tr>
        <w:tc>
          <w:tcPr>
            <w:tcW w:type="dxa" w:w="4320"/>
          </w:tcPr>
          <w:p>
            <w:r/>
            <w:r>
              <w:rPr>
                <w:b w:val="0"/>
                <w:sz w:val="19"/>
              </w:rPr>
              <w:t>R3</w:t>
            </w:r>
          </w:p>
        </w:tc>
        <w:tc>
          <w:tcPr>
            <w:tcW w:type="dxa" w:w="4320"/>
          </w:tcPr>
          <w:p>
            <w:r/>
            <w:r>
              <w:rPr>
                <w:b w:val="0"/>
                <w:sz w:val="19"/>
              </w:rPr>
              <w:t>tidak ditemukan perincian eksplisit 5 fungsi manajemen; Kriteria 5 menilai 'sistem tata kelola yang otonom' secara umum tanpa memerinci fungsi manajemen.</w:t>
            </w:r>
          </w:p>
        </w:tc>
      </w:tr>
    </w:tbl>
    <w:p/>
    <w:p>
      <w:pPr>
        <w:spacing w:before="200" w:after="80"/>
      </w:pPr>
      <w:r>
        <w:rPr>
          <w:b/>
          <w:sz w:val="23"/>
        </w:rPr>
        <w:t>Tema 5. Monitoring, Evaluasi, dan Audit Mutu Internal (AMI) atas Tata Pamong</w:t>
      </w:r>
    </w:p>
    <w:p>
      <w:pPr>
        <w:spacing w:after="120"/>
      </w:pPr>
      <w:r>
        <w:rPr>
          <w:b w:val="0"/>
          <w:i w:val="0"/>
        </w:rPr>
        <w:t>Ketentuan FTII UNISBANK: Universitas dan FTII wajib memiliki sistem monitoring dan evaluasi (Monev) pada setiap unit kerja serta melaksanakan Audit Mutu Internal (AMI) secara berkala untuk menjamin akuntabilitas, transparansi, keberlanjutan, dan mitigasi risiko.</w:t>
      </w:r>
    </w:p>
    <w:p>
      <w:pPr>
        <w:spacing w:after="120"/>
      </w:pPr>
      <w:r>
        <w:rPr>
          <w:b w:val="0"/>
          <w:i w:val="0"/>
        </w:rPr>
        <w:t>Analisis Kesesuaian: SELARAS PENUH dengan seluruh 5 rujukan — evaluasi/AMI atas tata pamong merupakan komponen universal: R1 mensyaratkan RTM rutin dan tindak lanjut AMI sebagai syarat skor 4 (butir 2.1.1); R3 memecah evaluasi tata kelola menjadi tahap tersendiri (5.3.A/B [Evaluasi] dan 5.4.A/B [Pengendalian]); R4 dan R5 memiliki IKT/indikator frekuensi monev eksplisit. FTII sudah memiliki pernyataan standar dan mekanisme AMI namun belum memiliki ambang frekuensi kuantitatif eksplisit (mis. jumlah AMI per tahun) sebagaimana dimiliki R4.</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2.1.1 syarat skor 4: 'Terbukti dilakukan RTM secara rutin... dan terbukti dilakukan RTM dalam rangka menindaklanjuti dan menyelesaikan temuan hasil audit mutu internal'.</w:t>
            </w:r>
          </w:p>
        </w:tc>
      </w:tr>
      <w:tr>
        <w:tc>
          <w:tcPr>
            <w:tcW w:type="dxa" w:w="4320"/>
          </w:tcPr>
          <w:p>
            <w:r/>
            <w:r>
              <w:rPr>
                <w:b w:val="0"/>
                <w:sz w:val="19"/>
              </w:rPr>
              <w:t>R3</w:t>
            </w:r>
          </w:p>
        </w:tc>
        <w:tc>
          <w:tcPr>
            <w:tcW w:type="dxa" w:w="4320"/>
          </w:tcPr>
          <w:p>
            <w:r/>
            <w:r>
              <w:rPr>
                <w:b w:val="0"/>
                <w:sz w:val="19"/>
              </w:rPr>
              <w:t>Butir 5.3.A/B [Evaluasi] skor sempurna: 'Evaluasi ketercapaian standar dan indikator terkait sistem tata kelola... dilaksanakan secara berkala dan sangat efektif'; Butir 5.4.A/B [Pengendalian]: 'Tindak lanjut hasil evaluasi... dilaksanakan secara sangat efektif'.</w:t>
            </w:r>
          </w:p>
        </w:tc>
      </w:tr>
      <w:tr>
        <w:tc>
          <w:tcPr>
            <w:tcW w:type="dxa" w:w="4320"/>
          </w:tcPr>
          <w:p>
            <w:r/>
            <w:r>
              <w:rPr>
                <w:b w:val="0"/>
                <w:sz w:val="19"/>
              </w:rPr>
              <w:t>R4</w:t>
            </w:r>
          </w:p>
        </w:tc>
        <w:tc>
          <w:tcPr>
            <w:tcW w:type="dxa" w:w="4320"/>
          </w:tcPr>
          <w:p>
            <w:r/>
            <w:r>
              <w:rPr>
                <w:b w:val="0"/>
                <w:sz w:val="19"/>
              </w:rPr>
              <w:t>IKT No.6: 'Frekuensi monitoring dan evaluasi internal ketercapaian Sistem Tata Pamong di tingkat fakultas per tahun', target ≥1 kali/tahun (seluruh periode); Mekanisme Evaluasi No.3: 'Audit Mutu Internal (AMI) pada aspek tata pamong sesuai siklus universitas'.</w:t>
            </w:r>
          </w:p>
        </w:tc>
      </w:tr>
      <w:tr>
        <w:tc>
          <w:tcPr>
            <w:tcW w:type="dxa" w:w="4320"/>
          </w:tcPr>
          <w:p>
            <w:r/>
            <w:r>
              <w:rPr>
                <w:b w:val="0"/>
                <w:sz w:val="19"/>
              </w:rPr>
              <w:t>R5</w:t>
            </w:r>
          </w:p>
        </w:tc>
        <w:tc>
          <w:tcPr>
            <w:tcW w:type="dxa" w:w="4320"/>
          </w:tcPr>
          <w:p>
            <w:r/>
            <w:r>
              <w:rPr>
                <w:b w:val="0"/>
                <w:sz w:val="19"/>
              </w:rPr>
              <w:t>Indikator No.7: 'Tersedianya dokumen monitoring dan evaluasi ketercapaian standar tata pamong'; Strategi No.3: 'Pusat Jaminan Mutu melaksanakan audit internal untuk mengukur pelaksanaan standar tata pamong'.</w:t>
            </w:r>
          </w:p>
        </w:tc>
      </w:tr>
      <w:tr>
        <w:tc>
          <w:tcPr>
            <w:tcW w:type="dxa" w:w="4320"/>
          </w:tcPr>
          <w:p>
            <w:r/>
            <w:r>
              <w:rPr>
                <w:b w:val="0"/>
                <w:sz w:val="19"/>
              </w:rPr>
              <w:t>R2</w:t>
            </w:r>
          </w:p>
        </w:tc>
        <w:tc>
          <w:tcPr>
            <w:tcW w:type="dxa" w:w="4320"/>
          </w:tcPr>
          <w:p>
            <w:r/>
            <w:r>
              <w:rPr>
                <w:b w:val="0"/>
                <w:sz w:val="19"/>
              </w:rPr>
              <w:t>tidak ditemukan indikator AMI/monev tersendiri pada Kriteria 2.1 Tata Pamong dan Tata Kelola (dinilai secara tersirat melalui perwujudan GUG dan pengelolaan risiko pada indikator keuangan).</w:t>
            </w:r>
          </w:p>
        </w:tc>
      </w:tr>
    </w:tbl>
    <w:p/>
    <w:p>
      <w:pPr>
        <w:spacing w:before="200" w:after="80"/>
      </w:pPr>
      <w:r>
        <w:rPr>
          <w:b/>
          <w:sz w:val="23"/>
        </w:rPr>
        <w:t>Tema 6. Sistem Informasi/TIK Terintegrasi sebagai Penunjang Tata Kelola</w:t>
      </w:r>
    </w:p>
    <w:p>
      <w:pPr>
        <w:spacing w:after="120"/>
      </w:pPr>
      <w:r>
        <w:rPr>
          <w:b w:val="0"/>
          <w:i w:val="0"/>
        </w:rPr>
        <w:t>Ketentuan FTII UNISBANK: Universitas dan FTII wajib memiliki kebijakan dan sistem pengelolaan data dan informasi berbasis TIK yang terintegrasi, aman, dan mendukung pengambilan keputusan berbasis data.</w:t>
      </w:r>
    </w:p>
    <w:p>
      <w:pPr>
        <w:spacing w:after="120"/>
      </w:pPr>
      <w:r>
        <w:rPr>
          <w:b w:val="0"/>
          <w:i w:val="0"/>
        </w:rPr>
        <w:t>Analisis Kesesuaian: SELARAS SEBAGIAN — R5 secara eksplisit mensyaratkan ketersediaan sistem informasi administrasi umum sebagai indikator Standar Tata Pamong (Paperless Office, SIMPEG, dsb.), sejalan dengan ketentuan FTII. Namun pada R1, R3, dan R4, pembahasan sistem informasi/TIK TIDAK ditemukan sebagai bagian kriteria tata pamong itu sendiri — ketiganya membahas sistem informasi sebagai STANDAR/KRITERIA TERSENDIRI yang terpisah (mis. R4 memiliki 'Standar Layanan Sistem Informasi' tersendiri di luar 'Standar Sistem Tata Pamong'). Hal ini bukan gap substantif, melainkan perbedaan pengelompokan standar antar-institusi.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R5</w:t>
            </w:r>
          </w:p>
        </w:tc>
        <w:tc>
          <w:tcPr>
            <w:tcW w:type="dxa" w:w="4320"/>
          </w:tcPr>
          <w:p>
            <w:r/>
            <w:r>
              <w:rPr>
                <w:b w:val="0"/>
                <w:sz w:val="19"/>
              </w:rPr>
              <w:t>Pernyataan Isi Standar No.6: 'Kepala UPT TIK memastikan tersedianya Sistem informasi administrasi umum yang ada antara lain Paperless office (PLO), Sistem informasi kepegawaian (SIMPEG), SIMP2U, Keuangan PNBP (SIMKEU), Kinerja dan Evaluasi Dosen (SINEKAD), SIKADIK, dan LPSE'; Indikator No.5: 'Tersedianya sistem informasi administrasi umum'.</w:t>
            </w:r>
          </w:p>
        </w:tc>
      </w:tr>
      <w:tr>
        <w:tc>
          <w:tcPr>
            <w:tcW w:type="dxa" w:w="4320"/>
          </w:tcPr>
          <w:p>
            <w:r/>
            <w:r>
              <w:rPr>
                <w:b w:val="0"/>
                <w:sz w:val="19"/>
              </w:rPr>
              <w:t>R1</w:t>
            </w:r>
          </w:p>
        </w:tc>
        <w:tc>
          <w:tcPr>
            <w:tcW w:type="dxa" w:w="4320"/>
          </w:tcPr>
          <w:p>
            <w:r/>
            <w:r>
              <w:rPr>
                <w:b w:val="0"/>
                <w:sz w:val="19"/>
              </w:rPr>
              <w:t>tidak dibahas sebagai bagian Standar 2 Tata Pamong, Tata Kelola dan Kerjasama; sistem informasi (SIAKAD, SIMPEG, dsb.) hanya disebut sebagai sumber data pelaporan pada bagian lain dokumen.</w:t>
            </w:r>
          </w:p>
        </w:tc>
      </w:tr>
      <w:tr>
        <w:tc>
          <w:tcPr>
            <w:tcW w:type="dxa" w:w="4320"/>
          </w:tcPr>
          <w:p>
            <w:r/>
            <w:r>
              <w:rPr>
                <w:b w:val="0"/>
                <w:sz w:val="19"/>
              </w:rPr>
              <w:t>R2</w:t>
            </w:r>
          </w:p>
        </w:tc>
        <w:tc>
          <w:tcPr>
            <w:tcW w:type="dxa" w:w="4320"/>
          </w:tcPr>
          <w:p>
            <w:r/>
            <w:r>
              <w:rPr>
                <w:b w:val="0"/>
                <w:sz w:val="19"/>
              </w:rPr>
              <w:t>tidak ditemukan pembahasan sistem informasi/TIK pada Kriteria 2.1 Tata Pamong dan Tata Kelola.</w:t>
            </w:r>
          </w:p>
        </w:tc>
      </w:tr>
      <w:tr>
        <w:tc>
          <w:tcPr>
            <w:tcW w:type="dxa" w:w="4320"/>
          </w:tcPr>
          <w:p>
            <w:r/>
            <w:r>
              <w:rPr>
                <w:b w:val="0"/>
                <w:sz w:val="19"/>
              </w:rPr>
              <w:t>R3</w:t>
            </w:r>
          </w:p>
        </w:tc>
        <w:tc>
          <w:tcPr>
            <w:tcW w:type="dxa" w:w="4320"/>
          </w:tcPr>
          <w:p>
            <w:r/>
            <w:r>
              <w:rPr>
                <w:b w:val="0"/>
                <w:sz w:val="19"/>
              </w:rPr>
              <w:t>tidak ditemukan pembahasan sistem informasi/TIK pada Kriteria 5 Akuntabilitas.</w:t>
            </w:r>
          </w:p>
        </w:tc>
      </w:tr>
      <w:tr>
        <w:tc>
          <w:tcPr>
            <w:tcW w:type="dxa" w:w="4320"/>
          </w:tcPr>
          <w:p>
            <w:r/>
            <w:r>
              <w:rPr>
                <w:b w:val="0"/>
                <w:sz w:val="19"/>
              </w:rPr>
              <w:t>R4</w:t>
            </w:r>
          </w:p>
        </w:tc>
        <w:tc>
          <w:tcPr>
            <w:tcW w:type="dxa" w:w="4320"/>
          </w:tcPr>
          <w:p>
            <w:r/>
            <w:r>
              <w:rPr>
                <w:b w:val="0"/>
                <w:sz w:val="19"/>
              </w:rPr>
              <w:t>dibahas sebagai standar tersendiri ('Standar Layanan Sistem Informasi'), terpisah dari 'Standar Sistem Tata Pamong'.</w:t>
            </w:r>
          </w:p>
        </w:tc>
      </w:tr>
    </w:tbl>
    <w:p/>
    <w:p>
      <w:pPr>
        <w:spacing w:before="200" w:after="80"/>
      </w:pPr>
      <w:r>
        <w:rPr>
          <w:b/>
          <w:sz w:val="23"/>
        </w:rPr>
        <w:t>Tema 7. Pengelolaan Akademik Prodi dan Mekanisme Pengambilan Keputusan</w:t>
      </w:r>
    </w:p>
    <w:p>
      <w:pPr>
        <w:spacing w:after="120"/>
      </w:pPr>
      <w:r>
        <w:rPr>
          <w:b w:val="0"/>
          <w:i w:val="0"/>
        </w:rPr>
        <w:t>Ketentuan FTII UNISBANK: FTII dan Program Studi wajib memiliki kebijakan pengelolaan akademik, uraian tugas (job description), serta mekanisme pengambilan keputusan yang terdokumentasi; Ketua Program Studi wajib melaksanakan koordinasi tridharma di tingkat program studi.</w:t>
      </w:r>
    </w:p>
    <w:p>
      <w:pPr>
        <w:spacing w:after="120"/>
      </w:pPr>
      <w:r>
        <w:rPr>
          <w:b w:val="0"/>
          <w:i w:val="0"/>
        </w:rPr>
        <w:t>Analisis Kesesuaian: SELARAS dengan R1 dan R4 — R1 menjadikan bukti keterlibatan Departemen/Prodi dalam kebijakan (termasuk penerimaan mahasiswa) sebagai syarat penilaian; R4 mensyaratkan dokumen pelaksanaan fungsi manajemen pada tiap unit kerja (termasuk prodi) sebagai IKT. R2, R3, dan R5 tidak secara eksplisit merinci job description/mekanisme pengambilan keputusan tingkat program studi (dinilai lewat sistem tata kelola secara umum), sehingga FTII memiliki kerincian tambahan pada level ini.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Dokumen pendukung butir 2.1.1 mensyaratkan bukti Prodi 'menjalankan tugas dan fungsinya... sesuai SPO'; butir 3.1.1.B mensyaratkan 'bukti keterlibatan Departemen di dalam penentuan kebijakan dan mekanisme' terkait pengelolaan akademik prodi.</w:t>
            </w:r>
          </w:p>
        </w:tc>
      </w:tr>
      <w:tr>
        <w:tc>
          <w:tcPr>
            <w:tcW w:type="dxa" w:w="4320"/>
          </w:tcPr>
          <w:p>
            <w:r/>
            <w:r>
              <w:rPr>
                <w:b w:val="0"/>
                <w:sz w:val="19"/>
              </w:rPr>
              <w:t>R4</w:t>
            </w:r>
          </w:p>
        </w:tc>
        <w:tc>
          <w:tcPr>
            <w:tcW w:type="dxa" w:w="4320"/>
          </w:tcPr>
          <w:p>
            <w:r/>
            <w:r>
              <w:rPr>
                <w:b w:val="0"/>
                <w:sz w:val="19"/>
              </w:rPr>
              <w:t>IKU No.2 mencakup 'unit kerja di fakultas' (termasuk program studi) yang memiliki dokumen fungsi manajemen; Pihak Bertanggung Jawab mencantumkan 'Koordinator Program Studi' secara eksplisit.</w:t>
            </w:r>
          </w:p>
        </w:tc>
      </w:tr>
      <w:tr>
        <w:tc>
          <w:tcPr>
            <w:tcW w:type="dxa" w:w="4320"/>
          </w:tcPr>
          <w:p>
            <w:r/>
            <w:r>
              <w:rPr>
                <w:b w:val="0"/>
                <w:sz w:val="19"/>
              </w:rPr>
              <w:t>R2</w:t>
            </w:r>
          </w:p>
        </w:tc>
        <w:tc>
          <w:tcPr>
            <w:tcW w:type="dxa" w:w="4320"/>
          </w:tcPr>
          <w:p>
            <w:r/>
            <w:r>
              <w:rPr>
                <w:b w:val="0"/>
                <w:sz w:val="19"/>
              </w:rPr>
              <w:t>tidak ditemukan perincian eksplisit mekanisme pengambilan keputusan/job description tingkat program studi pada Kriteria 2.1.</w:t>
            </w:r>
          </w:p>
        </w:tc>
      </w:tr>
      <w:tr>
        <w:tc>
          <w:tcPr>
            <w:tcW w:type="dxa" w:w="4320"/>
          </w:tcPr>
          <w:p>
            <w:r/>
            <w:r>
              <w:rPr>
                <w:b w:val="0"/>
                <w:sz w:val="19"/>
              </w:rPr>
              <w:t>R3</w:t>
            </w:r>
          </w:p>
        </w:tc>
        <w:tc>
          <w:tcPr>
            <w:tcW w:type="dxa" w:w="4320"/>
          </w:tcPr>
          <w:p>
            <w:r/>
            <w:r>
              <w:rPr>
                <w:b w:val="0"/>
                <w:sz w:val="19"/>
              </w:rPr>
              <w:t>tidak ditemukan perincian eksplisit job description/mekanisme pengambilan keputusan tingkat program studi pada Kriteria 5.</w:t>
            </w:r>
          </w:p>
        </w:tc>
      </w:tr>
      <w:tr>
        <w:tc>
          <w:tcPr>
            <w:tcW w:type="dxa" w:w="4320"/>
          </w:tcPr>
          <w:p>
            <w:r/>
            <w:r>
              <w:rPr>
                <w:b w:val="0"/>
                <w:sz w:val="19"/>
              </w:rPr>
              <w:t>R5</w:t>
            </w:r>
          </w:p>
        </w:tc>
        <w:tc>
          <w:tcPr>
            <w:tcW w:type="dxa" w:w="4320"/>
          </w:tcPr>
          <w:p>
            <w:r/>
            <w:r>
              <w:rPr>
                <w:b w:val="0"/>
                <w:sz w:val="19"/>
              </w:rPr>
              <w:t>tidak ditemukan perincian eksplisit job description/mekanisme pengambilan keputusan tingkat program studi pada 8.4 (dibahas secara umum di tingkat universitas/fakultas).</w:t>
            </w:r>
          </w:p>
        </w:tc>
      </w:tr>
    </w:tbl>
    <w:p/>
    <w:p>
      <w:pPr>
        <w:spacing w:before="200" w:after="80"/>
      </w:pPr>
      <w:r>
        <w:rPr>
          <w:b/>
          <w:sz w:val="23"/>
        </w:rPr>
        <w:t>Tema 8. Pedoman Pengelolaan Multi-Aspek (11 Bidang) dan Suasana Akademik</w:t>
      </w:r>
    </w:p>
    <w:p>
      <w:pPr>
        <w:spacing w:after="120"/>
      </w:pPr>
      <w:r>
        <w:rPr>
          <w:b w:val="0"/>
          <w:i w:val="0"/>
        </w:rPr>
        <w:t>Ketentuan FTII UNISBANK: Universitas dan FTII wajib menyediakan dokumen formal dan pedoman pengelolaan yang mencakup 11 aspek (pendidikan, suasana akademik &amp; otonomi keilmuan, kemahasiswaan, penelitian, PkM, SDM, keuangan, sarana prasarana, sistem informasi, penjaminan mutu, kerja sama), termasuk pedoman suasana akademik, kebebasan akademik, kebebasan mimbar akademik, dan otonomi keilmuan.</w:t>
      </w:r>
    </w:p>
    <w:p>
      <w:pPr>
        <w:spacing w:after="120"/>
      </w:pPr>
      <w:r>
        <w:rPr>
          <w:b w:val="0"/>
          <w:i w:val="0"/>
        </w:rPr>
        <w:t>Analisis Kesesuaian: SELARAS PENUH dengan R1 dan IDENTIK PENDEKATANNYA dengan gagasan 'kelengkapan pedoman pengelolaan' pada seluruh rujukan, meski tidak satu pun dari R1-R5 merumuskan persis 11 aspek yang sama seperti FTII. R1 menilai kelengkapan pedoman secara tersirat melalui pemenuhan SPO pada seluruh bidang tridharma dan tata kelola. Cakupan 11 aspek FTII LEBIH KOMPREHENSIF dan eksplisit dibanding kelima rujukan yang cenderung membahas tiap aspek sebagai standar/kriteria terpisah (bukan satu daftar pedoman terintegrasi).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Dokumen pendukung butir 2.1.1 mensyaratkan 'Kebijakan tertulis tentang tatakelola pelaksanaan, tatakelola terdiri atas 5 aspek' dan 'SOP untuk pengelolaan fungsional dan operasional' — mendekati konsep pedoman multi-aspek FTII namun dengan cakupan 5 aspek, bukan 11.</w:t>
            </w:r>
          </w:p>
        </w:tc>
      </w:tr>
      <w:tr>
        <w:tc>
          <w:tcPr>
            <w:tcW w:type="dxa" w:w="4320"/>
          </w:tcPr>
          <w:p>
            <w:r/>
            <w:r>
              <w:rPr>
                <w:b w:val="0"/>
                <w:sz w:val="19"/>
              </w:rPr>
              <w:t>R2</w:t>
            </w:r>
          </w:p>
        </w:tc>
        <w:tc>
          <w:tcPr>
            <w:tcW w:type="dxa" w:w="4320"/>
          </w:tcPr>
          <w:p>
            <w:r/>
            <w:r>
              <w:rPr>
                <w:b w:val="0"/>
                <w:sz w:val="19"/>
              </w:rPr>
              <w:t>tidak ditemukan daftar pedoman pengelolaan multi-aspek yang eksplisit pada Kriteria 2.1.</w:t>
            </w:r>
          </w:p>
        </w:tc>
      </w:tr>
      <w:tr>
        <w:tc>
          <w:tcPr>
            <w:tcW w:type="dxa" w:w="4320"/>
          </w:tcPr>
          <w:p>
            <w:r/>
            <w:r>
              <w:rPr>
                <w:b w:val="0"/>
                <w:sz w:val="19"/>
              </w:rPr>
              <w:t>R3</w:t>
            </w:r>
          </w:p>
        </w:tc>
        <w:tc>
          <w:tcPr>
            <w:tcW w:type="dxa" w:w="4320"/>
          </w:tcPr>
          <w:p>
            <w:r/>
            <w:r>
              <w:rPr>
                <w:b w:val="0"/>
                <w:sz w:val="19"/>
              </w:rPr>
              <w:t>tidak ditemukan daftar pedoman pengelolaan multi-aspek yang eksplisit pada Kriteria 5.</w:t>
            </w:r>
          </w:p>
        </w:tc>
      </w:tr>
      <w:tr>
        <w:tc>
          <w:tcPr>
            <w:tcW w:type="dxa" w:w="4320"/>
          </w:tcPr>
          <w:p>
            <w:r/>
            <w:r>
              <w:rPr>
                <w:b w:val="0"/>
                <w:sz w:val="19"/>
              </w:rPr>
              <w:t>R4</w:t>
            </w:r>
          </w:p>
        </w:tc>
        <w:tc>
          <w:tcPr>
            <w:tcW w:type="dxa" w:w="4320"/>
          </w:tcPr>
          <w:p>
            <w:r/>
            <w:r>
              <w:rPr>
                <w:b w:val="0"/>
                <w:sz w:val="19"/>
              </w:rPr>
              <w:t>setiap aspek (pendidikan, penelitian, PkM, SDM, keuangan, dst.) dibahas sebagai STANDAR TERSENDIRI dalam dokumen SPMI Fasilkom, bukan sebagai satu daftar pedoman terintegrasi di bawah Standar Sistem Tata Pamong.</w:t>
            </w:r>
          </w:p>
        </w:tc>
      </w:tr>
      <w:tr>
        <w:tc>
          <w:tcPr>
            <w:tcW w:type="dxa" w:w="4320"/>
          </w:tcPr>
          <w:p>
            <w:r/>
            <w:r>
              <w:rPr>
                <w:b w:val="0"/>
                <w:sz w:val="19"/>
              </w:rPr>
              <w:t>R5</w:t>
            </w:r>
          </w:p>
        </w:tc>
        <w:tc>
          <w:tcPr>
            <w:tcW w:type="dxa" w:w="4320"/>
          </w:tcPr>
          <w:p>
            <w:r/>
            <w:r>
              <w:rPr>
                <w:b w:val="0"/>
                <w:sz w:val="19"/>
              </w:rPr>
              <w:t>setiap aspek juga dibahas sebagai bagian standar tersendiri (Standar Tata Kelola memiliki banyak sub-bagian: layanan sistem informasi, kehumasan, dsb.), bukan satu daftar pedoman terintegrasi tunggal.</w:t>
            </w:r>
          </w:p>
        </w:tc>
      </w:tr>
    </w:tbl>
    <w:p/>
    <w:p>
      <w:pPr>
        <w:spacing w:before="200" w:after="80"/>
      </w:pPr>
      <w:r>
        <w:rPr>
          <w:b/>
          <w:sz w:val="23"/>
        </w:rPr>
        <w:t>Tema 9. Penerimaan Mahasiswa Baru (PMB), Beasiswa, dan Perluasan Akses</w:t>
      </w:r>
    </w:p>
    <w:p>
      <w:pPr>
        <w:spacing w:after="120"/>
      </w:pPr>
      <w:r>
        <w:rPr>
          <w:b w:val="0"/>
          <w:i w:val="0"/>
        </w:rPr>
        <w:t>Ketentuan FTII UNISBANK: Universitas wajib memiliki kebijakan, pedoman, dan sistem PMB yang transparan, objektif, akuntabel, serta memberikan kesempatan luas melalui beasiswa, Rekognisi Pembelajaran Lampau (RPL), dan pembelajaran jarak jauh (PJJ).</w:t>
      </w:r>
    </w:p>
    <w:p>
      <w:pPr>
        <w:spacing w:after="120"/>
      </w:pPr>
      <w:r>
        <w:rPr>
          <w:b w:val="0"/>
          <w:i w:val="0"/>
        </w:rPr>
        <w:t>Analisis Kesesuaian: SELARAS dengan R1, namun perlu dicatat bahwa pada R1, ketentuan PMB dan layanan kemahasiswaan dibahas pada STANDAR TERPISAH ('Standar 3: Mahasiswa'), bukan di dalam 'Standar 2: Tata Pamong, Tata Kelola dan Kerjasama'. FTII menyatukan aspek ini ke dalam satu Standar Tata Pamong dan Tata Kelola yang lebih komprehensif — bukan gap substantif, melainkan perbedaan pengelompokan standar. R2, R3, R4, dan R5 tidak ditemukan pembahasan eksplisit PMB/beasiswa pada bagian tata pamong mereka.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3.1.1.A (Standar 3: Mahasiswa) skor 4 mensyaratkan UPPS memiliki 'kebijakan dan prosedur penerimaan mahasiswa baru... secara transparan dan selaras dengan visi, misi, tujuan, strategi'; Butir 3.4 mensyaratkan layanan kemahasiswaan mencakup 3 bidang termasuk 'layanan beasiswa'.</w:t>
            </w:r>
          </w:p>
        </w:tc>
      </w:tr>
      <w:tr>
        <w:tc>
          <w:tcPr>
            <w:tcW w:type="dxa" w:w="4320"/>
          </w:tcPr>
          <w:p>
            <w:r/>
            <w:r>
              <w:rPr>
                <w:b w:val="0"/>
                <w:sz w:val="19"/>
              </w:rPr>
              <w:t>R2</w:t>
            </w:r>
          </w:p>
        </w:tc>
        <w:tc>
          <w:tcPr>
            <w:tcW w:type="dxa" w:w="4320"/>
          </w:tcPr>
          <w:p>
            <w:r/>
            <w:r>
              <w:rPr>
                <w:b w:val="0"/>
                <w:sz w:val="19"/>
              </w:rPr>
              <w:t>tidak ditemukan pembahasan PMB/beasiswa pada Kriteria 2.1 Tata Pamong dan Tata Kelola.</w:t>
            </w:r>
          </w:p>
        </w:tc>
      </w:tr>
      <w:tr>
        <w:tc>
          <w:tcPr>
            <w:tcW w:type="dxa" w:w="4320"/>
          </w:tcPr>
          <w:p>
            <w:r/>
            <w:r>
              <w:rPr>
                <w:b w:val="0"/>
                <w:sz w:val="19"/>
              </w:rPr>
              <w:t>R3</w:t>
            </w:r>
          </w:p>
        </w:tc>
        <w:tc>
          <w:tcPr>
            <w:tcW w:type="dxa" w:w="4320"/>
          </w:tcPr>
          <w:p>
            <w:r/>
            <w:r>
              <w:rPr>
                <w:b w:val="0"/>
                <w:sz w:val="19"/>
              </w:rPr>
              <w:t>tidak ditemukan pembahasan PMB/beasiswa pada Kriteria 5 Akuntabilitas.</w:t>
            </w:r>
          </w:p>
        </w:tc>
      </w:tr>
      <w:tr>
        <w:tc>
          <w:tcPr>
            <w:tcW w:type="dxa" w:w="4320"/>
          </w:tcPr>
          <w:p>
            <w:r/>
            <w:r>
              <w:rPr>
                <w:b w:val="0"/>
                <w:sz w:val="19"/>
              </w:rPr>
              <w:t>R4</w:t>
            </w:r>
          </w:p>
        </w:tc>
        <w:tc>
          <w:tcPr>
            <w:tcW w:type="dxa" w:w="4320"/>
          </w:tcPr>
          <w:p>
            <w:r/>
            <w:r>
              <w:rPr>
                <w:b w:val="0"/>
                <w:sz w:val="19"/>
              </w:rPr>
              <w:t>tidak ditemukan pembahasan PMB/beasiswa pada Standar Sistem Tata Pamong (kemungkinan dibahas pada standar kemahasiswaan tersendiri, di luar cakupan dokumen yang diekstrak untuk tema ini).</w:t>
            </w:r>
          </w:p>
        </w:tc>
      </w:tr>
      <w:tr>
        <w:tc>
          <w:tcPr>
            <w:tcW w:type="dxa" w:w="4320"/>
          </w:tcPr>
          <w:p>
            <w:r/>
            <w:r>
              <w:rPr>
                <w:b w:val="0"/>
                <w:sz w:val="19"/>
              </w:rPr>
              <w:t>R5</w:t>
            </w:r>
          </w:p>
        </w:tc>
        <w:tc>
          <w:tcPr>
            <w:tcW w:type="dxa" w:w="4320"/>
          </w:tcPr>
          <w:p>
            <w:r/>
            <w:r>
              <w:rPr>
                <w:b w:val="0"/>
                <w:sz w:val="19"/>
              </w:rPr>
              <w:t>tidak ditemukan pembahasan PMB/beasiswa pada 8.4 Standar Tata Pamong.</w:t>
            </w:r>
          </w:p>
        </w:tc>
      </w:tr>
    </w:tbl>
    <w:p/>
    <w:p>
      <w:pPr>
        <w:spacing w:before="200" w:after="80"/>
      </w:pPr>
      <w:r>
        <w:rPr>
          <w:b/>
          <w:sz w:val="23"/>
        </w:rPr>
        <w:t>Tema 10. Layanan Mahasiswa, Integritas Akademik, dan Pencegahan Kekerasan Seksual (PPKS)</w:t>
      </w:r>
    </w:p>
    <w:p>
      <w:pPr>
        <w:spacing w:after="120"/>
      </w:pPr>
      <w:r>
        <w:rPr>
          <w:b w:val="0"/>
          <w:i w:val="0"/>
        </w:rPr>
        <w:t>Ketentuan FTII UNISBANK: Universitas wajib memiliki dan mengimplementasikan kebijakan pencegahan dan penanganan kekerasan seksual (PPKS), perundungan, dan intoleransi, serta membentuk Tim Satgas PPKS dan Komite Integritas Akademik.</w:t>
      </w:r>
    </w:p>
    <w:p>
      <w:pPr>
        <w:spacing w:after="120"/>
      </w:pPr>
      <w:r>
        <w:rPr>
          <w:b w:val="0"/>
          <w:i w:val="0"/>
        </w:rPr>
        <w:t>Analisis Kesesuaian: SELARAS dengan R1 pada aspek layanan kemahasiswaan umum, namun ketentuan PPKS FTII TIDAK memiliki padanan pembahasan eksplisit pada R1, R2, R3, atau R4 dalam bagian tata pamong yang diekstrak. R5 hanya menyebutkan Permendikbudristek Nomor 30 Tahun 2021 tentang PPKS sebagai REFERENSI REGULASI, bukan sebagai pernyataan standar/indikator tersendiri. Ketentuan PPKS FTII merupakan kepatuhan terhadap regulasi nasional (Permendikbudristek 30/2021) yang relevansinya terhadap kelima dokumen ini terbatas, perlu diverifikasi terhadap sumber regulasi di luar cakupan lima dokumen ini.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3.4 (Standar 3: Mahasiswa) mensyaratkan layanan kemahasiswaan mencakup 'bimbingan dan konseling, layanan beasiswa' sebagai bagian layanan kesejahteraan mahasiswa — beririsan dengan aspek perlindungan mahasiswa namun tidak eksplisit menyebut PPKS.</w:t>
            </w:r>
          </w:p>
        </w:tc>
      </w:tr>
      <w:tr>
        <w:tc>
          <w:tcPr>
            <w:tcW w:type="dxa" w:w="4320"/>
          </w:tcPr>
          <w:p>
            <w:r/>
            <w:r>
              <w:rPr>
                <w:b w:val="0"/>
                <w:sz w:val="19"/>
              </w:rPr>
              <w:t>R5</w:t>
            </w:r>
          </w:p>
        </w:tc>
        <w:tc>
          <w:tcPr>
            <w:tcW w:type="dxa" w:w="4320"/>
          </w:tcPr>
          <w:p>
            <w:r/>
            <w:r>
              <w:rPr>
                <w:b w:val="0"/>
                <w:sz w:val="19"/>
              </w:rPr>
              <w:t>hanya menyebut 'Peraturan Menteri ... Tahun 2021 tentang Pencegahan dan Penanganan Kekerasan Seksual' sebagai referensi regulasi pada daftar referensi umum dokumen, tidak dibahas sebagai indikator/pernyataan standar tata pamong tersendiri.</w:t>
            </w:r>
          </w:p>
        </w:tc>
      </w:tr>
      <w:tr>
        <w:tc>
          <w:tcPr>
            <w:tcW w:type="dxa" w:w="4320"/>
          </w:tcPr>
          <w:p>
            <w:r/>
            <w:r>
              <w:rPr>
                <w:b w:val="0"/>
                <w:sz w:val="19"/>
              </w:rPr>
              <w:t>R2</w:t>
            </w:r>
          </w:p>
        </w:tc>
        <w:tc>
          <w:tcPr>
            <w:tcW w:type="dxa" w:w="4320"/>
          </w:tcPr>
          <w:p>
            <w:r/>
            <w:r>
              <w:rPr>
                <w:b w:val="0"/>
                <w:sz w:val="19"/>
              </w:rPr>
              <w:t>tidak ditemukan pembahasan PPKS/integritas akademik pada Kriteria 2.1.</w:t>
            </w:r>
          </w:p>
        </w:tc>
      </w:tr>
      <w:tr>
        <w:tc>
          <w:tcPr>
            <w:tcW w:type="dxa" w:w="4320"/>
          </w:tcPr>
          <w:p>
            <w:r/>
            <w:r>
              <w:rPr>
                <w:b w:val="0"/>
                <w:sz w:val="19"/>
              </w:rPr>
              <w:t>R3</w:t>
            </w:r>
          </w:p>
        </w:tc>
        <w:tc>
          <w:tcPr>
            <w:tcW w:type="dxa" w:w="4320"/>
          </w:tcPr>
          <w:p>
            <w:r/>
            <w:r>
              <w:rPr>
                <w:b w:val="0"/>
                <w:sz w:val="19"/>
              </w:rPr>
              <w:t>tidak ditemukan pembahasan PPKS/integritas akademik pada Kriteria 5.</w:t>
            </w:r>
          </w:p>
        </w:tc>
      </w:tr>
      <w:tr>
        <w:tc>
          <w:tcPr>
            <w:tcW w:type="dxa" w:w="4320"/>
          </w:tcPr>
          <w:p>
            <w:r/>
            <w:r>
              <w:rPr>
                <w:b w:val="0"/>
                <w:sz w:val="19"/>
              </w:rPr>
              <w:t>R4</w:t>
            </w:r>
          </w:p>
        </w:tc>
        <w:tc>
          <w:tcPr>
            <w:tcW w:type="dxa" w:w="4320"/>
          </w:tcPr>
          <w:p>
            <w:r/>
            <w:r>
              <w:rPr>
                <w:b w:val="0"/>
                <w:sz w:val="19"/>
              </w:rPr>
              <w:t>tidak ditemukan pembahasan PPKS/integritas akademik pada Standar Sistem Tata Pamong.</w:t>
            </w:r>
          </w:p>
        </w:tc>
      </w:tr>
    </w:tbl>
    <w:p/>
    <w:p>
      <w:pPr>
        <w:spacing w:before="200" w:after="80"/>
      </w:pPr>
      <w:r>
        <w:rPr>
          <w:b/>
          <w:sz w:val="23"/>
        </w:rPr>
        <w:t>Tema 11. Tata Kelola Keuangan dan Audit Eksternal</w:t>
      </w:r>
    </w:p>
    <w:p>
      <w:pPr>
        <w:spacing w:after="120"/>
      </w:pPr>
      <w:r>
        <w:rPr>
          <w:b w:val="0"/>
          <w:i w:val="0"/>
        </w:rPr>
        <w:t>Ketentuan FTII UNISBANK: Universitas wajib melaksanakan audit eksternal keuangan secara berkala serta menindaklanjuti rekomendasi hasil audit untuk meningkatkan tata kelola keuangan yang sehat dan akuntabel.</w:t>
      </w:r>
    </w:p>
    <w:p>
      <w:pPr>
        <w:spacing w:after="120"/>
      </w:pPr>
      <w:r>
        <w:rPr>
          <w:b w:val="0"/>
          <w:i w:val="0"/>
        </w:rPr>
        <w:t>Analisis Kesesuaian: SELARAS PENUH dengan R2 dan R4 — R2 menjadikan pengelolaan keuangan (transparansi, kepatuhan regulasi, efisiensi-efektivitas, PENGELOLAAN RISIKO, serta audit internal DAN EKSTERNAL) sebagai indikator tersendiri dengan bobot signifikan (Kriteria 2.3 Keuangan); R4 secara eksplisit mensyaratkan 'audit keuangan internal dan/atau eksternal secara berkala'. Menariknya, 'pengelolaan risiko' pada R2 justru muncul dalam konteks pengelolaan KEUANGAN, bukan sebagai pilar GUG umum — relevan sebagai catatan silang terhadap Tema 2 (manajemen risiko FTII sebaiknya juga eksplisit mencakup risiko keuangan).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R2</w:t>
            </w:r>
          </w:p>
        </w:tc>
        <w:tc>
          <w:tcPr>
            <w:tcW w:type="dxa" w:w="4320"/>
          </w:tcPr>
          <w:p>
            <w:r/>
            <w:r>
              <w:rPr>
                <w:b w:val="0"/>
                <w:sz w:val="19"/>
              </w:rPr>
              <w:t>Indikator 8 skor 4: 'UPPS memiliki praktik pengelolaan sumber daya keuangan secara efektif dan efisien' mencakup transparansi, kepatuhan regulasi, efisiensi-efektivitas, PENGELOLAAN RISIKO, serta audit internal dan eksternal.</w:t>
            </w:r>
          </w:p>
        </w:tc>
      </w:tr>
      <w:tr>
        <w:tc>
          <w:tcPr>
            <w:tcW w:type="dxa" w:w="4320"/>
          </w:tcPr>
          <w:p>
            <w:r/>
            <w:r>
              <w:rPr>
                <w:b w:val="0"/>
                <w:sz w:val="19"/>
              </w:rPr>
              <w:t>R4</w:t>
            </w:r>
          </w:p>
        </w:tc>
        <w:tc>
          <w:tcPr>
            <w:tcW w:type="dxa" w:w="4320"/>
          </w:tcPr>
          <w:p>
            <w:r/>
            <w:r>
              <w:rPr>
                <w:b w:val="0"/>
                <w:sz w:val="19"/>
              </w:rPr>
              <w:t>Mekanisme Evaluasi/Strategi Standar Keuangan (dokumen SPMI Fasilkom) No.4: 'Mendukung pelaksanaan audit keuangan internal dan eksternal secara berkala'; Dokumen Terkait No.4: 'Audit keuangan internal dan/atau eksternal sesuai ketentuan universitas'.</w:t>
            </w:r>
          </w:p>
        </w:tc>
      </w:tr>
      <w:tr>
        <w:tc>
          <w:tcPr>
            <w:tcW w:type="dxa" w:w="4320"/>
          </w:tcPr>
          <w:p>
            <w:r/>
            <w:r>
              <w:rPr>
                <w:b w:val="0"/>
                <w:sz w:val="19"/>
              </w:rPr>
              <w:t>R5</w:t>
            </w:r>
          </w:p>
        </w:tc>
        <w:tc>
          <w:tcPr>
            <w:tcW w:type="dxa" w:w="4320"/>
          </w:tcPr>
          <w:p>
            <w:r/>
            <w:r>
              <w:rPr>
                <w:b w:val="0"/>
                <w:sz w:val="19"/>
              </w:rPr>
              <w:t>Standar Tata Kelola (bagian SPI) menyebut 'SPI melaksanakan audit keuangan' sebagai bagian tugas Satuan Pengawas Internal, namun tidak secara eksplisit membahas audit EKSTERNAL keuangan.</w:t>
            </w:r>
          </w:p>
        </w:tc>
      </w:tr>
      <w:tr>
        <w:tc>
          <w:tcPr>
            <w:tcW w:type="dxa" w:w="4320"/>
          </w:tcPr>
          <w:p>
            <w:r/>
            <w:r>
              <w:rPr>
                <w:b w:val="0"/>
                <w:sz w:val="19"/>
              </w:rPr>
              <w:t>R1</w:t>
            </w:r>
          </w:p>
        </w:tc>
        <w:tc>
          <w:tcPr>
            <w:tcW w:type="dxa" w:w="4320"/>
          </w:tcPr>
          <w:p>
            <w:r/>
            <w:r>
              <w:rPr>
                <w:b w:val="0"/>
                <w:sz w:val="19"/>
              </w:rPr>
              <w:t>tidak ditemukan pembahasan eksplisit audit eksternal keuangan pada Standar 2 Tata Pamong, Tata Kelola dan Kerjasama.</w:t>
            </w:r>
          </w:p>
        </w:tc>
      </w:tr>
      <w:tr>
        <w:tc>
          <w:tcPr>
            <w:tcW w:type="dxa" w:w="4320"/>
          </w:tcPr>
          <w:p>
            <w:r/>
            <w:r>
              <w:rPr>
                <w:b w:val="0"/>
                <w:sz w:val="19"/>
              </w:rPr>
              <w:t>R3</w:t>
            </w:r>
          </w:p>
        </w:tc>
        <w:tc>
          <w:tcPr>
            <w:tcW w:type="dxa" w:w="4320"/>
          </w:tcPr>
          <w:p>
            <w:r/>
            <w:r>
              <w:rPr>
                <w:b w:val="0"/>
                <w:sz w:val="19"/>
              </w:rPr>
              <w:t>tidak ditemukan pembahasan eksplisit audit eksternal keuangan pada Kriteria 5 Akuntabilitas (fokus pada sistem tata kelola secara umum, bukan aspek keuangan spesifik).</w:t>
            </w:r>
          </w:p>
        </w:tc>
      </w:tr>
    </w:tbl>
    <w:p/>
    <w:p>
      <w:pPr>
        <w:spacing w:before="200" w:after="80"/>
      </w:pPr>
      <w:r>
        <w:rPr>
          <w:b/>
          <w:sz w:val="23"/>
        </w:rPr>
        <w:t>Tema 12. Survei Kepuasan Pemangku Kepentingan dan Kelembagaan Entrepreneur</w:t>
      </w:r>
    </w:p>
    <w:p>
      <w:pPr>
        <w:spacing w:after="120"/>
      </w:pPr>
      <w:r>
        <w:rPr>
          <w:b w:val="0"/>
          <w:i w:val="0"/>
        </w:rPr>
        <w:t>Ketentuan FTII UNISBANK: Universitas dan FTII wajib melakukan survei kepuasan pemangku kepentingan terhadap tata pamong dan tata kelola secara berkala, serta mengembangkan kelembagaan entrepreneur sebagai bagian penguatan tata kelola dan inovasi.</w:t>
      </w:r>
    </w:p>
    <w:p>
      <w:pPr>
        <w:spacing w:after="120"/>
      </w:pPr>
      <w:r>
        <w:rPr>
          <w:b w:val="0"/>
          <w:i w:val="0"/>
        </w:rPr>
        <w:t>Analisis Kesesuaian: SELARAS SEBAGIAN dengan R2 pada aspek kepuasan pemangku kepentingan (tersirat dalam kriteria GUG 'memaksimalkan dampak positif bagi seluruh pemangku kepentingan'), namun TIDAK DITEMUKAN instrumen survei kepuasan tata pamong yang eksplisit pada kelima rujukan. Demikian pula, 'kelembagaan entrepreneur' sebagai IKT tata pamong TIDAK DITEMUKAN padanannya pada R1-R5 — ini merupakan area di mana FTII melampaui cakupan kelima rujukan sebagai nilai tambah institusi, namun juga berarti tidak dapat diverifikasi kesetaraannya terhadap kriteria eksternal manapun dari kelima dokumen ini.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R2</w:t>
            </w:r>
          </w:p>
        </w:tc>
        <w:tc>
          <w:tcPr>
            <w:tcW w:type="dxa" w:w="4320"/>
          </w:tcPr>
          <w:p>
            <w:r/>
            <w:r>
              <w:rPr>
                <w:b w:val="0"/>
                <w:sz w:val="19"/>
              </w:rPr>
              <w:t>Indikator 4.II (GUG) secara tersirat menilai '...memaksimalkan dampak positif bagi seluruh pemangku kepentingan internal dan eksternal' sebagai syarat skor 4, namun tidak merinci instrumen survei kepuasan tata pamong secara eksplisit.</w:t>
            </w:r>
          </w:p>
        </w:tc>
      </w:tr>
      <w:tr>
        <w:tc>
          <w:tcPr>
            <w:tcW w:type="dxa" w:w="4320"/>
          </w:tcPr>
          <w:p>
            <w:r/>
            <w:r>
              <w:rPr>
                <w:b w:val="0"/>
                <w:sz w:val="19"/>
              </w:rPr>
              <w:t>R1</w:t>
            </w:r>
          </w:p>
        </w:tc>
        <w:tc>
          <w:tcPr>
            <w:tcW w:type="dxa" w:w="4320"/>
          </w:tcPr>
          <w:p>
            <w:r/>
            <w:r>
              <w:rPr>
                <w:b w:val="0"/>
                <w:sz w:val="19"/>
              </w:rPr>
              <w:t>tidak ditemukan pembahasan eksplisit survei kepuasan tata pamong maupun kelembagaan entrepreneur pada Standar 2.</w:t>
            </w:r>
          </w:p>
        </w:tc>
      </w:tr>
      <w:tr>
        <w:tc>
          <w:tcPr>
            <w:tcW w:type="dxa" w:w="4320"/>
          </w:tcPr>
          <w:p>
            <w:r/>
            <w:r>
              <w:rPr>
                <w:b w:val="0"/>
                <w:sz w:val="19"/>
              </w:rPr>
              <w:t>R3</w:t>
            </w:r>
          </w:p>
        </w:tc>
        <w:tc>
          <w:tcPr>
            <w:tcW w:type="dxa" w:w="4320"/>
          </w:tcPr>
          <w:p>
            <w:r/>
            <w:r>
              <w:rPr>
                <w:b w:val="0"/>
                <w:sz w:val="19"/>
              </w:rPr>
              <w:t>tidak ditemukan pembahasan eksplisit survei kepuasan tata pamong maupun kelembagaan entrepreneur pada Kriteria 5.</w:t>
            </w:r>
          </w:p>
        </w:tc>
      </w:tr>
      <w:tr>
        <w:tc>
          <w:tcPr>
            <w:tcW w:type="dxa" w:w="4320"/>
          </w:tcPr>
          <w:p>
            <w:r/>
            <w:r>
              <w:rPr>
                <w:b w:val="0"/>
                <w:sz w:val="19"/>
              </w:rPr>
              <w:t>R4</w:t>
            </w:r>
          </w:p>
        </w:tc>
        <w:tc>
          <w:tcPr>
            <w:tcW w:type="dxa" w:w="4320"/>
          </w:tcPr>
          <w:p>
            <w:r/>
            <w:r>
              <w:rPr>
                <w:b w:val="0"/>
                <w:sz w:val="19"/>
              </w:rPr>
              <w:t>tidak ditemukan pembahasan eksplisit survei kepuasan tata pamong maupun kelembagaan entrepreneur pada Standar Sistem Tata Pamong.</w:t>
            </w:r>
          </w:p>
        </w:tc>
      </w:tr>
      <w:tr>
        <w:tc>
          <w:tcPr>
            <w:tcW w:type="dxa" w:w="4320"/>
          </w:tcPr>
          <w:p>
            <w:r/>
            <w:r>
              <w:rPr>
                <w:b w:val="0"/>
                <w:sz w:val="19"/>
              </w:rPr>
              <w:t>R5</w:t>
            </w:r>
          </w:p>
        </w:tc>
        <w:tc>
          <w:tcPr>
            <w:tcW w:type="dxa" w:w="4320"/>
          </w:tcPr>
          <w:p>
            <w:r/>
            <w:r>
              <w:rPr>
                <w:b w:val="0"/>
                <w:sz w:val="19"/>
              </w:rPr>
              <w:t>tidak ditemukan pembahasan eksplisit survei kepuasan tata pamong maupun kelembagaan entrepreneur pada 8.4 Standar Tata Pamong.</w:t>
            </w:r>
          </w:p>
        </w:tc>
      </w:tr>
    </w:tbl>
    <w:p/>
    <w:p>
      <w:pPr>
        <w:spacing w:before="280" w:after="120"/>
      </w:pPr>
      <w:r>
        <w:rPr>
          <w:b/>
          <w:sz w:val="26"/>
        </w:rPr>
        <w:t>C. TABEL RINGKASAN KESESUAIAN</w:t>
      </w:r>
    </w:p>
    <w:p>
      <w:pPr>
        <w:spacing w:after="120"/>
      </w:pPr>
      <w:r>
        <w:rPr>
          <w:b w:val="0"/>
          <w:i w:val="0"/>
        </w:rPr>
        <w:t>Ringkasan status kesesuaian Standar Tata Pamong, Tata Kelola FTII terhadap kelima dokumen rujukan per tema, disusun berdasarkan analisis pada bagian B di atas.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Indikator/Tema</w:t>
            </w:r>
          </w:p>
        </w:tc>
        <w:tc>
          <w:tcPr>
            <w:tcW w:type="dxa" w:w="2160"/>
            <w:shd w:val="clear" w:color="auto" w:fill="D9D9D9"/>
          </w:tcPr>
          <w:p>
            <w:r/>
            <w:r>
              <w:rPr>
                <w:b/>
                <w:sz w:val="19"/>
              </w:rPr>
              <w:t>Ketentuan FTII</w:t>
            </w:r>
          </w:p>
        </w:tc>
        <w:tc>
          <w:tcPr>
            <w:tcW w:type="dxa" w:w="2160"/>
            <w:shd w:val="clear" w:color="auto" w:fill="D9D9D9"/>
          </w:tcPr>
          <w:p>
            <w:r/>
            <w:r>
              <w:rPr>
                <w:b/>
                <w:sz w:val="19"/>
              </w:rPr>
              <w:t>Rujukan Relevan (R1-R5)</w:t>
            </w:r>
          </w:p>
        </w:tc>
        <w:tc>
          <w:tcPr>
            <w:tcW w:type="dxa" w:w="2160"/>
            <w:shd w:val="clear" w:color="auto" w:fill="D9D9D9"/>
          </w:tcPr>
          <w:p>
            <w:r/>
            <w:r>
              <w:rPr>
                <w:b/>
                <w:sz w:val="19"/>
              </w:rPr>
              <w:t>Status Kesesuaian</w:t>
            </w:r>
          </w:p>
        </w:tc>
      </w:tr>
      <w:tr>
        <w:tc>
          <w:tcPr>
            <w:tcW w:type="dxa" w:w="2160"/>
          </w:tcPr>
          <w:p>
            <w:r/>
            <w:r>
              <w:rPr>
                <w:b w:val="0"/>
                <w:sz w:val="19"/>
              </w:rPr>
              <w:t>Struktur organisasi &amp; OTK</w:t>
            </w:r>
          </w:p>
        </w:tc>
        <w:tc>
          <w:tcPr>
            <w:tcW w:type="dxa" w:w="2160"/>
          </w:tcPr>
          <w:p>
            <w:r/>
            <w:r>
              <w:rPr>
                <w:b w:val="0"/>
                <w:sz w:val="19"/>
              </w:rPr>
              <w:t>Statuta, Struktur Organisasi, OTK tersedia &amp; efektif</w:t>
            </w:r>
          </w:p>
        </w:tc>
        <w:tc>
          <w:tcPr>
            <w:tcW w:type="dxa" w:w="2160"/>
          </w:tcPr>
          <w:p>
            <w:r/>
            <w:r>
              <w:rPr>
                <w:b w:val="0"/>
                <w:sz w:val="19"/>
              </w:rPr>
              <w:t>R1 (2.1.1), R2 (Ind.4.I), R3 (5.1.A), R4 (IKU 1), R5 (Isi Std. 1,3)</w:t>
            </w:r>
          </w:p>
        </w:tc>
        <w:tc>
          <w:tcPr>
            <w:tcW w:type="dxa" w:w="2160"/>
          </w:tcPr>
          <w:p>
            <w:r/>
            <w:r>
              <w:rPr>
                <w:b w:val="0"/>
                <w:sz w:val="19"/>
              </w:rPr>
              <w:t>Selaras penuh</w:t>
            </w:r>
          </w:p>
        </w:tc>
      </w:tr>
      <w:tr>
        <w:tc>
          <w:tcPr>
            <w:tcW w:type="dxa" w:w="2160"/>
          </w:tcPr>
          <w:p>
            <w:r/>
            <w:r>
              <w:rPr>
                <w:b w:val="0"/>
                <w:sz w:val="19"/>
              </w:rPr>
              <w:t>Perwujudan GUG</w:t>
            </w:r>
          </w:p>
        </w:tc>
        <w:tc>
          <w:tcPr>
            <w:tcW w:type="dxa" w:w="2160"/>
          </w:tcPr>
          <w:p>
            <w:r/>
            <w:r>
              <w:rPr>
                <w:b w:val="0"/>
                <w:sz w:val="19"/>
              </w:rPr>
              <w:t>6 aspek: kredibel, transparan, akuntabel, tanggung jawab, adil, manajemen risiko</w:t>
            </w:r>
          </w:p>
        </w:tc>
        <w:tc>
          <w:tcPr>
            <w:tcW w:type="dxa" w:w="2160"/>
          </w:tcPr>
          <w:p>
            <w:r/>
            <w:r>
              <w:rPr>
                <w:b w:val="0"/>
                <w:sz w:val="19"/>
              </w:rPr>
              <w:t>R1 (2.1.2 — 5 kaidah), R2 (Ind.4.II), R3 (5.1-5.5), R5 (Definisi No.1 — 5 asas)</w:t>
            </w:r>
          </w:p>
        </w:tc>
        <w:tc>
          <w:tcPr>
            <w:tcW w:type="dxa" w:w="2160"/>
          </w:tcPr>
          <w:p>
            <w:r/>
            <w:r>
              <w:rPr>
                <w:b w:val="0"/>
                <w:sz w:val="19"/>
              </w:rPr>
              <w:t>Selaras, FTII lebih lengkap (manajemen risiko)</w:t>
            </w:r>
          </w:p>
        </w:tc>
      </w:tr>
      <w:tr>
        <w:tc>
          <w:tcPr>
            <w:tcW w:type="dxa" w:w="2160"/>
          </w:tcPr>
          <w:p>
            <w:r/>
            <w:r>
              <w:rPr>
                <w:b w:val="0"/>
                <w:sz w:val="19"/>
              </w:rPr>
              <w:t>Komitmen &amp; kapabilitas manajerial pimpinan</w:t>
            </w:r>
          </w:p>
        </w:tc>
        <w:tc>
          <w:tcPr>
            <w:tcW w:type="dxa" w:w="2160"/>
          </w:tcPr>
          <w:p>
            <w:r/>
            <w:r>
              <w:rPr>
                <w:b w:val="0"/>
                <w:sz w:val="19"/>
              </w:rPr>
              <w:t>Hanya disinggung dlm strategi VMTS, tanpa IKU tersendiri</w:t>
            </w:r>
          </w:p>
        </w:tc>
        <w:tc>
          <w:tcPr>
            <w:tcW w:type="dxa" w:w="2160"/>
          </w:tcPr>
          <w:p>
            <w:r/>
            <w:r>
              <w:rPr>
                <w:b w:val="0"/>
                <w:sz w:val="19"/>
              </w:rPr>
              <w:t>R1 (2.2.1-2.2.2), R2 (Ind.5)</w:t>
            </w:r>
          </w:p>
        </w:tc>
        <w:tc>
          <w:tcPr>
            <w:tcW w:type="dxa" w:w="2160"/>
          </w:tcPr>
          <w:p>
            <w:r/>
            <w:r>
              <w:rPr>
                <w:b w:val="0"/>
                <w:sz w:val="19"/>
              </w:rPr>
              <w:t>GAP — FTII belum punya pernyataan standar/IKU eksplisit</w:t>
            </w:r>
          </w:p>
        </w:tc>
      </w:tr>
      <w:tr>
        <w:tc>
          <w:tcPr>
            <w:tcW w:type="dxa" w:w="2160"/>
          </w:tcPr>
          <w:p>
            <w:r/>
            <w:r>
              <w:rPr>
                <w:b w:val="0"/>
                <w:sz w:val="19"/>
              </w:rPr>
              <w:t>Fungsi manajemen (POSDC)</w:t>
            </w:r>
          </w:p>
        </w:tc>
        <w:tc>
          <w:tcPr>
            <w:tcW w:type="dxa" w:w="2160"/>
          </w:tcPr>
          <w:p>
            <w:r/>
            <w:r>
              <w:rPr>
                <w:b w:val="0"/>
                <w:sz w:val="19"/>
              </w:rPr>
              <w:t>5 unsur: planning-organizing-staffing-leading-controlling</w:t>
            </w:r>
          </w:p>
        </w:tc>
        <w:tc>
          <w:tcPr>
            <w:tcW w:type="dxa" w:w="2160"/>
          </w:tcPr>
          <w:p>
            <w:r/>
            <w:r>
              <w:rPr>
                <w:b w:val="0"/>
                <w:sz w:val="19"/>
              </w:rPr>
              <w:t>R4 (IKU 2), R5 (Isi Std. No.4)</w:t>
            </w:r>
          </w:p>
        </w:tc>
        <w:tc>
          <w:tcPr>
            <w:tcW w:type="dxa" w:w="2160"/>
          </w:tcPr>
          <w:p>
            <w:r/>
            <w:r>
              <w:rPr>
                <w:b w:val="0"/>
                <w:sz w:val="19"/>
              </w:rPr>
              <w:t>Identik dengan R5, lebih terukur dari R1/R2/R3</w:t>
            </w:r>
          </w:p>
        </w:tc>
      </w:tr>
      <w:tr>
        <w:tc>
          <w:tcPr>
            <w:tcW w:type="dxa" w:w="2160"/>
          </w:tcPr>
          <w:p>
            <w:r/>
            <w:r>
              <w:rPr>
                <w:b w:val="0"/>
                <w:sz w:val="19"/>
              </w:rPr>
              <w:t>Monev &amp; AMI tata pamong</w:t>
            </w:r>
          </w:p>
        </w:tc>
        <w:tc>
          <w:tcPr>
            <w:tcW w:type="dxa" w:w="2160"/>
          </w:tcPr>
          <w:p>
            <w:r/>
            <w:r>
              <w:rPr>
                <w:b w:val="0"/>
                <w:sz w:val="19"/>
              </w:rPr>
              <w:t>Monev berkala + AMI, tanpa ambang frekuensi eksplisit</w:t>
            </w:r>
          </w:p>
        </w:tc>
        <w:tc>
          <w:tcPr>
            <w:tcW w:type="dxa" w:w="2160"/>
          </w:tcPr>
          <w:p>
            <w:r/>
            <w:r>
              <w:rPr>
                <w:b w:val="0"/>
                <w:sz w:val="19"/>
              </w:rPr>
              <w:t>R1 (2.1.1), R3 (5.3-5.4), R4 (IKT 6 — freq. eksplisit), R5 (Ind.7)</w:t>
            </w:r>
          </w:p>
        </w:tc>
        <w:tc>
          <w:tcPr>
            <w:tcW w:type="dxa" w:w="2160"/>
          </w:tcPr>
          <w:p>
            <w:r/>
            <w:r>
              <w:rPr>
                <w:b w:val="0"/>
                <w:sz w:val="19"/>
              </w:rPr>
              <w:t>Selaras; R4 lebih terukur (frekuensi)</w:t>
            </w:r>
          </w:p>
        </w:tc>
      </w:tr>
      <w:tr>
        <w:tc>
          <w:tcPr>
            <w:tcW w:type="dxa" w:w="2160"/>
          </w:tcPr>
          <w:p>
            <w:r/>
            <w:r>
              <w:rPr>
                <w:b w:val="0"/>
                <w:sz w:val="19"/>
              </w:rPr>
              <w:t>Sistem informasi/TIK</w:t>
            </w:r>
          </w:p>
        </w:tc>
        <w:tc>
          <w:tcPr>
            <w:tcW w:type="dxa" w:w="2160"/>
          </w:tcPr>
          <w:p>
            <w:r/>
            <w:r>
              <w:rPr>
                <w:b w:val="0"/>
                <w:sz w:val="19"/>
              </w:rPr>
              <w:t>Kebijakan SI/TIK terintegrasi sbg bagian tata pamong</w:t>
            </w:r>
          </w:p>
        </w:tc>
        <w:tc>
          <w:tcPr>
            <w:tcW w:type="dxa" w:w="2160"/>
          </w:tcPr>
          <w:p>
            <w:r/>
            <w:r>
              <w:rPr>
                <w:b w:val="0"/>
                <w:sz w:val="19"/>
              </w:rPr>
              <w:t>R5 (Isi Std. No.6)</w:t>
            </w:r>
          </w:p>
        </w:tc>
        <w:tc>
          <w:tcPr>
            <w:tcW w:type="dxa" w:w="2160"/>
          </w:tcPr>
          <w:p>
            <w:r/>
            <w:r>
              <w:rPr>
                <w:b w:val="0"/>
                <w:sz w:val="19"/>
              </w:rPr>
              <w:t>Selaras hanya dgn R5; R1/R2/R3/R4 anggap standar terpisah</w:t>
            </w:r>
          </w:p>
        </w:tc>
      </w:tr>
      <w:tr>
        <w:tc>
          <w:tcPr>
            <w:tcW w:type="dxa" w:w="2160"/>
          </w:tcPr>
          <w:p>
            <w:r/>
            <w:r>
              <w:rPr>
                <w:b w:val="0"/>
                <w:sz w:val="19"/>
              </w:rPr>
              <w:t>Pengelolaan akademik prodi &amp; pengambilan keputusan</w:t>
            </w:r>
          </w:p>
        </w:tc>
        <w:tc>
          <w:tcPr>
            <w:tcW w:type="dxa" w:w="2160"/>
          </w:tcPr>
          <w:p>
            <w:r/>
            <w:r>
              <w:rPr>
                <w:b w:val="0"/>
                <w:sz w:val="19"/>
              </w:rPr>
              <w:t>Job description, mekanisme keputusan terdokumentasi</w:t>
            </w:r>
          </w:p>
        </w:tc>
        <w:tc>
          <w:tcPr>
            <w:tcW w:type="dxa" w:w="2160"/>
          </w:tcPr>
          <w:p>
            <w:r/>
            <w:r>
              <w:rPr>
                <w:b w:val="0"/>
                <w:sz w:val="19"/>
              </w:rPr>
              <w:t>R1 (2.1.1, 3.1.1.B), R4 (IKU 2)</w:t>
            </w:r>
          </w:p>
        </w:tc>
        <w:tc>
          <w:tcPr>
            <w:tcW w:type="dxa" w:w="2160"/>
          </w:tcPr>
          <w:p>
            <w:r/>
            <w:r>
              <w:rPr>
                <w:b w:val="0"/>
                <w:sz w:val="19"/>
              </w:rPr>
              <w:t>Selaras, FTII lebih rinci di level prodi</w:t>
            </w:r>
          </w:p>
        </w:tc>
      </w:tr>
      <w:tr>
        <w:tc>
          <w:tcPr>
            <w:tcW w:type="dxa" w:w="2160"/>
          </w:tcPr>
          <w:p>
            <w:r/>
            <w:r>
              <w:rPr>
                <w:b w:val="0"/>
                <w:sz w:val="19"/>
              </w:rPr>
              <w:t>Pedoman multi-aspek (11 bidang) &amp; suasana akademik</w:t>
            </w:r>
          </w:p>
        </w:tc>
        <w:tc>
          <w:tcPr>
            <w:tcW w:type="dxa" w:w="2160"/>
          </w:tcPr>
          <w:p>
            <w:r/>
            <w:r>
              <w:rPr>
                <w:b w:val="0"/>
                <w:sz w:val="19"/>
              </w:rPr>
              <w:t>11 aspek pengelolaan terintegrasi</w:t>
            </w:r>
          </w:p>
        </w:tc>
        <w:tc>
          <w:tcPr>
            <w:tcW w:type="dxa" w:w="2160"/>
          </w:tcPr>
          <w:p>
            <w:r/>
            <w:r>
              <w:rPr>
                <w:b w:val="0"/>
                <w:sz w:val="19"/>
              </w:rPr>
              <w:t>R1 (dok. pendukung 2.1.1 — 5 aspek)</w:t>
            </w:r>
          </w:p>
        </w:tc>
        <w:tc>
          <w:tcPr>
            <w:tcW w:type="dxa" w:w="2160"/>
          </w:tcPr>
          <w:p>
            <w:r/>
            <w:r>
              <w:rPr>
                <w:b w:val="0"/>
                <w:sz w:val="19"/>
              </w:rPr>
              <w:t>FTII lebih komprehensif; R2-R5 bahas per-standar terpisah</w:t>
            </w:r>
          </w:p>
        </w:tc>
      </w:tr>
      <w:tr>
        <w:tc>
          <w:tcPr>
            <w:tcW w:type="dxa" w:w="2160"/>
          </w:tcPr>
          <w:p>
            <w:r/>
            <w:r>
              <w:rPr>
                <w:b w:val="0"/>
                <w:sz w:val="19"/>
              </w:rPr>
              <w:t>PMB, beasiswa, akses (RPL/PJJ)</w:t>
            </w:r>
          </w:p>
        </w:tc>
        <w:tc>
          <w:tcPr>
            <w:tcW w:type="dxa" w:w="2160"/>
          </w:tcPr>
          <w:p>
            <w:r/>
            <w:r>
              <w:rPr>
                <w:b w:val="0"/>
                <w:sz w:val="19"/>
              </w:rPr>
              <w:t>Kebijakan PMB transparan + beasiswa + RPL/PJJ</w:t>
            </w:r>
          </w:p>
        </w:tc>
        <w:tc>
          <w:tcPr>
            <w:tcW w:type="dxa" w:w="2160"/>
          </w:tcPr>
          <w:p>
            <w:r/>
            <w:r>
              <w:rPr>
                <w:b w:val="0"/>
                <w:sz w:val="19"/>
              </w:rPr>
              <w:t>R1 (3.1.1.A, 3.4 — standar terpisah 'Mahasiswa')</w:t>
            </w:r>
          </w:p>
        </w:tc>
        <w:tc>
          <w:tcPr>
            <w:tcW w:type="dxa" w:w="2160"/>
          </w:tcPr>
          <w:p>
            <w:r/>
            <w:r>
              <w:rPr>
                <w:b w:val="0"/>
                <w:sz w:val="19"/>
              </w:rPr>
              <w:t>Selaras; R1 kelompokkan di standar berbeda</w:t>
            </w:r>
          </w:p>
        </w:tc>
      </w:tr>
      <w:tr>
        <w:tc>
          <w:tcPr>
            <w:tcW w:type="dxa" w:w="2160"/>
          </w:tcPr>
          <w:p>
            <w:r/>
            <w:r>
              <w:rPr>
                <w:b w:val="0"/>
                <w:sz w:val="19"/>
              </w:rPr>
              <w:t>Layanan mahasiswa, integritas &amp; PPKS</w:t>
            </w:r>
          </w:p>
        </w:tc>
        <w:tc>
          <w:tcPr>
            <w:tcW w:type="dxa" w:w="2160"/>
          </w:tcPr>
          <w:p>
            <w:r/>
            <w:r>
              <w:rPr>
                <w:b w:val="0"/>
                <w:sz w:val="19"/>
              </w:rPr>
              <w:t>Kebijakan PPKS, Satgas PPKS, Komite Integritas</w:t>
            </w:r>
          </w:p>
        </w:tc>
        <w:tc>
          <w:tcPr>
            <w:tcW w:type="dxa" w:w="2160"/>
          </w:tcPr>
          <w:p>
            <w:r/>
            <w:r>
              <w:rPr>
                <w:b w:val="0"/>
                <w:sz w:val="19"/>
              </w:rPr>
              <w:t>R5 (referensi regulasi saja)</w:t>
            </w:r>
          </w:p>
        </w:tc>
        <w:tc>
          <w:tcPr>
            <w:tcW w:type="dxa" w:w="2160"/>
          </w:tcPr>
          <w:p>
            <w:r/>
            <w:r>
              <w:rPr>
                <w:b w:val="0"/>
                <w:sz w:val="19"/>
              </w:rPr>
              <w:t>GAP — tidak ada indikator PPKS eksplisit di R1-R5</w:t>
            </w:r>
          </w:p>
        </w:tc>
      </w:tr>
      <w:tr>
        <w:tc>
          <w:tcPr>
            <w:tcW w:type="dxa" w:w="2160"/>
          </w:tcPr>
          <w:p>
            <w:r/>
            <w:r>
              <w:rPr>
                <w:b w:val="0"/>
                <w:sz w:val="19"/>
              </w:rPr>
              <w:t>Tata kelola keuangan &amp; audit eksternal</w:t>
            </w:r>
          </w:p>
        </w:tc>
        <w:tc>
          <w:tcPr>
            <w:tcW w:type="dxa" w:w="2160"/>
          </w:tcPr>
          <w:p>
            <w:r/>
            <w:r>
              <w:rPr>
                <w:b w:val="0"/>
                <w:sz w:val="19"/>
              </w:rPr>
              <w:t>Audit eksternal berkala + tindak lanjut</w:t>
            </w:r>
          </w:p>
        </w:tc>
        <w:tc>
          <w:tcPr>
            <w:tcW w:type="dxa" w:w="2160"/>
          </w:tcPr>
          <w:p>
            <w:r/>
            <w:r>
              <w:rPr>
                <w:b w:val="0"/>
                <w:sz w:val="19"/>
              </w:rPr>
              <w:t>R2 (Ind.8 — incl. manajemen risiko keuangan), R4 (Strategi/Dok. No.4)</w:t>
            </w:r>
          </w:p>
        </w:tc>
        <w:tc>
          <w:tcPr>
            <w:tcW w:type="dxa" w:w="2160"/>
          </w:tcPr>
          <w:p>
            <w:r/>
            <w:r>
              <w:rPr>
                <w:b w:val="0"/>
                <w:sz w:val="19"/>
              </w:rPr>
              <w:t>Selaras penuh dgn R2 &amp; R4</w:t>
            </w:r>
          </w:p>
        </w:tc>
      </w:tr>
      <w:tr>
        <w:tc>
          <w:tcPr>
            <w:tcW w:type="dxa" w:w="2160"/>
          </w:tcPr>
          <w:p>
            <w:r/>
            <w:r>
              <w:rPr>
                <w:b w:val="0"/>
                <w:sz w:val="19"/>
              </w:rPr>
              <w:t>Survei kepuasan stakeholder &amp; kelembagaan entrepreneur</w:t>
            </w:r>
          </w:p>
        </w:tc>
        <w:tc>
          <w:tcPr>
            <w:tcW w:type="dxa" w:w="2160"/>
          </w:tcPr>
          <w:p>
            <w:r/>
            <w:r>
              <w:rPr>
                <w:b w:val="0"/>
                <w:sz w:val="19"/>
              </w:rPr>
              <w:t>Survei berkala + kelembagaan entrepreneur</w:t>
            </w:r>
          </w:p>
        </w:tc>
        <w:tc>
          <w:tcPr>
            <w:tcW w:type="dxa" w:w="2160"/>
          </w:tcPr>
          <w:p>
            <w:r/>
            <w:r>
              <w:rPr>
                <w:b w:val="0"/>
                <w:sz w:val="19"/>
              </w:rPr>
              <w:t>R2 (Ind.4.II, tersirat)</w:t>
            </w:r>
          </w:p>
        </w:tc>
        <w:tc>
          <w:tcPr>
            <w:tcW w:type="dxa" w:w="2160"/>
          </w:tcPr>
          <w:p>
            <w:r/>
            <w:r>
              <w:rPr>
                <w:b w:val="0"/>
                <w:sz w:val="19"/>
              </w:rPr>
              <w:t>GAP metodologis — tidak ada padanan eksplisit R1-R5</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