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STANDAR VISI MISI</w:t>
      </w:r>
    </w:p>
    <w:p>
      <w:r>
        <w:t>Fakultas Teknologi Informasi dan Industri (FTII) UNISBANK terhadap 5 Dokumen Rujukan Eksternal</w:t>
      </w:r>
    </w:p>
    <w:p>
      <w:r>
        <w:t>Catatan metodologis: pemetaan disusun berdasarkan ekstraksi teks langsung dari kelima dokumen rujukan (bukan ringkasan pihak ketiga) dan dari isi lengkap dokumen Standar Visi Misi (VMTS) FTII (16 pernyataan standar, 16 strategi pencapaian, dan 19 Indikator Kinerja Utama/IKU pada dua tingkat — Unit Pengelola Program Studi/UPPS dan Universitas; dokumen ini tidak memiliki bagian Indikator Kinerja Tambahan/IKT terpisah). Kutipan pada tabel di bawah diringkas dari teks asli masing-masing dokumen hasil ekstraksi pdftotext -layout; bila suatu rujukan tidak memuat pembahasan eksplisit atas suatu tema, hal itu dinyatakan secara terbuka dan tidak dikarang.</w:t>
      </w:r>
    </w:p>
    <w:p>
      <w:pPr>
        <w:pStyle w:val="Heading1"/>
      </w:pPr>
      <w:r>
        <w:t>A. DOKUMEN YANG DIBANDINGKAN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Kode</w:t>
            </w:r>
          </w:p>
        </w:tc>
        <w:tc>
          <w:tcPr>
            <w:tcW w:type="dxa" w:w="2880"/>
          </w:tcPr>
          <w:p>
            <w:r>
              <w:rPr>
                <w:b/>
              </w:rPr>
              <w:t>Dokumen</w:t>
            </w:r>
          </w:p>
        </w:tc>
        <w:tc>
          <w:tcPr>
            <w:tcW w:type="dxa" w:w="2880"/>
          </w:tcPr>
          <w:p>
            <w:r>
              <w:rPr>
                <w:b/>
              </w:rPr>
              <w:t>Sumber / Institusi</w:t>
            </w:r>
          </w:p>
        </w:tc>
      </w:tr>
      <w:tr>
        <w:tc>
          <w:tcPr>
            <w:tcW w:type="dxa" w:w="2880"/>
          </w:tcPr>
          <w:p>
            <w:r>
              <w:t>FTII</w:t>
            </w:r>
          </w:p>
        </w:tc>
        <w:tc>
          <w:tcPr>
            <w:tcW w:type="dxa" w:w="2880"/>
          </w:tcPr>
          <w:p>
            <w:r>
              <w:t>Standar Visi Misi (VMTS) FTII UNISBANK</w:t>
            </w:r>
          </w:p>
        </w:tc>
        <w:tc>
          <w:tcPr>
            <w:tcW w:type="dxa" w:w="2880"/>
          </w:tcPr>
          <w:p>
            <w:r>
              <w:t>Fakultas Teknologi Informasi dan Industri, Universitas Stikubank (UNISBANK) Semarang</w:t>
            </w:r>
          </w:p>
        </w:tc>
      </w:tr>
      <w:tr>
        <w:tc>
          <w:tcPr>
            <w:tcW w:type="dxa" w:w="2880"/>
          </w:tcPr>
          <w:p>
            <w:r>
              <w:t>R1</w:t>
            </w:r>
          </w:p>
        </w:tc>
        <w:tc>
          <w:tcPr>
            <w:tcW w:type="dxa" w:w="2880"/>
          </w:tcPr>
          <w:p>
            <w:r>
              <w:t>Panduan SPMI Sarjana dan Sarjana Terapan 2024 (SK Rektor) — Standar 1: Visi, Misi, Tujuan dan Strategi</w:t>
            </w:r>
          </w:p>
        </w:tc>
        <w:tc>
          <w:tcPr>
            <w:tcW w:type="dxa" w:w="2880"/>
          </w:tcPr>
          <w:p>
            <w:r>
              <w:t>Institut Teknologi Sepuluh Nopember (ITS) — dokumen panduan SPMI/instrumen akreditasi internal</w:t>
            </w:r>
          </w:p>
        </w:tc>
      </w:tr>
      <w:tr>
        <w:tc>
          <w:tcPr>
            <w:tcW w:type="dxa" w:w="2880"/>
          </w:tcPr>
          <w:p>
            <w:r>
              <w:t>R2</w:t>
            </w:r>
          </w:p>
        </w:tc>
        <w:tc>
          <w:tcPr>
            <w:tcW w:type="dxa" w:w="2880"/>
          </w:tcPr>
          <w:p>
            <w:r>
              <w:t>Matriks Penilaian LED dan LKPS Sarjana APS Akademik dan Vokasi Teknik 2025 (Pasca-Akreditasi Pertama dan Unggul) — Kriteria I. Diferensiasi Misi (VMTS)</w:t>
            </w:r>
          </w:p>
        </w:tc>
        <w:tc>
          <w:tcPr>
            <w:tcW w:type="dxa" w:w="2880"/>
          </w:tcPr>
          <w:p>
            <w:r>
              <w:t>LAM Teknik (Lembaga Akreditasi Mandiri Teknik)</w:t>
            </w:r>
          </w:p>
        </w:tc>
      </w:tr>
      <w:tr>
        <w:tc>
          <w:tcPr>
            <w:tcW w:type="dxa" w:w="2880"/>
          </w:tcPr>
          <w:p>
            <w:r>
              <w:t>R3</w:t>
            </w:r>
          </w:p>
        </w:tc>
        <w:tc>
          <w:tcPr>
            <w:tcW w:type="dxa" w:w="2880"/>
          </w:tcPr>
          <w:p>
            <w:r>
              <w:t>Kriteria Unggul 2.1 LAM INFOKOM — Kriteria 6: Diferensiasi Misi</w:t>
            </w:r>
          </w:p>
        </w:tc>
        <w:tc>
          <w:tcPr>
            <w:tcW w:type="dxa" w:w="2880"/>
          </w:tcPr>
          <w:p>
            <w:r>
              <w:t>LAM INFOKOM (Lembaga Akreditasi Mandiri Informatika dan Komputer)</w:t>
            </w:r>
          </w:p>
        </w:tc>
      </w:tr>
      <w:tr>
        <w:tc>
          <w:tcPr>
            <w:tcW w:type="dxa" w:w="2880"/>
          </w:tcPr>
          <w:p>
            <w:r>
              <w:t>R4</w:t>
            </w:r>
          </w:p>
        </w:tc>
        <w:tc>
          <w:tcPr>
            <w:tcW w:type="dxa" w:w="2880"/>
          </w:tcPr>
          <w:p>
            <w:r>
              <w:t>Dokumen SPMI Fasilkom 2023 (rev) — Standar Visi dan Strategi Pencapaian</w:t>
            </w:r>
          </w:p>
        </w:tc>
        <w:tc>
          <w:tcPr>
            <w:tcW w:type="dxa" w:w="2880"/>
          </w:tcPr>
          <w:p>
            <w:r>
              <w:t>Fakultas Ilmu Komputer, Universitas Pembangunan Nasional "Veteran" Jawa Timur (UPN Veteran Jatim)</w:t>
            </w:r>
          </w:p>
        </w:tc>
      </w:tr>
      <w:tr>
        <w:tc>
          <w:tcPr>
            <w:tcW w:type="dxa" w:w="2880"/>
          </w:tcPr>
          <w:p>
            <w:r>
              <w:t>R5</w:t>
            </w:r>
          </w:p>
        </w:tc>
        <w:tc>
          <w:tcPr>
            <w:tcW w:type="dxa" w:w="2880"/>
          </w:tcPr>
          <w:p>
            <w:r>
              <w:t>9. Standar SPMI Tahun 2022 — 8.1. Standar Visi dan Strategi Pencapaian</w:t>
            </w:r>
          </w:p>
        </w:tc>
        <w:tc>
          <w:tcPr>
            <w:tcW w:type="dxa" w:w="2880"/>
          </w:tcPr>
          <w:p>
            <w:r>
              <w:t>Universitas Trunojoyo Madura (UTM)</w:t>
            </w:r>
          </w:p>
        </w:tc>
      </w:tr>
    </w:tbl>
    <w:p/>
    <w:p>
      <w:pPr>
        <w:pStyle w:val="Heading1"/>
      </w:pPr>
      <w:r>
        <w:t>B. PEMETAAN PER TEMA STANDAR</w:t>
      </w:r>
    </w:p>
    <w:p>
      <w:pPr>
        <w:pStyle w:val="Heading2"/>
      </w:pPr>
      <w:r>
        <w:t>Tema 1. Keselarasan VMTS Fakultas (UPPS) dengan VMTS Perguruan Tinggi</w:t>
      </w:r>
    </w:p>
    <w:p>
      <w:r>
        <w:rPr>
          <w:b/>
        </w:rPr>
        <w:t xml:space="preserve">Ketentuan FTII UNISBANK: </w:t>
      </w:r>
      <w:r>
        <w:t>FTII wajib memiliki VMTS yang selaras dengan VMTS Universitas serta sesuai dengan Statuta, Rencana Induk Pengembangan (RIP), Rencana Strategis (Renstra), dan Rencana Operasional (Renop); Tim Penyusun VMTS wajib melakukan analisis kondisi internal-eksternal (termasuk SWOT) sebagai dasar penyusunan.</w:t>
      </w:r>
    </w:p>
    <w:p>
      <w:r>
        <w:rPr>
          <w:b/>
        </w:rPr>
        <w:t xml:space="preserve">Analisis Kesesuaian: </w:t>
      </w:r>
      <w:r>
        <w:t>SELARAS PENUH dengan seluruh 5 rujukan — kelima dokumen menjadikan kesesuaian/linearitas visi unit (UPPS/fakultas) terhadap visi institusi induk sebagai syarat dasar penilaian tertinggi (R1 butir 1.1.1 harkat 4; R2 Indikator 1 'linearitas visi PT yang diturunkan ke VMTS UPPS'). R4 dan R5 menempatkan keselarasan ini sebagai pernyataan standar/IKU utama (R4 IKU No.1: 'persentase prodi/unit yang mengimplementasikan VMTS sesuai kebijakan universitas'). Tidak ada gap pada tema ini.</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1.1.1 VMTS: harkat 4 tercapai jika 'UPPS memiliki visi yang mencerminkan visi perguruan tinggi dan memayungi visi keilmuan terkait keunikan Prodi... misi, tujuan, dan strategi yang searah dan bersinerji dengan misi, tujuan, dan strategi perguruan tinggi'.</w:t>
            </w:r>
          </w:p>
        </w:tc>
      </w:tr>
      <w:tr>
        <w:tc>
          <w:tcPr>
            <w:tcW w:type="dxa" w:w="4320"/>
          </w:tcPr>
          <w:p>
            <w:r>
              <w:t>R2</w:t>
            </w:r>
          </w:p>
        </w:tc>
        <w:tc>
          <w:tcPr>
            <w:tcW w:type="dxa" w:w="4320"/>
          </w:tcPr>
          <w:p>
            <w:r>
              <w:t>Indikator 1 'Kekhasan VMTS' skor 4: 'VMTS UPPS dan visi keilmuan prodi... sebagai identitas PT, UPPS' mempertimbangkan '(1) Linearitas visi PT yang diturunkan ke VMTS UPPS...; (2) Kesesuaian VMTS UPPS dengan renstra'.</w:t>
            </w:r>
          </w:p>
        </w:tc>
      </w:tr>
      <w:tr>
        <w:tc>
          <w:tcPr>
            <w:tcW w:type="dxa" w:w="4320"/>
          </w:tcPr>
          <w:p>
            <w:r>
              <w:t>R3</w:t>
            </w:r>
          </w:p>
        </w:tc>
        <w:tc>
          <w:tcPr>
            <w:tcW w:type="dxa" w:w="4320"/>
          </w:tcPr>
          <w:p>
            <w:r>
              <w:t>Kriteria 6.1 [Penetapan]: 'Kebijakan, standar dan indikator terkait tridarma perguruan tinggi yang mencakup VMTS, rencana pengembangan strategis UPPS dan/atau PS yang dapat menggambarkan ciri khas keilmuan PS'.</w:t>
            </w:r>
          </w:p>
        </w:tc>
      </w:tr>
      <w:tr>
        <w:tc>
          <w:tcPr>
            <w:tcW w:type="dxa" w:w="4320"/>
          </w:tcPr>
          <w:p>
            <w:r>
              <w:t>R4</w:t>
            </w:r>
          </w:p>
        </w:tc>
        <w:tc>
          <w:tcPr>
            <w:tcW w:type="dxa" w:w="4320"/>
          </w:tcPr>
          <w:p>
            <w:r>
              <w:t>Strategi Pencapaian No.1: 'Mengimplementasikan VMTS fakultas yang selaras dengan VMTS universitas di seluruh program studi dan unit kerja'; IKU No.1: persentase prodi/unit yang mengimplementasikan VMTS sesuai kebijakan universitas (target 100% pada 2025-2026).</w:t>
            </w:r>
          </w:p>
        </w:tc>
      </w:tr>
      <w:tr>
        <w:tc>
          <w:tcPr>
            <w:tcW w:type="dxa" w:w="4320"/>
          </w:tcPr>
          <w:p>
            <w:r>
              <w:t>R5</w:t>
            </w:r>
          </w:p>
        </w:tc>
        <w:tc>
          <w:tcPr>
            <w:tcW w:type="dxa" w:w="4320"/>
          </w:tcPr>
          <w:p>
            <w:r>
              <w:t>Pernyataan Isi Standar No.4-5: Renstra unit kerja 'berdasarkan VMTS masing-masing dan ditetapkan oleh rektor'; visi-misi-tujuan-sasaran 'ditetapkan oleh Rektor setelah mendapat persetujuan dari Senat Universitas'.</w:t>
            </w:r>
          </w:p>
        </w:tc>
      </w:tr>
    </w:tbl>
    <w:p/>
    <w:p>
      <w:pPr>
        <w:pStyle w:val="Heading2"/>
      </w:pPr>
      <w:r>
        <w:t>Tema 2. Mekanisme Penyusunan VMTS secara Partisipatif dan Keterlibatan Pemangku Kepentingan</w:t>
      </w:r>
    </w:p>
    <w:p>
      <w:r>
        <w:rPr>
          <w:b/>
        </w:rPr>
        <w:t xml:space="preserve">Ketentuan FTII UNISBANK: </w:t>
      </w:r>
      <w:r>
        <w:t>Rektor membentuk Tim Penyusun VMTS yang melibatkan pimpinan universitas, pimpinan fakultas, program studi, dosen, tenaga kependidikan, mahasiswa, alumni, pengguna lulusan, serta pemangku kepentingan lainnya untuk menyusun atau meninjau VMTS secara partisipatif.</w:t>
      </w:r>
    </w:p>
    <w:p>
      <w:r>
        <w:rPr>
          <w:b/>
        </w:rPr>
        <w:t xml:space="preserve">Analisis Kesesuaian: </w:t>
      </w:r>
      <w:r>
        <w:t>SELARAS PENUH dan RINCIANNYA IDENTIK dengan R1 dan R2 — ketiganya sama-sama memerinci keterlibatan pemangku kepentingan internal (dosen, mahasiswa, tenaga kependidikan) dan eksternal (lulusan, pengguna lulusan, pakar/mitra). FTII bahkan lebih luas karena secara eksplisit menambahkan alumni sebagai salah satu pihak yang dilibatkan. R3, R4, dan R5 TIDAK ditemukan pembahasan eksplisit mengenai komposisi tim penyusun/mekanisme pelibatan pemangku kepentingan pada bagian VMTS — bukan berarti gap substantif, namun perbedaan tingkat kerincian dokumen rujukan.</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1.1.2 VMTS harkat 4: 'Ada mekanisme dalam penyusunan dan penetapan visi, misi, tujuan dan strategi... ada keterlibatan semua pemangku kepentingan internal (dosen, mahasiswa dan tenaga kependidikan) dan eksternal (lulusan, pengguna lulusan dan pakar/mitra/organisasi profesi/pemerintah)'.</w:t>
            </w:r>
          </w:p>
        </w:tc>
      </w:tr>
      <w:tr>
        <w:tc>
          <w:tcPr>
            <w:tcW w:type="dxa" w:w="4320"/>
          </w:tcPr>
          <w:p>
            <w:r>
              <w:t>R2</w:t>
            </w:r>
          </w:p>
        </w:tc>
        <w:tc>
          <w:tcPr>
            <w:tcW w:type="dxa" w:w="4320"/>
          </w:tcPr>
          <w:p>
            <w:r>
              <w:t>Indikator 2 'Mekanisme penyusunan VMTS' skor 4: '(1) Keterlibatan pemangku kepentingan internal yang terdiri dari dosen, mahasiswa, dan tenaga kependidikan; (2) Pemangku kepentingan eksternal yang terdiri dari lulusan, pengguna lulusan, dan pakar'.</w:t>
            </w:r>
          </w:p>
        </w:tc>
      </w:tr>
      <w:tr>
        <w:tc>
          <w:tcPr>
            <w:tcW w:type="dxa" w:w="4320"/>
          </w:tcPr>
          <w:p>
            <w:r>
              <w:t>R3</w:t>
            </w:r>
          </w:p>
        </w:tc>
        <w:tc>
          <w:tcPr>
            <w:tcW w:type="dxa" w:w="4320"/>
          </w:tcPr>
          <w:p>
            <w:r>
              <w:t>tidak ditemukan pembahasan eksplisit mengenai komposisi/mekanisme pelibatan pemangku kepentingan pada Kriteria 6.</w:t>
            </w:r>
          </w:p>
        </w:tc>
      </w:tr>
      <w:tr>
        <w:tc>
          <w:tcPr>
            <w:tcW w:type="dxa" w:w="4320"/>
          </w:tcPr>
          <w:p>
            <w:r>
              <w:t>R4</w:t>
            </w:r>
          </w:p>
        </w:tc>
        <w:tc>
          <w:tcPr>
            <w:tcW w:type="dxa" w:w="4320"/>
          </w:tcPr>
          <w:p>
            <w:r>
              <w:t>tidak ditemukan pembahasan eksplisit mengenai tim penyusun/pelibatan pemangku kepentingan pada Standar Visi dan Strategi Pencapaian.</w:t>
            </w:r>
          </w:p>
        </w:tc>
      </w:tr>
      <w:tr>
        <w:tc>
          <w:tcPr>
            <w:tcW w:type="dxa" w:w="4320"/>
          </w:tcPr>
          <w:p>
            <w:r>
              <w:t>R5</w:t>
            </w:r>
          </w:p>
        </w:tc>
        <w:tc>
          <w:tcPr>
            <w:tcW w:type="dxa" w:w="4320"/>
          </w:tcPr>
          <w:p>
            <w:r>
              <w:t>Pernyataan Isi Standar No.5-6 hanya menyebut penetapan oleh Rektor dengan persetujuan Senat Universitas/Fakultas, tanpa merinci pelibatan dosen/mahasiswa/eksternal secara eksplisit.</w:t>
            </w:r>
          </w:p>
        </w:tc>
      </w:tr>
    </w:tbl>
    <w:p/>
    <w:p>
      <w:pPr>
        <w:pStyle w:val="Heading2"/>
      </w:pPr>
      <w:r>
        <w:t>Tema 3. Diferensiasi Misi FTII (Kekhasan Keilmuan)</w:t>
      </w:r>
    </w:p>
    <w:p>
      <w:r>
        <w:rPr>
          <w:b/>
        </w:rPr>
        <w:t xml:space="preserve">Ketentuan FTII UNISBANK: </w:t>
      </w:r>
      <w:r>
        <w:t>FTII wajib memiliki dokumen formal VMTS yang mencerminkan diferensiasi misi FTII, khususnya dalam bidang teknologi informasi, industri, data-driven, dan digital business yang menjadi keunggulan dan ciri khas fakultas.</w:t>
      </w:r>
    </w:p>
    <w:p>
      <w:r>
        <w:rPr>
          <w:b/>
        </w:rPr>
        <w:t xml:space="preserve">Analisis Kesesuaian: </w:t>
      </w:r>
      <w:r>
        <w:t>SANGAT SELARAS — konsep 'diferensiasi misi/kekhasan VMTS' FTII persis merupakan inti penilaian R2 dan R3; R3 bahkan menamakan seluruh kriterianya 'Kriteria 6 Diferensiasi Misi'. FTII sudah mendefinisikan diferensiasinya secara eksplisit (TI, industri, data-driven, digital business), sehingga siap dinilai terhadap kedua instrumen akreditasi ini. R1, R4, dan R5 tidak memakai istilah 'diferensiasi misi' secara eksplisit, namun konsep setara muncul sebagai 'visi keilmuan (scientific vision)' program studi (R1 1.1.1; R4 IKU No.4; R5 definisi istilah No.3).</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1.1.1: harkat 4 mensyaratkan 'visi keilmuan terkait keunikan Prodi'; catatan mendefinisikan 'visi keilmuan adalah pandangan tentang ranah keilmuan yang dikembangkan... keilmuan Prodi'.</w:t>
            </w:r>
          </w:p>
        </w:tc>
      </w:tr>
      <w:tr>
        <w:tc>
          <w:tcPr>
            <w:tcW w:type="dxa" w:w="4320"/>
          </w:tcPr>
          <w:p>
            <w:r>
              <w:t>R2</w:t>
            </w:r>
          </w:p>
        </w:tc>
        <w:tc>
          <w:tcPr>
            <w:tcW w:type="dxa" w:w="4320"/>
          </w:tcPr>
          <w:p>
            <w:r>
              <w:t>Indikator 1 'Kekhasan VMTS': 'Pernyataan VMTS yang unik dan spesifik sebagai identitas PT, UPPS, dan visi keilmuan program studi sebagai keunggulan kompetitif yang didukung dengan renstra dan kurikulum yang memadai'.</w:t>
            </w:r>
          </w:p>
        </w:tc>
      </w:tr>
      <w:tr>
        <w:tc>
          <w:tcPr>
            <w:tcW w:type="dxa" w:w="4320"/>
          </w:tcPr>
          <w:p>
            <w:r>
              <w:t>R3</w:t>
            </w:r>
          </w:p>
        </w:tc>
        <w:tc>
          <w:tcPr>
            <w:tcW w:type="dxa" w:w="4320"/>
          </w:tcPr>
          <w:p>
            <w:r>
              <w:t>Judul Kriteria 6 adalah 'Diferensiasi Misi'; seluruh 5 butir (6.1-6.5) menilai kebijakan/pelaksanaan/evaluasi VMTS yang 'dapat menggambarkan ciri khas keilmuan PS'.</w:t>
            </w:r>
          </w:p>
        </w:tc>
      </w:tr>
      <w:tr>
        <w:tc>
          <w:tcPr>
            <w:tcW w:type="dxa" w:w="4320"/>
          </w:tcPr>
          <w:p>
            <w:r>
              <w:t>R4</w:t>
            </w:r>
          </w:p>
        </w:tc>
        <w:tc>
          <w:tcPr>
            <w:tcW w:type="dxa" w:w="4320"/>
          </w:tcPr>
          <w:p>
            <w:r>
              <w:t>IKU No.4: 'Persentase program studi di fakultas yang memiliki dokumen visi keilmuan yang terdokumentasi'.</w:t>
            </w:r>
          </w:p>
        </w:tc>
      </w:tr>
      <w:tr>
        <w:tc>
          <w:tcPr>
            <w:tcW w:type="dxa" w:w="4320"/>
          </w:tcPr>
          <w:p>
            <w:r>
              <w:t>R5</w:t>
            </w:r>
          </w:p>
        </w:tc>
        <w:tc>
          <w:tcPr>
            <w:tcW w:type="dxa" w:w="4320"/>
          </w:tcPr>
          <w:p>
            <w:r>
              <w:t>Definisi Istilah No.3: 'Visi... Khusus untuk program studi, visi harus juga menggambarkan keunggulan keilmuan (scientific vision) yang ingin diwujudkan'.</w:t>
            </w:r>
          </w:p>
        </w:tc>
      </w:tr>
    </w:tbl>
    <w:p/>
    <w:p>
      <w:pPr>
        <w:pStyle w:val="Heading2"/>
      </w:pPr>
      <w:r>
        <w:t>Tema 4. Pedoman Formal Penyusunan, Peninjauan, Evaluasi, dan Sosialisasi VMTS</w:t>
      </w:r>
    </w:p>
    <w:p>
      <w:r>
        <w:rPr>
          <w:b/>
        </w:rPr>
        <w:t xml:space="preserve">Ketentuan FTII UNISBANK: </w:t>
      </w:r>
      <w:r>
        <w:t>FTII wajib memiliki pedoman penyusunan, peninjauan, evaluasi, dan sosialisasi VMTS yang terdokumentasi serta dilaksanakan secara konsisten dan berkelanjutan.</w:t>
      </w:r>
    </w:p>
    <w:p>
      <w:r>
        <w:rPr>
          <w:b/>
        </w:rPr>
        <w:t xml:space="preserve">Analisis Kesesuaian: </w:t>
      </w:r>
      <w:r>
        <w:t>SELARAS, dengan R5 justru LEBIH TERSTRUKTUR — R5 mewajibkan lima manual terpisah untuk setiap tahap PPEPP (Penetapan/Pelaksanaan/Evaluasi/Pengendalian/Peningkatan), sedangkan FTII menyebut 'pedoman' secara umum tanpa memerinci dokumen per tahap. R4 juga secara eksplisit mensyaratkan pedoman evaluasi keselarasan VMTS sebagai IKU tersendiri. Direkomendasikan FTII mempertimbangkan pemecahan pedoman VMTS menjadi dokumen per-tahap PPEPP mengikuti pola R5 agar lebih mudah diaudit.</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R4</w:t>
            </w:r>
          </w:p>
        </w:tc>
        <w:tc>
          <w:tcPr>
            <w:tcW w:type="dxa" w:w="4320"/>
          </w:tcPr>
          <w:p>
            <w:r>
              <w:t>IKU No.2: 'Persentase program studi/unit kerja di fakultas yang menerapkan pedoman evaluasi keselarasan VMTS, monev pemahaman VMTS, monev capaian sasaran, dan evaluasi diri tahunan'.</w:t>
            </w:r>
          </w:p>
        </w:tc>
      </w:tr>
      <w:tr>
        <w:tc>
          <w:tcPr>
            <w:tcW w:type="dxa" w:w="4320"/>
          </w:tcPr>
          <w:p>
            <w:r>
              <w:t>R5</w:t>
            </w:r>
          </w:p>
        </w:tc>
        <w:tc>
          <w:tcPr>
            <w:tcW w:type="dxa" w:w="4320"/>
          </w:tcPr>
          <w:p>
            <w:r>
              <w:t>Dokumen Terkait No.2-6: 'Manual Penetapan Standar Visi Misi dan Strategi Pencapaian', 'Manual Pelaksanaan...', 'Manual Evaluasi...', 'Manual Pengendalian...', 'Manual Peningkatan Standar Visi Misi dan Strategi Pencapaian'.</w:t>
            </w:r>
          </w:p>
        </w:tc>
      </w:tr>
      <w:tr>
        <w:tc>
          <w:tcPr>
            <w:tcW w:type="dxa" w:w="4320"/>
          </w:tcPr>
          <w:p>
            <w:r>
              <w:t>R1</w:t>
            </w:r>
          </w:p>
        </w:tc>
        <w:tc>
          <w:tcPr>
            <w:tcW w:type="dxa" w:w="4320"/>
          </w:tcPr>
          <w:p>
            <w:r>
              <w:t>tidak ditemukan pembahasan eksplisit mengenai pedoman formal tersendiri untuk penyusunan/peninjauan/sosialisasi VMTS (fokus R1 pada indikator penilaian, bukan struktur dokumen pedoman).</w:t>
            </w:r>
          </w:p>
        </w:tc>
      </w:tr>
      <w:tr>
        <w:tc>
          <w:tcPr>
            <w:tcW w:type="dxa" w:w="4320"/>
          </w:tcPr>
          <w:p>
            <w:r>
              <w:t>R2</w:t>
            </w:r>
          </w:p>
        </w:tc>
        <w:tc>
          <w:tcPr>
            <w:tcW w:type="dxa" w:w="4320"/>
          </w:tcPr>
          <w:p>
            <w:r>
              <w:t>tidak ditemukan pembahasan eksplisit mengenai pedoman formal tersendiri (matriks berfokus pada indikator penilaian capaian, bukan struktur dokumen pedoman).</w:t>
            </w:r>
          </w:p>
        </w:tc>
      </w:tr>
      <w:tr>
        <w:tc>
          <w:tcPr>
            <w:tcW w:type="dxa" w:w="4320"/>
          </w:tcPr>
          <w:p>
            <w:r>
              <w:t>R3</w:t>
            </w:r>
          </w:p>
        </w:tc>
        <w:tc>
          <w:tcPr>
            <w:tcW w:type="dxa" w:w="4320"/>
          </w:tcPr>
          <w:p>
            <w:r>
              <w:t>tidak ditemukan pembahasan eksplisit mengenai bentuk pedoman; Kriteria 6.1 hanya mensyaratkan 'kebijakan, standar dan indikator' tanpa merinci jenis dokumen pedoman.</w:t>
            </w:r>
          </w:p>
        </w:tc>
      </w:tr>
    </w:tbl>
    <w:p/>
    <w:p>
      <w:pPr>
        <w:pStyle w:val="Heading2"/>
      </w:pPr>
      <w:r>
        <w:t>Tema 5. Penjabaran VMTS ke Renstra, Renop, RIP, dan Indikator Kinerja Terukur</w:t>
      </w:r>
    </w:p>
    <w:p>
      <w:r>
        <w:rPr>
          <w:b/>
        </w:rPr>
        <w:t xml:space="preserve">Ketentuan FTII UNISBANK: </w:t>
      </w:r>
      <w:r>
        <w:t>VMTS FTII wajib dijabarkan ke dalam Rencana Strategis (Renstra), Rencana Operasional (Renop), program kerja, indikator kinerja, serta target pencapaian yang terukur dan berorientasi pada peningkatan daya saing.</w:t>
      </w:r>
    </w:p>
    <w:p>
      <w:r>
        <w:rPr>
          <w:b/>
        </w:rPr>
        <w:t xml:space="preserve">Analisis Kesesuaian: </w:t>
      </w:r>
      <w:r>
        <w:t>SELARAS PENUH, dan FTII LEBIH LENGKAP pada aspek jenjang perencanaan — FTII memiliki RIP, Renstra, DAN Renop (tiga jenjang: panjang, menengah, pendek), sementara R4 dan R5 dalam kutipan yang ditemukan hanya eksplisit menyebut RPJP dan Renstra (dua jenjang) tanpa menyebut dokumen Renop tersendiri.</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R4</w:t>
            </w:r>
          </w:p>
        </w:tc>
        <w:tc>
          <w:tcPr>
            <w:tcW w:type="dxa" w:w="4320"/>
          </w:tcPr>
          <w:p>
            <w:r>
              <w:t>IKU No.6: 'Persentase dokumen RPJP fakultas yang ditetapkan dan terdokumentasi'; IKU No.7: 'Persentase dokumen Renstra fakultas yang ditetapkan, terdokumentasi, dan diimplementasikan'.</w:t>
            </w:r>
          </w:p>
        </w:tc>
      </w:tr>
      <w:tr>
        <w:tc>
          <w:tcPr>
            <w:tcW w:type="dxa" w:w="4320"/>
          </w:tcPr>
          <w:p>
            <w:r>
              <w:t>R5</w:t>
            </w:r>
          </w:p>
        </w:tc>
        <w:tc>
          <w:tcPr>
            <w:tcW w:type="dxa" w:w="4320"/>
          </w:tcPr>
          <w:p>
            <w:r>
              <w:t>Pernyataan Isi Standar No.4: 'Rencana Strategis berjangka waktu 5 (lima) tahun yang memuat strategi dan program dengan indikator capaiannya yang terukur... berdasarkan VMTS'; No.8: 'rumusan RPJP yang memuat pentahapan waktu dan tonggak capaian... berdasarkan VMTS'.</w:t>
            </w:r>
          </w:p>
        </w:tc>
      </w:tr>
      <w:tr>
        <w:tc>
          <w:tcPr>
            <w:tcW w:type="dxa" w:w="4320"/>
          </w:tcPr>
          <w:p>
            <w:r>
              <w:t>R1</w:t>
            </w:r>
          </w:p>
        </w:tc>
        <w:tc>
          <w:tcPr>
            <w:tcW w:type="dxa" w:w="4320"/>
          </w:tcPr>
          <w:p>
            <w:r>
              <w:t>Dokumen pendukung Butir 1.1.2 menyebut 'RENSTRA UPPS yang memuat VMTS' sebagai bukti keterkaitan VMTS dengan perencanaan strategis.</w:t>
            </w:r>
          </w:p>
        </w:tc>
      </w:tr>
      <w:tr>
        <w:tc>
          <w:tcPr>
            <w:tcW w:type="dxa" w:w="4320"/>
          </w:tcPr>
          <w:p>
            <w:r>
              <w:t>R2</w:t>
            </w:r>
          </w:p>
        </w:tc>
        <w:tc>
          <w:tcPr>
            <w:tcW w:type="dxa" w:w="4320"/>
          </w:tcPr>
          <w:p>
            <w:r>
              <w:t>tidak ditemukan pembahasan eksplisit mengenai jenjang dokumen perencanaan (RIP/Renstra/Renop) pada Kriteria I.</w:t>
            </w:r>
          </w:p>
        </w:tc>
      </w:tr>
      <w:tr>
        <w:tc>
          <w:tcPr>
            <w:tcW w:type="dxa" w:w="4320"/>
          </w:tcPr>
          <w:p>
            <w:r>
              <w:t>R3</w:t>
            </w:r>
          </w:p>
        </w:tc>
        <w:tc>
          <w:tcPr>
            <w:tcW w:type="dxa" w:w="4320"/>
          </w:tcPr>
          <w:p>
            <w:r>
              <w:t>Kriteria 6.1 menyebut 'rencana pengembangan strategis UPPS dan/atau PS' secara umum tanpa memerinci jenjang dokumen perencanaan.</w:t>
            </w:r>
          </w:p>
        </w:tc>
      </w:tr>
    </w:tbl>
    <w:p/>
    <w:p>
      <w:pPr>
        <w:pStyle w:val="Heading2"/>
      </w:pPr>
      <w:r>
        <w:t>Tema 6. Implementasi Program Tridharma sesuai VMTS dan Peta Jalan Pengembangan</w:t>
      </w:r>
    </w:p>
    <w:p>
      <w:r>
        <w:rPr>
          <w:b/>
        </w:rPr>
        <w:t xml:space="preserve">Ketentuan FTII UNISBANK: </w:t>
      </w:r>
      <w:r>
        <w:t>Seluruh program pendidikan, penelitian, dan pengabdian kepada masyarakat di FTII harus dilaksanakan sesuai dengan VMTS, Renstra, dan peta jalan pengembangan fakultas serta mendukung ketercapaian diferensiasi misi.</w:t>
      </w:r>
    </w:p>
    <w:p>
      <w:r>
        <w:rPr>
          <w:b/>
        </w:rPr>
        <w:t xml:space="preserve">Analisis Kesesuaian: </w:t>
      </w:r>
      <w:r>
        <w:t>SELARAS PENUH dengan R1, R3, dan R4 — ketiganya menilai implementasi/pelaksanaan VMTS sebagai komponen penilaian tersendiri (R3 Kriteria 6.2 [Pelaksanaan]; R4 Pernyataan Standar utama serta IKU No.1).</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Rubrik Butir 1.1.1 menilai kesesuaian VMTS terhadap pelaksanaan program 'dengan data implementasi yang konsisten'.</w:t>
            </w:r>
          </w:p>
        </w:tc>
      </w:tr>
      <w:tr>
        <w:tc>
          <w:tcPr>
            <w:tcW w:type="dxa" w:w="4320"/>
          </w:tcPr>
          <w:p>
            <w:r>
              <w:t>R3</w:t>
            </w:r>
          </w:p>
        </w:tc>
        <w:tc>
          <w:tcPr>
            <w:tcW w:type="dxa" w:w="4320"/>
          </w:tcPr>
          <w:p>
            <w:r>
              <w:t>Kriteria 6.2 [Pelaksanaan]: 'Pelaksanaan standar dan indikator terkait tridarma perguruan tinggi yang mencakup VMTS, rencana pengembangan strategis UPPS dan/atau PS... secara sangat efektif disertai bukti-bukti yang sahih dan sangat lengkap'.</w:t>
            </w:r>
          </w:p>
        </w:tc>
      </w:tr>
      <w:tr>
        <w:tc>
          <w:tcPr>
            <w:tcW w:type="dxa" w:w="4320"/>
          </w:tcPr>
          <w:p>
            <w:r>
              <w:t>R4</w:t>
            </w:r>
          </w:p>
        </w:tc>
        <w:tc>
          <w:tcPr>
            <w:tcW w:type="dxa" w:w="4320"/>
          </w:tcPr>
          <w:p>
            <w:r>
              <w:t>Pernyataan Standar: 'Fakultas mengimplementasikan dan mengendalikan visi, misi, tujuan, dan sasaran (VMTS) serta strategi pencapaiannya sesuai kebijakan universitas'; IKU No.1 (target 100% prodi/unit pada 2025).</w:t>
            </w:r>
          </w:p>
        </w:tc>
      </w:tr>
      <w:tr>
        <w:tc>
          <w:tcPr>
            <w:tcW w:type="dxa" w:w="4320"/>
          </w:tcPr>
          <w:p>
            <w:r>
              <w:t>R2</w:t>
            </w:r>
          </w:p>
        </w:tc>
        <w:tc>
          <w:tcPr>
            <w:tcW w:type="dxa" w:w="4320"/>
          </w:tcPr>
          <w:p>
            <w:r>
              <w:t>tidak ditemukan indikator tersendiri untuk pelaksanaan program tridharma pada Kriteria I (fokus R2 pada kekhasan, mekanisme penyusunan, dan pemahaman VMTS, bukan pelaksanaan program tridharma).</w:t>
            </w:r>
          </w:p>
        </w:tc>
      </w:tr>
      <w:tr>
        <w:tc>
          <w:tcPr>
            <w:tcW w:type="dxa" w:w="4320"/>
          </w:tcPr>
          <w:p>
            <w:r>
              <w:t>R5</w:t>
            </w:r>
          </w:p>
        </w:tc>
        <w:tc>
          <w:tcPr>
            <w:tcW w:type="dxa" w:w="4320"/>
          </w:tcPr>
          <w:p>
            <w:r>
              <w:t>tidak ditemukan pembahasan eksplisit keterkaitan langsung pelaksanaan tridharma dengan VMTS pada bagian 8.1.</w:t>
            </w:r>
          </w:p>
        </w:tc>
      </w:tr>
    </w:tbl>
    <w:p/>
    <w:p>
      <w:pPr>
        <w:pStyle w:val="Heading2"/>
      </w:pPr>
      <w:r>
        <w:t>Tema 7. Evaluasi Efektivitas-Efisiensi Program dan Ketercapaian Tujuan/Strategi</w:t>
      </w:r>
    </w:p>
    <w:p>
      <w:r>
        <w:rPr>
          <w:b/>
        </w:rPr>
        <w:t xml:space="preserve">Ketentuan FTII UNISBANK: </w:t>
      </w:r>
      <w:r>
        <w:t>FTII wajib melaksanakan evaluasi efektivitas dan efisiensi pelaksanaan program secara berkala, serta evaluasi keterlaksanaan misi dan tingkat pencapaian tujuan dan strategi secara periodik menggunakan indikator kinerja.</w:t>
      </w:r>
    </w:p>
    <w:p>
      <w:r>
        <w:rPr>
          <w:b/>
        </w:rPr>
        <w:t xml:space="preserve">Analisis Kesesuaian: </w:t>
      </w:r>
      <w:r>
        <w:t>SELARAS PENUH dengan seluruh 5 rujukan — evaluasi berkala ketercapaian VMTS merupakan komponen universal di kelima dokumen (R1 butir 1.1.3; R2 Indikator 3; R3 Kriteria 6.3; R4 Mekanisme Evaluasi &amp; IKU No.10; R5 Pernyataan Isi Standar No.2 dan No.9). FTII sejalan penuh dengan praktik terbaik yang berlaku umum.</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1.1.3 harkat 4: 'Strategi efektif untuk mencapai tujuan dan sasaran disusun berdasarkan analisis yang sistematis... serta pada pelaksanaannya dengan tahapan yang jelas dan dilakukan pemantauan dan evaluasi dan ditindaklanjuti'.</w:t>
            </w:r>
          </w:p>
        </w:tc>
      </w:tr>
      <w:tr>
        <w:tc>
          <w:tcPr>
            <w:tcW w:type="dxa" w:w="4320"/>
          </w:tcPr>
          <w:p>
            <w:r>
              <w:t>R2</w:t>
            </w:r>
          </w:p>
        </w:tc>
        <w:tc>
          <w:tcPr>
            <w:tcW w:type="dxa" w:w="4320"/>
          </w:tcPr>
          <w:p>
            <w:r>
              <w:t>Indikator 3 'Tingkat pemahaman dan pencapaian VMTS' menilai '(3) Pencapaian konkret jangka pendek dan menengah VMTS UPPS dan visi keilmuan program studi'.</w:t>
            </w:r>
          </w:p>
        </w:tc>
      </w:tr>
      <w:tr>
        <w:tc>
          <w:tcPr>
            <w:tcW w:type="dxa" w:w="4320"/>
          </w:tcPr>
          <w:p>
            <w:r>
              <w:t>R3</w:t>
            </w:r>
          </w:p>
        </w:tc>
        <w:tc>
          <w:tcPr>
            <w:tcW w:type="dxa" w:w="4320"/>
          </w:tcPr>
          <w:p>
            <w:r>
              <w:t>Kriteria 6.3 [Evaluasi]: 'Evaluasi ketercapaian standar dan indikator terkait tridarma perguruan tinggi yang mencakup VMTS... secara sangat efektif disertai bukti-bukti yang sahih dan sangat lengkap'.</w:t>
            </w:r>
          </w:p>
        </w:tc>
      </w:tr>
      <w:tr>
        <w:tc>
          <w:tcPr>
            <w:tcW w:type="dxa" w:w="4320"/>
          </w:tcPr>
          <w:p>
            <w:r>
              <w:t>R4</w:t>
            </w:r>
          </w:p>
        </w:tc>
        <w:tc>
          <w:tcPr>
            <w:tcW w:type="dxa" w:w="4320"/>
          </w:tcPr>
          <w:p>
            <w:r>
              <w:t>IKU No.10: 'Persentase capaian kinerja fakultas dan program studi (baseline ≥80%) dan meningkat setiap tahun'; Mekanisme Evaluasi No.1-4: monev internal GPM tahunan, Audit Mutu Internal, evaluasi kinerja berbasis indikator, rapat tinjauan manajemen.</w:t>
            </w:r>
          </w:p>
        </w:tc>
      </w:tr>
      <w:tr>
        <w:tc>
          <w:tcPr>
            <w:tcW w:type="dxa" w:w="4320"/>
          </w:tcPr>
          <w:p>
            <w:r>
              <w:t>R5</w:t>
            </w:r>
          </w:p>
        </w:tc>
        <w:tc>
          <w:tcPr>
            <w:tcW w:type="dxa" w:w="4320"/>
          </w:tcPr>
          <w:p>
            <w:r>
              <w:t>Pernyataan Isi Standar No.2: 'Rektor harus mengevaluasi capaian visi dan sasaran strategis UTM minimal 1 kali per tahun'; No.9: 'Pimpinan Unit Kerja harus mengevaluasi capaian visi dan sasaran strategis dan menyusun laporan evaluasi diri unit kerja... setiap akhir tahun'.</w:t>
            </w:r>
          </w:p>
        </w:tc>
      </w:tr>
    </w:tbl>
    <w:p/>
    <w:p>
      <w:pPr>
        <w:pStyle w:val="Heading2"/>
      </w:pPr>
      <w:r>
        <w:t>Tema 8. Benchmarking dengan Perguruan Tinggi/Institusi Lain</w:t>
      </w:r>
    </w:p>
    <w:p>
      <w:r>
        <w:rPr>
          <w:b/>
        </w:rPr>
        <w:t xml:space="preserve">Ketentuan FTII UNISBANK: </w:t>
      </w:r>
      <w:r>
        <w:t>FTII wajib melakukan benchmarking terhadap capaian tridharma perguruan tinggi dan tata kelola dengan perguruan tinggi atau institusi lain yang relevan guna meningkatkan mutu dan daya saing institusi.</w:t>
      </w:r>
    </w:p>
    <w:p>
      <w:r>
        <w:rPr>
          <w:b/>
        </w:rPr>
        <w:t xml:space="preserve">Analisis Kesesuaian: </w:t>
      </w:r>
      <w:r>
        <w:t>GAP TERIDENTIFIKASI — istilah dan konsep 'benchmarking' TIDAK DITEMUKAN sama sekali pada kelima dokumen rujukan (telah diverifikasi melalui pencarian kata kunci 'benchmark' pada seluruh teks hasil ekstraksi R1-R5, nihil kecocokan). Ini merupakan praktik baik (best practice) yang menjadi nilai tambah FTII yang melampaui kelima rujukan, namun juga berarti FTII tidak dapat memverifikasi ketentuan benchmarking-nya terhadap standar/kriteria eksternal manapun dari kelima dokumen ini — perlu dipastikan relevansinya terhadap sumber regulasi lain (misalnya Permendikbudristek 53/2023 atau pedoman internal UNISBANK) di luar cakupan kelima dokumen ini.</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tidak ditemukan pembahasan eksplisit mengenai benchmarking.</w:t>
            </w:r>
          </w:p>
        </w:tc>
      </w:tr>
      <w:tr>
        <w:tc>
          <w:tcPr>
            <w:tcW w:type="dxa" w:w="4320"/>
          </w:tcPr>
          <w:p>
            <w:r>
              <w:t>R2</w:t>
            </w:r>
          </w:p>
        </w:tc>
        <w:tc>
          <w:tcPr>
            <w:tcW w:type="dxa" w:w="4320"/>
          </w:tcPr>
          <w:p>
            <w:r>
              <w:t>tidak ditemukan pembahasan eksplisit mengenai benchmarking.</w:t>
            </w:r>
          </w:p>
        </w:tc>
      </w:tr>
      <w:tr>
        <w:tc>
          <w:tcPr>
            <w:tcW w:type="dxa" w:w="4320"/>
          </w:tcPr>
          <w:p>
            <w:r>
              <w:t>R3</w:t>
            </w:r>
          </w:p>
        </w:tc>
        <w:tc>
          <w:tcPr>
            <w:tcW w:type="dxa" w:w="4320"/>
          </w:tcPr>
          <w:p>
            <w:r>
              <w:t>tidak ditemukan pembahasan eksplisit mengenai benchmarking.</w:t>
            </w:r>
          </w:p>
        </w:tc>
      </w:tr>
      <w:tr>
        <w:tc>
          <w:tcPr>
            <w:tcW w:type="dxa" w:w="4320"/>
          </w:tcPr>
          <w:p>
            <w:r>
              <w:t>R4</w:t>
            </w:r>
          </w:p>
        </w:tc>
        <w:tc>
          <w:tcPr>
            <w:tcW w:type="dxa" w:w="4320"/>
          </w:tcPr>
          <w:p>
            <w:r>
              <w:t>tidak ditemukan pembahasan eksplisit mengenai benchmarking.</w:t>
            </w:r>
          </w:p>
        </w:tc>
      </w:tr>
      <w:tr>
        <w:tc>
          <w:tcPr>
            <w:tcW w:type="dxa" w:w="4320"/>
          </w:tcPr>
          <w:p>
            <w:r>
              <w:t>R5</w:t>
            </w:r>
          </w:p>
        </w:tc>
        <w:tc>
          <w:tcPr>
            <w:tcW w:type="dxa" w:w="4320"/>
          </w:tcPr>
          <w:p>
            <w:r>
              <w:t>tidak ditemukan pembahasan eksplisit mengenai benchmarking.</w:t>
            </w:r>
          </w:p>
        </w:tc>
      </w:tr>
    </w:tbl>
    <w:p/>
    <w:p>
      <w:pPr>
        <w:pStyle w:val="Heading2"/>
      </w:pPr>
      <w:r>
        <w:t>Tema 9. Pelaporan Ketercapaian VMTS kepada Pemangku Kepentingan</w:t>
      </w:r>
    </w:p>
    <w:p>
      <w:r>
        <w:rPr>
          <w:b/>
        </w:rPr>
        <w:t xml:space="preserve">Ketentuan FTII UNISBANK: </w:t>
      </w:r>
      <w:r>
        <w:t>FTII wajib menyusun laporan ketercapaian VMTS dan diferensiasi misi serta menyampaikannya kepada pemangku kepentingan secara transparan dan akuntabel.</w:t>
      </w:r>
    </w:p>
    <w:p>
      <w:r>
        <w:rPr>
          <w:b/>
        </w:rPr>
        <w:t xml:space="preserve">Analisis Kesesuaian: </w:t>
      </w:r>
      <w:r>
        <w:t>SELARAS PENUH dengan R4 dan R5 — keduanya secara eksplisit mensyaratkan laporan evaluasi capaian VMTS/kinerja yang berkala dan terdokumentasi (setara dengan mekanisme LAKIP pada R5). R1, R2, dan R3 tidak secara eksplisit mensyaratkan bentuk 'laporan' tersendiri, namun bukti pelaksanaan/pencapaian dinilai melalui indikator dan dokumen pendukung yang setara secara substantif.</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R4</w:t>
            </w:r>
          </w:p>
        </w:tc>
        <w:tc>
          <w:tcPr>
            <w:tcW w:type="dxa" w:w="4320"/>
          </w:tcPr>
          <w:p>
            <w:r>
              <w:t>IKU No.8: 'Ketersediaan dan ketepatan waktu laporan evaluasi capaian VMTS fakultas setiap tahun'; IKU No.9: laporan evaluasi diri tahunan disampaikan dalam rapat kerja fakultas.</w:t>
            </w:r>
          </w:p>
        </w:tc>
      </w:tr>
      <w:tr>
        <w:tc>
          <w:tcPr>
            <w:tcW w:type="dxa" w:w="4320"/>
          </w:tcPr>
          <w:p>
            <w:r>
              <w:t>R5</w:t>
            </w:r>
          </w:p>
        </w:tc>
        <w:tc>
          <w:tcPr>
            <w:tcW w:type="dxa" w:w="4320"/>
          </w:tcPr>
          <w:p>
            <w:r>
              <w:t>Indikator No.7: 'Tersedia laporan hasil evaluasi capaian visi dan sasaran strategis UTM yang bersifat tahunan (LAKIP)'; Pernyataan Isi Standar No.9: laporan evaluasi diri unit kerja disampaikan 'di setiap akhir tahun dalam forum rapat kerja'.</w:t>
            </w:r>
          </w:p>
        </w:tc>
      </w:tr>
      <w:tr>
        <w:tc>
          <w:tcPr>
            <w:tcW w:type="dxa" w:w="4320"/>
          </w:tcPr>
          <w:p>
            <w:r>
              <w:t>R1</w:t>
            </w:r>
          </w:p>
        </w:tc>
        <w:tc>
          <w:tcPr>
            <w:tcW w:type="dxa" w:w="4320"/>
          </w:tcPr>
          <w:p>
            <w:r>
              <w:t>tidak ditemukan syarat eksplisit bentuk 'laporan' tersendiri pada Standar 1 (dinilai melalui bukti implementasi pada rubrik butir 1.1.1-1.1.3).</w:t>
            </w:r>
          </w:p>
        </w:tc>
      </w:tr>
      <w:tr>
        <w:tc>
          <w:tcPr>
            <w:tcW w:type="dxa" w:w="4320"/>
          </w:tcPr>
          <w:p>
            <w:r>
              <w:t>R2</w:t>
            </w:r>
          </w:p>
        </w:tc>
        <w:tc>
          <w:tcPr>
            <w:tcW w:type="dxa" w:w="4320"/>
          </w:tcPr>
          <w:p>
            <w:r>
              <w:t>tidak ditemukan syarat eksplisit bentuk 'laporan' tersendiri pada Kriteria I.</w:t>
            </w:r>
          </w:p>
        </w:tc>
      </w:tr>
      <w:tr>
        <w:tc>
          <w:tcPr>
            <w:tcW w:type="dxa" w:w="4320"/>
          </w:tcPr>
          <w:p>
            <w:r>
              <w:t>R3</w:t>
            </w:r>
          </w:p>
        </w:tc>
        <w:tc>
          <w:tcPr>
            <w:tcW w:type="dxa" w:w="4320"/>
          </w:tcPr>
          <w:p>
            <w:r>
              <w:t>tidak ditemukan syarat eksplisit bentuk 'laporan' tersendiri; Kriteria 6.3-6.4 menilai evaluasi dan tindak lanjut, bukan format laporan.</w:t>
            </w:r>
          </w:p>
        </w:tc>
      </w:tr>
    </w:tbl>
    <w:p/>
    <w:p>
      <w:pPr>
        <w:pStyle w:val="Heading2"/>
      </w:pPr>
      <w:r>
        <w:t>Tema 10. Target Pengembangan Berorientasi Daya Saing Nasional/Internasional dan Pengakuan Eksternal</w:t>
      </w:r>
    </w:p>
    <w:p>
      <w:r>
        <w:rPr>
          <w:b/>
        </w:rPr>
        <w:t xml:space="preserve">Ketentuan FTII UNISBANK: </w:t>
      </w:r>
      <w:r>
        <w:t>FTII wajib memiliki target pengembangan yang berorientasi pada daya saing nasional dan internasional serta wajib memperoleh pengakuan dan apresiasi dari pihak eksternal atas keunggulan penyelenggaraan tridharma sesuai diferensiasi misi.</w:t>
      </w:r>
    </w:p>
    <w:p>
      <w:r>
        <w:rPr>
          <w:b/>
        </w:rPr>
        <w:t xml:space="preserve">Analisis Kesesuaian: </w:t>
      </w:r>
      <w:r>
        <w:t>IDENTIK dengan R3 — R3 menjadikan 'pengakuan/apresiasi oleh masyarakat dan DUDIKA di tingkat lokal, nasional, dan internasional' sebagai syarat skor sempurna (4) pada seluruh lima butir Kriteria 6 (6.1-6.5). Ketentuan FTII tentang 'pengakuan eksternal' dan 'daya saing nasional-internasional' sangat sesuai dengan bobot penilaian tertinggi LAM INFOKOM. TIDAK DITEMUKAN pembahasan eksplisit setara pada R1, R2, R4, dan R5 — ini merupakan area di mana FTII selaras kuat hanya dengan satu dari lima rujukan (R3), sehingga perlu dipastikan bukti pengakuan eksternal ini juga relevan untuk pemenuhan instrumen R1/R2/R4/R5 saat penyusunan borang akreditasi lintas-lembaga.</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R3</w:t>
            </w:r>
          </w:p>
        </w:tc>
        <w:tc>
          <w:tcPr>
            <w:tcW w:type="dxa" w:w="4320"/>
          </w:tcPr>
          <w:p>
            <w:r>
              <w:t>Kriteria 6.1-6.5 (skor 4, seluruh butir): 'disertai... pengakuan/apresiasi oleh masyarakat dan DUDIKA di tingkat lokal, nasional, dan internasional, disertai bukti-bukti yang sahih dan sangat lengkap'.</w:t>
            </w:r>
          </w:p>
        </w:tc>
      </w:tr>
      <w:tr>
        <w:tc>
          <w:tcPr>
            <w:tcW w:type="dxa" w:w="4320"/>
          </w:tcPr>
          <w:p>
            <w:r>
              <w:t>R1</w:t>
            </w:r>
          </w:p>
        </w:tc>
        <w:tc>
          <w:tcPr>
            <w:tcW w:type="dxa" w:w="4320"/>
          </w:tcPr>
          <w:p>
            <w:r>
              <w:t>tidak ditemukan pembahasan eksplisit mengenai pengakuan eksternal/daya saing internasional pada Standar 1.</w:t>
            </w:r>
          </w:p>
        </w:tc>
      </w:tr>
      <w:tr>
        <w:tc>
          <w:tcPr>
            <w:tcW w:type="dxa" w:w="4320"/>
          </w:tcPr>
          <w:p>
            <w:r>
              <w:t>R2</w:t>
            </w:r>
          </w:p>
        </w:tc>
        <w:tc>
          <w:tcPr>
            <w:tcW w:type="dxa" w:w="4320"/>
          </w:tcPr>
          <w:p>
            <w:r>
              <w:t>tidak ditemukan pembahasan eksplisit mengenai pengakuan eksternal/daya saing internasional pada Kriteria I.</w:t>
            </w:r>
          </w:p>
        </w:tc>
      </w:tr>
      <w:tr>
        <w:tc>
          <w:tcPr>
            <w:tcW w:type="dxa" w:w="4320"/>
          </w:tcPr>
          <w:p>
            <w:r>
              <w:t>R4</w:t>
            </w:r>
          </w:p>
        </w:tc>
        <w:tc>
          <w:tcPr>
            <w:tcW w:type="dxa" w:w="4320"/>
          </w:tcPr>
          <w:p>
            <w:r>
              <w:t>tidak ditemukan pembahasan eksplisit mengenai pengakuan eksternal/daya saing internasional pada Standar Visi dan Strategi Pencapaian.</w:t>
            </w:r>
          </w:p>
        </w:tc>
      </w:tr>
      <w:tr>
        <w:tc>
          <w:tcPr>
            <w:tcW w:type="dxa" w:w="4320"/>
          </w:tcPr>
          <w:p>
            <w:r>
              <w:t>R5</w:t>
            </w:r>
          </w:p>
        </w:tc>
        <w:tc>
          <w:tcPr>
            <w:tcW w:type="dxa" w:w="4320"/>
          </w:tcPr>
          <w:p>
            <w:r>
              <w:t>tidak ditemukan pembahasan eksplisit mengenai pengakuan eksternal/daya saing internasional pada 8.1.</w:t>
            </w:r>
          </w:p>
        </w:tc>
      </w:tr>
    </w:tbl>
    <w:p/>
    <w:p>
      <w:pPr>
        <w:pStyle w:val="Heading2"/>
      </w:pPr>
      <w:r>
        <w:t>Tema 11. Sosialisasi VMTS kepada Sivitas Akademika dan Pemangku Kepentingan</w:t>
      </w:r>
    </w:p>
    <w:p>
      <w:r>
        <w:rPr>
          <w:b/>
        </w:rPr>
        <w:t xml:space="preserve">Ketentuan FTII UNISBANK: </w:t>
      </w:r>
      <w:r>
        <w:t>FTII wajib melaksanakan sosialisasi VMTS secara berkala kepada seluruh sivitas akademika dan pemangku kepentingan melalui berbagai media komunikasi yang efektif.</w:t>
      </w:r>
    </w:p>
    <w:p>
      <w:r>
        <w:rPr>
          <w:b/>
        </w:rPr>
        <w:t xml:space="preserve">Analisis Kesesuaian: </w:t>
      </w:r>
      <w:r>
        <w:t>SELARAS PENUH dengan R2, R4, dan R5 — ketiganya menilai/mensyaratkan sosialisasi VMTS secara eksplisit. R5 bahkan menetapkan frekuensi minimum kuantitatif ('minimal dua kali sejak disahkan'; 'minimal 1 kali pada dies natalis'), sedangkan FTII hanya menyebut 'secara berkala' tanpa ambang frekuensi eksplisit — direkomendasikan FTII menambahkan target frekuensi sosialisasi yang terukur mengikuti pola R5.</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R2</w:t>
            </w:r>
          </w:p>
        </w:tc>
        <w:tc>
          <w:tcPr>
            <w:tcW w:type="dxa" w:w="4320"/>
          </w:tcPr>
          <w:p>
            <w:r>
              <w:t>Indikator 3 mencakup '(1) Sosialisasi VMTS UPPS dan visi keilmuan program studi ke seluruh pemangku kepentingan' sebagai bagian penilaian skor 4.</w:t>
            </w:r>
          </w:p>
        </w:tc>
      </w:tr>
      <w:tr>
        <w:tc>
          <w:tcPr>
            <w:tcW w:type="dxa" w:w="4320"/>
          </w:tcPr>
          <w:p>
            <w:r>
              <w:t>R4</w:t>
            </w:r>
          </w:p>
        </w:tc>
        <w:tc>
          <w:tcPr>
            <w:tcW w:type="dxa" w:w="4320"/>
          </w:tcPr>
          <w:p>
            <w:r>
              <w:t>Strategi Pencapaian No.2: 'Menyusun, memutakhirkan, dan mensosialisasikan dokumen VMTS, RPJP, dan Renstra fakultas secara berkala'.</w:t>
            </w:r>
          </w:p>
        </w:tc>
      </w:tr>
      <w:tr>
        <w:tc>
          <w:tcPr>
            <w:tcW w:type="dxa" w:w="4320"/>
          </w:tcPr>
          <w:p>
            <w:r>
              <w:t>R5</w:t>
            </w:r>
          </w:p>
        </w:tc>
        <w:tc>
          <w:tcPr>
            <w:tcW w:type="dxa" w:w="4320"/>
          </w:tcPr>
          <w:p>
            <w:r>
              <w:t>Pernyataan Isi Standar No.3: Rektor 'mensosialisasikan capaian kinerja UTM dalam forum rapat senat... diedarkan pada media cetak, elektronik dan online minimal 1 kali pada saat dies natalis'; No.7: sosialisasi VMTS 'minimal dua kali sejak disahkan'.</w:t>
            </w:r>
          </w:p>
        </w:tc>
      </w:tr>
      <w:tr>
        <w:tc>
          <w:tcPr>
            <w:tcW w:type="dxa" w:w="4320"/>
          </w:tcPr>
          <w:p>
            <w:r>
              <w:t>R1</w:t>
            </w:r>
          </w:p>
        </w:tc>
        <w:tc>
          <w:tcPr>
            <w:tcW w:type="dxa" w:w="4320"/>
          </w:tcPr>
          <w:p>
            <w:r>
              <w:t>disinggung secara tidak langsung melalui syarat dokumentasi keterlibatan pemangku kepentingan (Butir 1.1.2), namun sosialisasi pasca-penetapan tidak dibahas eksplisit sebagai indikator terpisah.</w:t>
            </w:r>
          </w:p>
        </w:tc>
      </w:tr>
      <w:tr>
        <w:tc>
          <w:tcPr>
            <w:tcW w:type="dxa" w:w="4320"/>
          </w:tcPr>
          <w:p>
            <w:r>
              <w:t>R3</w:t>
            </w:r>
          </w:p>
        </w:tc>
        <w:tc>
          <w:tcPr>
            <w:tcW w:type="dxa" w:w="4320"/>
          </w:tcPr>
          <w:p>
            <w:r>
              <w:t>tidak ditemukan pembahasan eksplisit mengenai sosialisasi VMTS sebagai indikator terpisah pada Kriteria 6.</w:t>
            </w:r>
          </w:p>
        </w:tc>
      </w:tr>
    </w:tbl>
    <w:p/>
    <w:p>
      <w:pPr>
        <w:pStyle w:val="Heading2"/>
      </w:pPr>
      <w:r>
        <w:t>Tema 12. Survei/Kuesioner Pengukuran Tingkat Pemahaman VMTS</w:t>
      </w:r>
    </w:p>
    <w:p>
      <w:r>
        <w:rPr>
          <w:b/>
        </w:rPr>
        <w:t xml:space="preserve">Ketentuan FTII UNISBANK: </w:t>
      </w:r>
      <w:r>
        <w:t>FTII wajib melaksanakan survei atau kuesioner untuk mengukur tingkat pemahaman sivitas akademika dan pemangku kepentingan terhadap VMTS serta menggunakan hasilnya sebagai dasar peningkatan efektivitas sosialisasi.</w:t>
      </w:r>
    </w:p>
    <w:p>
      <w:r>
        <w:rPr>
          <w:b/>
        </w:rPr>
        <w:t xml:space="preserve">Analisis Kesesuaian: </w:t>
      </w:r>
      <w:r>
        <w:t>SELARAS PENUH dan TERUKUR SETARA dengan R1, R2, dan R4, yang ketiganya secara eksplisit mensyaratkan pengukuran tingkat pemahaman VMTS berbasis survei/monev. FTII LEBIH TERUKUR dibanding R5 — R5 hanya mensyaratkan bukti sosialisasi berupa daftar hadir peserta, tanpa instrumen survei pemahaman yang terstruktur seperti pada R1/R2/R4.</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Dokumen pendukung Butir 1.1.3 mensyaratkan 'dokumen hasil survei pemahaman dosen, tendik dan mahasiswa terhadap VMTS UPPS'.</w:t>
            </w:r>
          </w:p>
        </w:tc>
      </w:tr>
      <w:tr>
        <w:tc>
          <w:tcPr>
            <w:tcW w:type="dxa" w:w="4320"/>
          </w:tcPr>
          <w:p>
            <w:r>
              <w:t>R2</w:t>
            </w:r>
          </w:p>
        </w:tc>
        <w:tc>
          <w:tcPr>
            <w:tcW w:type="dxa" w:w="4320"/>
          </w:tcPr>
          <w:p>
            <w:r>
              <w:t>Indikator 3 skor 4 mencakup '(2) Tingkat pemahaman VMTS UPPS dan visi keilmuan program studi para pemangku kepentingan internal dan eksternal'.</w:t>
            </w:r>
          </w:p>
        </w:tc>
      </w:tr>
      <w:tr>
        <w:tc>
          <w:tcPr>
            <w:tcW w:type="dxa" w:w="4320"/>
          </w:tcPr>
          <w:p>
            <w:r>
              <w:t>R4</w:t>
            </w:r>
          </w:p>
        </w:tc>
        <w:tc>
          <w:tcPr>
            <w:tcW w:type="dxa" w:w="4320"/>
          </w:tcPr>
          <w:p>
            <w:r>
              <w:t>IKU No.5: 'Persentase dosen, tenaga kependidikan, dan mahasiswa di fakultas yang memahami VMTS berdasarkan hasil monev' (target meningkat dari ≥80% menjadi ≥95%).</w:t>
            </w:r>
          </w:p>
        </w:tc>
      </w:tr>
      <w:tr>
        <w:tc>
          <w:tcPr>
            <w:tcW w:type="dxa" w:w="4320"/>
          </w:tcPr>
          <w:p>
            <w:r>
              <w:t>R5</w:t>
            </w:r>
          </w:p>
        </w:tc>
        <w:tc>
          <w:tcPr>
            <w:tcW w:type="dxa" w:w="4320"/>
          </w:tcPr>
          <w:p>
            <w:r>
              <w:t>Indikator No.4 hanya mensyaratkan 'bukti sosialisasi dalam bentuk daftar hadir peserta sosialisasi', tanpa instrumen pengukuran tingkat pemahaman yang terstruktur.</w:t>
            </w:r>
          </w:p>
        </w:tc>
      </w:tr>
      <w:tr>
        <w:tc>
          <w:tcPr>
            <w:tcW w:type="dxa" w:w="4320"/>
          </w:tcPr>
          <w:p>
            <w:r>
              <w:t>R3</w:t>
            </w:r>
          </w:p>
        </w:tc>
        <w:tc>
          <w:tcPr>
            <w:tcW w:type="dxa" w:w="4320"/>
          </w:tcPr>
          <w:p>
            <w:r>
              <w:t>tidak ditemukan pembahasan eksplisit mengenai survei/pengukuran tingkat pemahaman VMTS pada Kriteria 6.</w:t>
            </w:r>
          </w:p>
        </w:tc>
      </w:tr>
    </w:tbl>
    <w:p/>
    <w:p>
      <w:pPr>
        <w:pStyle w:val="Heading2"/>
      </w:pPr>
      <w:r>
        <w:t>Tema 13. Siklus PPEPP dalam Pengelolaan VMTS</w:t>
      </w:r>
    </w:p>
    <w:p>
      <w:r>
        <w:rPr>
          <w:b/>
        </w:rPr>
        <w:t xml:space="preserve">Ketentuan FTII UNISBANK: </w:t>
      </w:r>
      <w:r>
        <w:t>FTII wajib menerapkan siklus Penetapan, Pelaksanaan, Evaluasi, Pengendalian, dan Peningkatan (PPEPP) terhadap VMTS untuk menjamin keselarasan, keberlanjutan, dan peningkatan mutu secara berkelanjutan.</w:t>
      </w:r>
    </w:p>
    <w:p>
      <w:r>
        <w:rPr>
          <w:b/>
        </w:rPr>
        <w:t xml:space="preserve">Analisis Kesesuaian: </w:t>
      </w:r>
      <w:r>
        <w:t>IDENTIK dengan R3 dan R5 — kedua rujukan ini menggunakan struktur PPEPP lima tahap yang sama persis untuk menilai/mengelola VMTS: R3 memecah seluruh Kriteria 6 menjadi lima butir penilaian (6.1 Penetapan s.d. 6.5 Peningkatan), dan R5 mewajibkan lima manual terpisah untuk setiap tahap PPEPP. Tidak ada gap; FTII konsisten dengan pendekatan siklus mutu berkelanjutan yang berlaku umum dalam SPMI Dikti.</w:t>
      </w:r>
    </w:p>
    <w:tbl>
      <w:tblPr>
        <w:tblStyle w:val="TableGrid"/>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R3</w:t>
            </w:r>
          </w:p>
        </w:tc>
        <w:tc>
          <w:tcPr>
            <w:tcW w:type="dxa" w:w="4320"/>
          </w:tcPr>
          <w:p>
            <w:r>
              <w:t>Kriteria 6 diberi kode 6.1 [Penetapan], 6.2 [Pelaksanaan], 6.3 [Evaluasi], 6.4 [Pengendalian], 6.5 [Peningkatan] — kelima butir menilai Diferensiasi Misi/VMTS pada tahap siklus yang berbeda.</w:t>
            </w:r>
          </w:p>
        </w:tc>
      </w:tr>
      <w:tr>
        <w:tc>
          <w:tcPr>
            <w:tcW w:type="dxa" w:w="4320"/>
          </w:tcPr>
          <w:p>
            <w:r>
              <w:t>R5</w:t>
            </w:r>
          </w:p>
        </w:tc>
        <w:tc>
          <w:tcPr>
            <w:tcW w:type="dxa" w:w="4320"/>
          </w:tcPr>
          <w:p>
            <w:r>
              <w:t>Dokumen Terkait No.2-6: 'Manual Penetapan Standar Visi Misi dan Strategi Pencapaian', 'Manual Pelaksanaan...', 'Manual Evaluasi...', 'Manual Pengendalian...', 'Manual Peningkatan Standar Visi Misi dan Strategi Pencapaian'.</w:t>
            </w:r>
          </w:p>
        </w:tc>
      </w:tr>
      <w:tr>
        <w:tc>
          <w:tcPr>
            <w:tcW w:type="dxa" w:w="4320"/>
          </w:tcPr>
          <w:p>
            <w:r>
              <w:t>R1</w:t>
            </w:r>
          </w:p>
        </w:tc>
        <w:tc>
          <w:tcPr>
            <w:tcW w:type="dxa" w:w="4320"/>
          </w:tcPr>
          <w:p>
            <w:r>
              <w:t>tidak menggunakan terminologi PPEPP secara eksplisit; pendekatan R1 berbasis rubrik harkat-peringkat (skor 0-4) per butir, bukan siklus lima tahap.</w:t>
            </w:r>
          </w:p>
        </w:tc>
      </w:tr>
      <w:tr>
        <w:tc>
          <w:tcPr>
            <w:tcW w:type="dxa" w:w="4320"/>
          </w:tcPr>
          <w:p>
            <w:r>
              <w:t>R2</w:t>
            </w:r>
          </w:p>
        </w:tc>
        <w:tc>
          <w:tcPr>
            <w:tcW w:type="dxa" w:w="4320"/>
          </w:tcPr>
          <w:p>
            <w:r>
              <w:t>tidak menggunakan terminologi PPEPP secara eksplisit; pendekatan R2 berbasis rubrik skor 0-4 per indikator.</w:t>
            </w:r>
          </w:p>
        </w:tc>
      </w:tr>
      <w:tr>
        <w:tc>
          <w:tcPr>
            <w:tcW w:type="dxa" w:w="4320"/>
          </w:tcPr>
          <w:p>
            <w:r>
              <w:t>R4</w:t>
            </w:r>
          </w:p>
        </w:tc>
        <w:tc>
          <w:tcPr>
            <w:tcW w:type="dxa" w:w="4320"/>
          </w:tcPr>
          <w:p>
            <w:r>
              <w:t>tidak menggunakan terminologi PPEPP secara eksplisit dalam kutipan yang ditemukan, meski secara substantif mekanisme evaluasi-tindak lanjutnya (monev, AMI, RTM) mencerminkan siklus serupa.</w:t>
            </w:r>
          </w:p>
        </w:tc>
      </w:tr>
    </w:tbl>
    <w:p/>
    <w:p>
      <w:pPr>
        <w:pStyle w:val="Heading1"/>
      </w:pPr>
      <w:r>
        <w:t>C. TABEL RINGKASAN KESESUAIAN</w:t>
      </w:r>
    </w:p>
    <w:p>
      <w:r>
        <w:t>Ringkasan status kesesuaian Standar Visi Misi FTII terhadap kelima dokumen rujukan per tema, disusun berdasarkan analisis pada bagian B di atas.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Indikator/Tema</w:t>
            </w:r>
          </w:p>
        </w:tc>
        <w:tc>
          <w:tcPr>
            <w:tcW w:type="dxa" w:w="2160"/>
          </w:tcPr>
          <w:p>
            <w:r>
              <w:rPr>
                <w:b/>
              </w:rPr>
              <w:t>Ketentuan FTII</w:t>
            </w:r>
          </w:p>
        </w:tc>
        <w:tc>
          <w:tcPr>
            <w:tcW w:type="dxa" w:w="2160"/>
          </w:tcPr>
          <w:p>
            <w:r>
              <w:rPr>
                <w:b/>
              </w:rPr>
              <w:t>Rujukan Relevan (R1-R5)</w:t>
            </w:r>
          </w:p>
        </w:tc>
        <w:tc>
          <w:tcPr>
            <w:tcW w:type="dxa" w:w="2160"/>
          </w:tcPr>
          <w:p>
            <w:r>
              <w:rPr>
                <w:b/>
              </w:rPr>
              <w:t>Status Kesesuaian</w:t>
            </w:r>
          </w:p>
        </w:tc>
      </w:tr>
      <w:tr>
        <w:tc>
          <w:tcPr>
            <w:tcW w:type="dxa" w:w="2160"/>
          </w:tcPr>
          <w:p>
            <w:r>
              <w:t>Keselarasan VMTS UPPS-PT</w:t>
            </w:r>
          </w:p>
        </w:tc>
        <w:tc>
          <w:tcPr>
            <w:tcW w:type="dxa" w:w="2160"/>
          </w:tcPr>
          <w:p>
            <w:r>
              <w:t>Wajib selaras dengan VMTS Universitas, Statuta, RIP, Renstra, Renop</w:t>
            </w:r>
          </w:p>
        </w:tc>
        <w:tc>
          <w:tcPr>
            <w:tcW w:type="dxa" w:w="2160"/>
          </w:tcPr>
          <w:p>
            <w:r>
              <w:t>R1 (1.1.1), R2 (Ind.1), R4 (IKU 1), R5 (Isi Std. 4-5)</w:t>
            </w:r>
          </w:p>
        </w:tc>
        <w:tc>
          <w:tcPr>
            <w:tcW w:type="dxa" w:w="2160"/>
          </w:tcPr>
          <w:p>
            <w:r>
              <w:t>Selaras penuh</w:t>
            </w:r>
          </w:p>
        </w:tc>
      </w:tr>
      <w:tr>
        <w:tc>
          <w:tcPr>
            <w:tcW w:type="dxa" w:w="2160"/>
          </w:tcPr>
          <w:p>
            <w:r>
              <w:t>Mekanisme partisipatif penyusunan VMTS</w:t>
            </w:r>
          </w:p>
        </w:tc>
        <w:tc>
          <w:tcPr>
            <w:tcW w:type="dxa" w:w="2160"/>
          </w:tcPr>
          <w:p>
            <w:r>
              <w:t>Tim Penyusun melibatkan internal+eksternal (termasuk alumni)</w:t>
            </w:r>
          </w:p>
        </w:tc>
        <w:tc>
          <w:tcPr>
            <w:tcW w:type="dxa" w:w="2160"/>
          </w:tcPr>
          <w:p>
            <w:r>
              <w:t>R1 (1.1.2), R2 (Ind.2)</w:t>
            </w:r>
          </w:p>
        </w:tc>
        <w:tc>
          <w:tcPr>
            <w:tcW w:type="dxa" w:w="2160"/>
          </w:tcPr>
          <w:p>
            <w:r>
              <w:t>Selaras penuh (R3/R4/R5 tidak eksplisit)</w:t>
            </w:r>
          </w:p>
        </w:tc>
      </w:tr>
      <w:tr>
        <w:tc>
          <w:tcPr>
            <w:tcW w:type="dxa" w:w="2160"/>
          </w:tcPr>
          <w:p>
            <w:r>
              <w:t>Diferensiasi misi/kekhasan VMTS</w:t>
            </w:r>
          </w:p>
        </w:tc>
        <w:tc>
          <w:tcPr>
            <w:tcW w:type="dxa" w:w="2160"/>
          </w:tcPr>
          <w:p>
            <w:r>
              <w:t>TI, industri, data-driven, digital business</w:t>
            </w:r>
          </w:p>
        </w:tc>
        <w:tc>
          <w:tcPr>
            <w:tcW w:type="dxa" w:w="2160"/>
          </w:tcPr>
          <w:p>
            <w:r>
              <w:t>R2 (Ind.1), R3 (Kriteria 6 seluruhnya)</w:t>
            </w:r>
          </w:p>
        </w:tc>
        <w:tc>
          <w:tcPr>
            <w:tcW w:type="dxa" w:w="2160"/>
          </w:tcPr>
          <w:p>
            <w:r>
              <w:t>Sangat selaras</w:t>
            </w:r>
          </w:p>
        </w:tc>
      </w:tr>
      <w:tr>
        <w:tc>
          <w:tcPr>
            <w:tcW w:type="dxa" w:w="2160"/>
          </w:tcPr>
          <w:p>
            <w:r>
              <w:t>Pedoman formal VMTS</w:t>
            </w:r>
          </w:p>
        </w:tc>
        <w:tc>
          <w:tcPr>
            <w:tcW w:type="dxa" w:w="2160"/>
          </w:tcPr>
          <w:p>
            <w:r>
              <w:t>Pedoman penyusunan/peninjauan/evaluasi/sosialisasi</w:t>
            </w:r>
          </w:p>
        </w:tc>
        <w:tc>
          <w:tcPr>
            <w:tcW w:type="dxa" w:w="2160"/>
          </w:tcPr>
          <w:p>
            <w:r>
              <w:t>R4 (IKU 2), R5 (5 Manual PPEPP)</w:t>
            </w:r>
          </w:p>
        </w:tc>
        <w:tc>
          <w:tcPr>
            <w:tcW w:type="dxa" w:w="2160"/>
          </w:tcPr>
          <w:p>
            <w:r>
              <w:t>Selaras (R5 lebih terstruktur)</w:t>
            </w:r>
          </w:p>
        </w:tc>
      </w:tr>
      <w:tr>
        <w:tc>
          <w:tcPr>
            <w:tcW w:type="dxa" w:w="2160"/>
          </w:tcPr>
          <w:p>
            <w:r>
              <w:t>Penjabaran ke Renstra/Renop/RIP</w:t>
            </w:r>
          </w:p>
        </w:tc>
        <w:tc>
          <w:tcPr>
            <w:tcW w:type="dxa" w:w="2160"/>
          </w:tcPr>
          <w:p>
            <w:r>
              <w:t>RIP+Renstra+Renop tiga jenjang</w:t>
            </w:r>
          </w:p>
        </w:tc>
        <w:tc>
          <w:tcPr>
            <w:tcW w:type="dxa" w:w="2160"/>
          </w:tcPr>
          <w:p>
            <w:r>
              <w:t>R4 (IKU 6-7), R5 (Isi Std. 4,8)</w:t>
            </w:r>
          </w:p>
        </w:tc>
        <w:tc>
          <w:tcPr>
            <w:tcW w:type="dxa" w:w="2160"/>
          </w:tcPr>
          <w:p>
            <w:r>
              <w:t>Selaras penuh, FTII lebih lengkap (Renop)</w:t>
            </w:r>
          </w:p>
        </w:tc>
      </w:tr>
      <w:tr>
        <w:tc>
          <w:tcPr>
            <w:tcW w:type="dxa" w:w="2160"/>
          </w:tcPr>
          <w:p>
            <w:r>
              <w:t>Evaluasi &amp; pelaporan ketercapaian</w:t>
            </w:r>
          </w:p>
        </w:tc>
        <w:tc>
          <w:tcPr>
            <w:tcW w:type="dxa" w:w="2160"/>
          </w:tcPr>
          <w:p>
            <w:r>
              <w:t>Evaluasi berkala + laporan ketercapaian</w:t>
            </w:r>
          </w:p>
        </w:tc>
        <w:tc>
          <w:tcPr>
            <w:tcW w:type="dxa" w:w="2160"/>
          </w:tcPr>
          <w:p>
            <w:r>
              <w:t>R1 (1.1.3), R3 (6.3), R4 (IKU 8-10), R5 (Isi Std. 2,9; Ind.7)</w:t>
            </w:r>
          </w:p>
        </w:tc>
        <w:tc>
          <w:tcPr>
            <w:tcW w:type="dxa" w:w="2160"/>
          </w:tcPr>
          <w:p>
            <w:r>
              <w:t>Selaras penuh</w:t>
            </w:r>
          </w:p>
        </w:tc>
      </w:tr>
      <w:tr>
        <w:tc>
          <w:tcPr>
            <w:tcW w:type="dxa" w:w="2160"/>
          </w:tcPr>
          <w:p>
            <w:r>
              <w:t>Benchmarking</w:t>
            </w:r>
          </w:p>
        </w:tc>
        <w:tc>
          <w:tcPr>
            <w:tcW w:type="dxa" w:w="2160"/>
          </w:tcPr>
          <w:p>
            <w:r>
              <w:t>Wajib benchmarking dengan PT/institusi lain</w:t>
            </w:r>
          </w:p>
        </w:tc>
        <w:tc>
          <w:tcPr>
            <w:tcW w:type="dxa" w:w="2160"/>
          </w:tcPr>
          <w:p>
            <w:r>
              <w:t>Tidak ditemukan pada R1-R5</w:t>
            </w:r>
          </w:p>
        </w:tc>
        <w:tc>
          <w:tcPr>
            <w:tcW w:type="dxa" w:w="2160"/>
          </w:tcPr>
          <w:p>
            <w:r>
              <w:t>GAP — tidak terverifikasi terhadap 5 rujukan</w:t>
            </w:r>
          </w:p>
        </w:tc>
      </w:tr>
      <w:tr>
        <w:tc>
          <w:tcPr>
            <w:tcW w:type="dxa" w:w="2160"/>
          </w:tcPr>
          <w:p>
            <w:r>
              <w:t>Daya saing internasional &amp; pengakuan eksternal</w:t>
            </w:r>
          </w:p>
        </w:tc>
        <w:tc>
          <w:tcPr>
            <w:tcW w:type="dxa" w:w="2160"/>
          </w:tcPr>
          <w:p>
            <w:r>
              <w:t>Target daya saing + pengakuan eksternal DUDIKA</w:t>
            </w:r>
          </w:p>
        </w:tc>
        <w:tc>
          <w:tcPr>
            <w:tcW w:type="dxa" w:w="2160"/>
          </w:tcPr>
          <w:p>
            <w:r>
              <w:t>R3 (6.1-6.5 skor 4)</w:t>
            </w:r>
          </w:p>
        </w:tc>
        <w:tc>
          <w:tcPr>
            <w:tcW w:type="dxa" w:w="2160"/>
          </w:tcPr>
          <w:p>
            <w:r>
              <w:t>Selaras kuat hanya dengan R3</w:t>
            </w:r>
          </w:p>
        </w:tc>
      </w:tr>
      <w:tr>
        <w:tc>
          <w:tcPr>
            <w:tcW w:type="dxa" w:w="2160"/>
          </w:tcPr>
          <w:p>
            <w:r>
              <w:t>Sosialisasi VMTS</w:t>
            </w:r>
          </w:p>
        </w:tc>
        <w:tc>
          <w:tcPr>
            <w:tcW w:type="dxa" w:w="2160"/>
          </w:tcPr>
          <w:p>
            <w:r>
              <w:t>Sosialisasi berkala, media komunikasi efektif</w:t>
            </w:r>
          </w:p>
        </w:tc>
        <w:tc>
          <w:tcPr>
            <w:tcW w:type="dxa" w:w="2160"/>
          </w:tcPr>
          <w:p>
            <w:r>
              <w:t>R2 (Ind.3), R4 (Strategi 2), R5 (Isi Std. 3,7 — freq. eksplisit)</w:t>
            </w:r>
          </w:p>
        </w:tc>
        <w:tc>
          <w:tcPr>
            <w:tcW w:type="dxa" w:w="2160"/>
          </w:tcPr>
          <w:p>
            <w:r>
              <w:t>Selaras; FTII tanpa ambang frekuensi (R5 punya)</w:t>
            </w:r>
          </w:p>
        </w:tc>
      </w:tr>
      <w:tr>
        <w:tc>
          <w:tcPr>
            <w:tcW w:type="dxa" w:w="2160"/>
          </w:tcPr>
          <w:p>
            <w:r>
              <w:t>Survei pemahaman VMTS</w:t>
            </w:r>
          </w:p>
        </w:tc>
        <w:tc>
          <w:tcPr>
            <w:tcW w:type="dxa" w:w="2160"/>
          </w:tcPr>
          <w:p>
            <w:r>
              <w:t>Survei/kuesioner pemahaman sivitas &amp; stakeholder</w:t>
            </w:r>
          </w:p>
        </w:tc>
        <w:tc>
          <w:tcPr>
            <w:tcW w:type="dxa" w:w="2160"/>
          </w:tcPr>
          <w:p>
            <w:r>
              <w:t>R1 (1.1.3), R2 (Ind.3), R4 (IKU 5)</w:t>
            </w:r>
          </w:p>
        </w:tc>
        <w:tc>
          <w:tcPr>
            <w:tcW w:type="dxa" w:w="2160"/>
          </w:tcPr>
          <w:p>
            <w:r>
              <w:t>Selaras penuh, lebih terukur dari R5</w:t>
            </w:r>
          </w:p>
        </w:tc>
      </w:tr>
      <w:tr>
        <w:tc>
          <w:tcPr>
            <w:tcW w:type="dxa" w:w="2160"/>
          </w:tcPr>
          <w:p>
            <w:r>
              <w:t>Siklus PPEPP pada VMTS</w:t>
            </w:r>
          </w:p>
        </w:tc>
        <w:tc>
          <w:tcPr>
            <w:tcW w:type="dxa" w:w="2160"/>
          </w:tcPr>
          <w:p>
            <w:r>
              <w:t>Penetapan-Pelaksanaan-Evaluasi-Pengendalian-Peningkatan</w:t>
            </w:r>
          </w:p>
        </w:tc>
        <w:tc>
          <w:tcPr>
            <w:tcW w:type="dxa" w:w="2160"/>
          </w:tcPr>
          <w:p>
            <w:r>
              <w:t>R3 (6.1-6.5), R5 (5 Manual)</w:t>
            </w:r>
          </w:p>
        </w:tc>
        <w:tc>
          <w:tcPr>
            <w:tcW w:type="dxa" w:w="2160"/>
          </w:tcPr>
          <w:p>
            <w:r>
              <w:t>Identik dengan R3 dan R5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