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UNIVERSITAS STIKUBANK (UNISBANK) SEMARANG</w:t>
      </w:r>
    </w:p>
    <w:p>
      <w:pPr>
        <w:jc w:val="center"/>
      </w:pPr>
      <w:r>
        <w:rPr>
          <w:b/>
          <w:i w:val="0"/>
          <w:sz w:val="26"/>
        </w:rPr>
        <w:t>FAKULTAS TEKNOLOGI INFORMASI DAN INDUSTRI (FTII)</w:t>
      </w:r>
    </w:p>
    <w:p>
      <w:pPr>
        <w:jc w:val="center"/>
      </w:pPr>
      <w:r>
        <w:rPr>
          <w:b/>
          <w:i w:val="0"/>
          <w:sz w:val="28"/>
        </w:rPr>
        <w:t>PEMETAAN STANDAR VISI, MISI, TUJUAN, DAN STRATEGI (VMTS) FTII</w:t>
      </w:r>
    </w:p>
    <w:p>
      <w:pPr>
        <w:jc w:val="center"/>
      </w:pPr>
      <w:r>
        <w:rPr>
          <w:b/>
          <w:i w:val="0"/>
          <w:sz w:val="24"/>
        </w:rPr>
        <w:t>TERHADAP KRITERIA C.1 DIFERENSIASI MISI PEDOMAN PENYUSUNAN LEDPS LAM TEKNIK 2025</w:t>
      </w:r>
    </w:p>
    <w:p>
      <w:pPr>
        <w:jc w:val="center"/>
      </w:pPr>
      <w:r>
        <w:rPr>
          <w:b/>
          <w:i w:val="0"/>
          <w:sz w:val="24"/>
        </w:rPr>
        <w:t>DAN KRITERIA C.6 DIFERENSIASI MISI LAPORAN EVALUASI DIRI LAM INFOKOM 2.1 (2025)</w:t>
      </w:r>
    </w:p>
    <w:p/>
    <w:p>
      <w:pPr>
        <w:pStyle w:val="Heading1"/>
      </w:pPr>
      <w:r>
        <w:t>1. TUJUAN PEMETAAN</w:t>
      </w:r>
    </w:p>
    <w:p>
      <w:r>
        <w:rPr>
          <w:b w:val="0"/>
          <w:i w:val="0"/>
          <w:sz w:val="22"/>
        </w:rPr>
        <w:t>Dokumen ini memetakan kepatuhan Standar Visi, Misi, Tujuan, dan Strategi (VMTS) FTII UNISBANK (Standar_Visi_Misi_Unggul_FTII.docx, revisi ke-2, efektif per penyusunan dokumen ini) terhadap dua sumber instrumen akreditasi yang SAMA-SAMA menilai unsur Diferensiasi Misi (VMTS) namun dengan penomoran kriteria dan sistematika penulisan LED yang berbeda:</w:t>
      </w:r>
    </w:p>
    <w:p>
      <w:pPr>
        <w:pStyle w:val="ListNumber"/>
        <w:spacing w:after="120"/>
      </w:pPr>
      <w:r>
        <w:t>Kriteria C.1 Diferensiasi Misi (Visi, Misi, Tujuan, dan Strategi) — Pedoman Penyusunan LEDPS Instrumen Akreditasi Program Studi (IAPS)-AVP 2025 LAM Teknik, halaman 5-6, berisi 5 unsur naratif: (1) Latar Belakang, (2) Kebijakan, (3) Indikator Kinerja Utama [a) Kekhasan VMTS, b) Mekanisme Penyusunan VMTS, c) Tingkat Pemahaman dan Pencapaian VMTS], (4) Analisis Faktor Keberhasilan dan Penghambat Pencapaian VMTS, dan (5) Strategi Perbaikan dan Pengembangan (Analisis SWOT).</w:t>
      </w:r>
    </w:p>
    <w:p>
      <w:pPr>
        <w:pStyle w:val="ListNumber"/>
        <w:spacing w:after="120"/>
      </w:pPr>
      <w:r>
        <w:t>Kriteria C.6 Diferensiasi Misi — Laporan Evaluasi Diri (LED) LAM INFOKOM 2.1 (2025), halaman 23, berisi 5 sub-butir mengikuti siklus PPEPP: 6.1 [Penetapan], 6.2 [Pelaksanaan], 6.3 [Evaluasi], 6.4 [Pengendalian], dan 6.5 [Peningkatan], seluruhnya mencakup VMTS, rencana pengembangan strategis UPPS/PS yang menggambarkan ciri khas keilmuan PS, serta pengakuan/apresiasi masyarakat dan DUDIKA di tingkat lokal, nasional, dan internasional.</w:t>
      </w:r>
    </w:p>
    <w:p>
      <w:r>
        <w:rPr>
          <w:b w:val="0"/>
          <w:i w:val="0"/>
          <w:sz w:val="22"/>
        </w:rPr>
        <w:t>Catatan penomoran: LAM Teknik menomori kriteria Diferensiasi Misi sebagai "C.1" (kriteria pertama dari 7 kriteria LEDPS), sedangkan LAM INFOKOM 2.1 menomori kriteria yang SECARA SUBSTANSI SAMA (Diferensiasi Misi) sebagai "C.6" (kriteria terakhir dari 6 kriteria LED: Budaya Mutu, Relevansi Pendidikan, Relevansi Penelitian, Relevansi PkM, Akuntabilitas, Diferensiasi Misi). Kedua kriteria ini divalidasi TERPISAH pada pemetaan sebelumnya (Pemetaan_Standar_Visi_Misi_FTII_vs_5_Dokumen_Rujukan.docx dan Kepatuhan_Standar_Visi_Misi_FTII_vs_Kriteria_C1_LEDPS_LAM_Teknik.docx, yang menghasilkan revisi ke-2 Standar VMTS FTII); dokumen ini menyatukan verifikasi kedua kriteria sekaligus untuk memastikan tidak ada unsur LAM INFOKOM C.6 yang terlewat dari pemetaan LAM Teknik C.1 sebelumnya, mengingat kedua kriteria membahas objek yang identik (VMTS/diferensiasi misi) dari lensa instrumen berbeda.</w:t>
      </w:r>
    </w:p>
    <w:p>
      <w:pPr>
        <w:pStyle w:val="Heading1"/>
      </w:pPr>
      <w:r>
        <w:t>2. METODE PEMETAAN</w:t>
      </w:r>
    </w:p>
    <w:p>
      <w:r>
        <w:rPr>
          <w:b w:val="0"/>
          <w:i w:val="0"/>
          <w:sz w:val="22"/>
        </w:rPr>
        <w:t>Setiap unsur naratif pada C.1 (LAM Teknik) dan setiap sub-butir PPEPP pada C.6 (LAM INFOKOM 2.1) dipetakan terhadap Pernyataan Standar, Strategi Pencapaian, dan/atau Indikator Kinerja pada Standar VMTS FTII yang relevan. Status kepatuhan diberi tanda: SELARAS PENUH (unsur tercakup eksplisit dan terukur), SELARAS SEBAGIAN (tercakup namun perlu penguatan), atau GAP (unsur tidak tercakup).</w:t>
      </w:r>
    </w:p>
    <w:p>
      <w:pPr>
        <w:pStyle w:val="Heading1"/>
      </w:pPr>
      <w:r>
        <w:t>3. TABEL PEMETAAN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38"/>
            <w:shd w:fill="D9E2F3"/>
          </w:tcPr>
          <w:p>
            <w:r/>
            <w:r>
              <w:rPr>
                <w:b/>
                <w:sz w:val="19"/>
              </w:rPr>
              <w:t>Unsur C.1 LAM Teknik</w:t>
            </w:r>
          </w:p>
        </w:tc>
        <w:tc>
          <w:tcPr>
            <w:tcW w:type="dxa" w:w="2438"/>
            <w:shd w:fill="D9E2F3"/>
          </w:tcPr>
          <w:p>
            <w:r/>
            <w:r>
              <w:rPr>
                <w:b/>
                <w:sz w:val="19"/>
              </w:rPr>
              <w:t>Unsur C.6 LAM INFOKOM 2.1</w:t>
            </w:r>
          </w:p>
        </w:tc>
        <w:tc>
          <w:tcPr>
            <w:tcW w:type="dxa" w:w="3685"/>
            <w:shd w:fill="D9E2F3"/>
          </w:tcPr>
          <w:p>
            <w:r/>
            <w:r>
              <w:rPr>
                <w:b/>
                <w:sz w:val="19"/>
              </w:rPr>
              <w:t>Pemenuhan dalam Standar VMTS FTII</w:t>
            </w:r>
          </w:p>
        </w:tc>
        <w:tc>
          <w:tcPr>
            <w:tcW w:type="dxa" w:w="1361"/>
            <w:shd w:fill="D9E2F3"/>
          </w:tcPr>
          <w:p>
            <w:r/>
            <w:r>
              <w:rPr>
                <w:b/>
                <w:sz w:val="19"/>
              </w:rPr>
              <w:t>Status</w:t>
            </w:r>
          </w:p>
        </w:tc>
      </w:tr>
      <w:tr>
        <w:tc>
          <w:tcPr>
            <w:tcW w:type="dxa" w:w="2438"/>
          </w:tcPr>
          <w:p>
            <w:r/>
            <w:r>
              <w:rPr>
                <w:b w:val="0"/>
                <w:sz w:val="19"/>
              </w:rPr>
              <w:t>(1) Latar Belakang — VMTS UPPS dan visi keilmuan program studi mendukung pencapaian jangka panjang yang diturunkan ke jangka pendek-menengah.</w:t>
            </w:r>
          </w:p>
        </w:tc>
        <w:tc>
          <w:tcPr>
            <w:tcW w:type="dxa" w:w="2438"/>
          </w:tcPr>
          <w:p>
            <w:r/>
            <w:r>
              <w:rPr>
                <w:b w:val="0"/>
                <w:sz w:val="19"/>
              </w:rPr>
              <w:t>6.1 [Penetapan] — dokumen kebijakan, standar, indikator tridharma mencakup VMTS dan rencana pengembangan strategis UPPS/PS yang menggambarkan ciri khas keilmuan PS.</w:t>
            </w:r>
          </w:p>
        </w:tc>
        <w:tc>
          <w:tcPr>
            <w:tcW w:type="dxa" w:w="3685"/>
          </w:tcPr>
          <w:p>
            <w:r/>
            <w:r>
              <w:rPr>
                <w:b w:val="0"/>
                <w:sz w:val="19"/>
              </w:rPr>
              <w:t>Pernyataan #23 (diferensiasi misi FTII pada TI/industri/data-driven/digital business, 100% prodi) + Pernyataan #36* (visi keilmuan program studi diturunkan dari diferensiasi misi FTII, tertaut kurikulum) + Pernyataan #25 (penjabaran VMTS ke RIP-Renstra-Renop berjenjang).</w:t>
            </w:r>
          </w:p>
        </w:tc>
        <w:tc>
          <w:tcPr>
            <w:tcW w:type="dxa" w:w="1361"/>
          </w:tcPr>
          <w:p>
            <w:r/>
            <w:r>
              <w:rPr>
                <w:b w:val="0"/>
                <w:sz w:val="19"/>
              </w:rPr>
              <w:t>SELARAS PENUH</w:t>
            </w:r>
          </w:p>
        </w:tc>
      </w:tr>
      <w:tr>
        <w:tc>
          <w:tcPr>
            <w:tcW w:type="dxa" w:w="2438"/>
          </w:tcPr>
          <w:p>
            <w:r/>
            <w:r>
              <w:rPr>
                <w:b w:val="0"/>
                <w:sz w:val="19"/>
              </w:rPr>
              <w:t>(2) Kebijakan — dokumen formal kebijakan (peraturan perundang-undangan + perguruan tinggi) mendukung implementasi VMTS ke program pengembangan UPPS dan program studi.</w:t>
            </w:r>
          </w:p>
        </w:tc>
        <w:tc>
          <w:tcPr>
            <w:tcW w:type="dxa" w:w="2438"/>
          </w:tcPr>
          <w:p>
            <w:r/>
            <w:r>
              <w:rPr>
                <w:b w:val="0"/>
                <w:sz w:val="19"/>
              </w:rPr>
              <w:t>6.1 [Penetapan] (lanjutan) — daftar dan penjelasan dokumen kebijakan.</w:t>
            </w:r>
          </w:p>
        </w:tc>
        <w:tc>
          <w:tcPr>
            <w:tcW w:type="dxa" w:w="3685"/>
          </w:tcPr>
          <w:p>
            <w:r/>
            <w:r>
              <w:rPr>
                <w:b w:val="0"/>
                <w:sz w:val="19"/>
              </w:rPr>
              <w:t>Pernyataan #20 (penetapan VMTS via Keputusan Rektor + persetujuan Senat) + Pernyataan #24 (pedoman VMTS 5 manual PPEPP) + Dokumen/Bukti Pendukung butir 1-2, 5, 7.</w:t>
            </w:r>
          </w:p>
        </w:tc>
        <w:tc>
          <w:tcPr>
            <w:tcW w:type="dxa" w:w="1361"/>
          </w:tcPr>
          <w:p>
            <w:r/>
            <w:r>
              <w:rPr>
                <w:b w:val="0"/>
                <w:sz w:val="19"/>
              </w:rPr>
              <w:t>SELARAS PENUH</w:t>
            </w:r>
          </w:p>
        </w:tc>
      </w:tr>
      <w:tr>
        <w:tc>
          <w:tcPr>
            <w:tcW w:type="dxa" w:w="2438"/>
          </w:tcPr>
          <w:p>
            <w:r/>
            <w:r>
              <w:rPr>
                <w:b w:val="0"/>
                <w:sz w:val="19"/>
              </w:rPr>
              <w:t>(3a) Kekhasan VMTS — linearitas VMTS PT-UPPS, kekhasan unik/spesifik sebagai identitas, DAN visi keilmuan program studi sebagai keunggulan kompetitif didukung Renstra dan kurikulum memadai (Tabel 1 LKPS).</w:t>
            </w:r>
          </w:p>
        </w:tc>
        <w:tc>
          <w:tcPr>
            <w:tcW w:type="dxa" w:w="2438"/>
          </w:tcPr>
          <w:p>
            <w:r/>
            <w:r>
              <w:rPr>
                <w:b w:val="0"/>
                <w:sz w:val="19"/>
              </w:rPr>
              <w:t>6.1/6.2 — ciri khas keilmuan PS sesuai KKNI level 6.</w:t>
            </w:r>
          </w:p>
        </w:tc>
        <w:tc>
          <w:tcPr>
            <w:tcW w:type="dxa" w:w="3685"/>
          </w:tcPr>
          <w:p>
            <w:r/>
            <w:r>
              <w:rPr>
                <w:b w:val="0"/>
                <w:sz w:val="19"/>
              </w:rPr>
              <w:t>Pernyataan #23 (diferensiasi misi eksplisit) + Pernyataan #36* (visi keilmuan prodi tertaut kurikulum — kalimat FTII secara langsung mencerminkan frasa LAM Teknik "didukung Renstra dan kurikulum yang memadai") + Indikator *17 (persentase prodi berdokumen visi keilmuan tertaut kurikulum, 50%→100%).</w:t>
            </w:r>
          </w:p>
        </w:tc>
        <w:tc>
          <w:tcPr>
            <w:tcW w:type="dxa" w:w="1361"/>
          </w:tcPr>
          <w:p>
            <w:r/>
            <w:r>
              <w:rPr>
                <w:b w:val="0"/>
                <w:sz w:val="19"/>
              </w:rPr>
              <w:t>SELARAS PENUH</w:t>
            </w:r>
          </w:p>
        </w:tc>
      </w:tr>
      <w:tr>
        <w:tc>
          <w:tcPr>
            <w:tcW w:type="dxa" w:w="2438"/>
          </w:tcPr>
          <w:p>
            <w:r/>
            <w:r>
              <w:rPr>
                <w:b w:val="0"/>
                <w:sz w:val="19"/>
              </w:rPr>
              <w:t>(3b) Mekanisme Penyusunan VMTS — melibatkan pemangku kepentingan internal (dosen, mahasiswa, tenaga kependidikan) dan eksternal (alumni, pengguna lulusan, pakar).</w:t>
            </w:r>
          </w:p>
        </w:tc>
        <w:tc>
          <w:tcPr>
            <w:tcW w:type="dxa" w:w="2438"/>
          </w:tcPr>
          <w:p>
            <w:r/>
            <w:r>
              <w:rPr>
                <w:b w:val="0"/>
                <w:sz w:val="19"/>
              </w:rPr>
              <w:t>6.1/6.2 — sama, implisit dalam "dokumen kebijakan ... rencana pengembangan strategis".</w:t>
            </w:r>
          </w:p>
        </w:tc>
        <w:tc>
          <w:tcPr>
            <w:tcW w:type="dxa" w:w="3685"/>
          </w:tcPr>
          <w:p>
            <w:r/>
            <w:r>
              <w:rPr>
                <w:b w:val="0"/>
                <w:sz w:val="19"/>
              </w:rPr>
              <w:t>Pernyataan #21 (Tim Penyusun/Peninjau VMTS melibatkan pimpinan, prodi, dosen, tendik, mahasiswa, alumni, pengguna lulusan, pakar/mitra profesi, DAN DUDIKA — melampaui cakupan sumber yang hanya menyebut alumni/pengguna lulusan/pakar) + Indikator #3 (100% unsur terlibat).</w:t>
            </w:r>
          </w:p>
        </w:tc>
        <w:tc>
          <w:tcPr>
            <w:tcW w:type="dxa" w:w="1361"/>
          </w:tcPr>
          <w:p>
            <w:r/>
            <w:r>
              <w:rPr>
                <w:b w:val="0"/>
                <w:sz w:val="19"/>
              </w:rPr>
              <w:t>SELARAS PENUH (melampaui)</w:t>
            </w:r>
          </w:p>
        </w:tc>
      </w:tr>
      <w:tr>
        <w:tc>
          <w:tcPr>
            <w:tcW w:type="dxa" w:w="2438"/>
          </w:tcPr>
          <w:p>
            <w:r/>
            <w:r>
              <w:rPr>
                <w:b w:val="0"/>
                <w:sz w:val="19"/>
              </w:rPr>
              <w:t>(3c) Tingkat Pemahaman dan Pencapaian VMTS — sosialisasi ke semua pemangku kepentingan, tingkat pemahaman dan pencapaian VMTS serta visi keilmuan prodi, pencapaian konkret jangka pendek-menengah, dampak berkelanjutan berorientasi masa depan.</w:t>
            </w:r>
          </w:p>
        </w:tc>
        <w:tc>
          <w:tcPr>
            <w:tcW w:type="dxa" w:w="2438"/>
          </w:tcPr>
          <w:p>
            <w:r/>
            <w:r>
              <w:rPr>
                <w:b w:val="0"/>
                <w:sz w:val="19"/>
              </w:rPr>
              <w:t>6.3 [Evaluasi] — survei pemahaman VMTS dengan responden dosen, mahasiswa, tendik.</w:t>
            </w:r>
          </w:p>
        </w:tc>
        <w:tc>
          <w:tcPr>
            <w:tcW w:type="dxa" w:w="3685"/>
          </w:tcPr>
          <w:p>
            <w:r/>
            <w:r>
              <w:rPr>
                <w:b w:val="0"/>
                <w:sz w:val="19"/>
              </w:rPr>
              <w:t>Pernyataan #31 (sosialisasi ≥2x/tahun) + Pernyataan #32 (survei pemahaman ≥85%→95%, responden dosen+tendik+mahasiswa+pemangku kepentingan eksternal — melampaui cakupan LAM INFOKOM yang hanya mensyaratkan dosen/mahasiswa/tendik) + Indikator #12, #13.</w:t>
            </w:r>
          </w:p>
        </w:tc>
        <w:tc>
          <w:tcPr>
            <w:tcW w:type="dxa" w:w="1361"/>
          </w:tcPr>
          <w:p>
            <w:r/>
            <w:r>
              <w:rPr>
                <w:b w:val="0"/>
                <w:sz w:val="19"/>
              </w:rPr>
              <w:t>SELARAS PENUH (melampaui)</w:t>
            </w:r>
          </w:p>
        </w:tc>
      </w:tr>
      <w:tr>
        <w:tc>
          <w:tcPr>
            <w:tcW w:type="dxa" w:w="2438"/>
          </w:tcPr>
          <w:p>
            <w:r/>
            <w:r>
              <w:rPr>
                <w:b w:val="0"/>
                <w:sz w:val="19"/>
              </w:rPr>
              <w:t>(4) Analisis Faktor Keberhasilan dan Penghambat Pencapaian VMTS — evaluasi IKU, identifikasi faktor pendukung keberhasilan, penelusuran akar masalah (root-cause) penghambat.</w:t>
            </w:r>
          </w:p>
        </w:tc>
        <w:tc>
          <w:tcPr>
            <w:tcW w:type="dxa" w:w="2438"/>
          </w:tcPr>
          <w:p>
            <w:r/>
            <w:r>
              <w:rPr>
                <w:b w:val="0"/>
                <w:sz w:val="19"/>
              </w:rPr>
              <w:t>6.3 [Evaluasi] (lanjutan) — faktor pendukung terlampaui/tercapainya standar, akar masalah penyebab tidak tercapainya standar.</w:t>
            </w:r>
          </w:p>
        </w:tc>
        <w:tc>
          <w:tcPr>
            <w:tcW w:type="dxa" w:w="3685"/>
          </w:tcPr>
          <w:p>
            <w:r/>
            <w:r>
              <w:rPr>
                <w:b w:val="0"/>
                <w:sz w:val="19"/>
              </w:rPr>
              <w:t>Pernyataan #37* (Analisis Faktor Keberhasilan dan Penghambat/root-cause analysis ≥1x/tahun, wajib bahan RTM) + Strategi #61 (UJM+GKM melaksanakan root-cause analysis tahunan) + Mekanisme Evaluasi #71 — istilah dan mekanisme identik dengan rumusan sumber LAM Teknik.</w:t>
            </w:r>
          </w:p>
        </w:tc>
        <w:tc>
          <w:tcPr>
            <w:tcW w:type="dxa" w:w="1361"/>
          </w:tcPr>
          <w:p>
            <w:r/>
            <w:r>
              <w:rPr>
                <w:b w:val="0"/>
                <w:sz w:val="19"/>
              </w:rPr>
              <w:t>SELARAS PENUH</w:t>
            </w:r>
          </w:p>
        </w:tc>
      </w:tr>
      <w:tr>
        <w:tc>
          <w:tcPr>
            <w:tcW w:type="dxa" w:w="2438"/>
          </w:tcPr>
          <w:p>
            <w:r/>
            <w:r>
              <w:rPr>
                <w:b w:val="0"/>
                <w:sz w:val="19"/>
              </w:rPr>
              <w:t>(5) Strategi Perbaikan dan Pengembangan (Analisis SWOT) — evaluasi kekuatan-kelemahan (internal) dan peluang-ancaman (eksternal) untuk merancang strategi perbaikan.</w:t>
            </w:r>
          </w:p>
        </w:tc>
        <w:tc>
          <w:tcPr>
            <w:tcW w:type="dxa" w:w="2438"/>
          </w:tcPr>
          <w:p>
            <w:r/>
            <w:r>
              <w:rPr>
                <w:b w:val="0"/>
                <w:sz w:val="19"/>
              </w:rPr>
              <w:t>6.4 [Pengendalian] — tindak lanjut (revisi dan rekomendasi) hasil evaluasi.</w:t>
            </w:r>
          </w:p>
        </w:tc>
        <w:tc>
          <w:tcPr>
            <w:tcW w:type="dxa" w:w="3685"/>
          </w:tcPr>
          <w:p>
            <w:r/>
            <w:r>
              <w:rPr>
                <w:b w:val="0"/>
                <w:sz w:val="19"/>
              </w:rPr>
              <w:t>Pernyataan #22 (SWOT pada tahap penyusunan/peninjauan VMTS) + Pernyataan #37* (SWOT tahunan menyatu dengan root-cause analysis) + Pernyataan #34 (AMI + RTL ≥80%→100%).</w:t>
            </w:r>
          </w:p>
        </w:tc>
        <w:tc>
          <w:tcPr>
            <w:tcW w:type="dxa" w:w="1361"/>
          </w:tcPr>
          <w:p>
            <w:r/>
            <w:r>
              <w:rPr>
                <w:b w:val="0"/>
                <w:sz w:val="19"/>
              </w:rPr>
              <w:t>SELARAS PENUH</w:t>
            </w:r>
          </w:p>
        </w:tc>
      </w:tr>
      <w:tr>
        <w:tc>
          <w:tcPr>
            <w:tcW w:type="dxa" w:w="2438"/>
          </w:tcPr>
          <w:p>
            <w:r/>
            <w:r>
              <w:rPr>
                <w:b w:val="0"/>
                <w:sz w:val="19"/>
              </w:rPr>
              <w:t>— (tidak ada unsur setara eksplisit di C.1)</w:t>
            </w:r>
          </w:p>
        </w:tc>
        <w:tc>
          <w:tcPr>
            <w:tcW w:type="dxa" w:w="2438"/>
          </w:tcPr>
          <w:p>
            <w:r/>
            <w:r>
              <w:rPr>
                <w:b w:val="0"/>
                <w:sz w:val="19"/>
              </w:rPr>
              <w:t>6.1-6.5 — pengakuan/apresiasi masyarakat dan DUDIKA di tingkat lokal, nasional, dan internasional, dibahas berulang pada seluruh 5 sub-butir PPEPP (Penetapan s.d. Peningkatan).</w:t>
            </w:r>
          </w:p>
        </w:tc>
        <w:tc>
          <w:tcPr>
            <w:tcW w:type="dxa" w:w="3685"/>
          </w:tcPr>
          <w:p>
            <w:r/>
            <w:r>
              <w:rPr>
                <w:b w:val="0"/>
                <w:sz w:val="19"/>
              </w:rPr>
              <w:t>Pernyataan #30 (pengakuan eksternal 3 tingkat: lokal, nasional, internasional, ≥1/tingkat/tahun, bukti sahih pada seluruh tahap PPEPP — dirancang eksplisit mengikuti pola LAM INFOKOM yang menyebut ketiga tingkat pada kelima sub-butir) + Indikator #11 + IKT #1 (pengakuan tingkat internasional per siklus Renstra).</w:t>
            </w:r>
          </w:p>
        </w:tc>
        <w:tc>
          <w:tcPr>
            <w:tcW w:type="dxa" w:w="1361"/>
          </w:tcPr>
          <w:p>
            <w:r/>
            <w:r>
              <w:rPr>
                <w:b w:val="0"/>
                <w:sz w:val="19"/>
              </w:rPr>
              <w:t>SELARAS PENUH</w:t>
            </w:r>
          </w:p>
        </w:tc>
      </w:tr>
      <w:tr>
        <w:tc>
          <w:tcPr>
            <w:tcW w:type="dxa" w:w="2438"/>
          </w:tcPr>
          <w:p>
            <w:r/>
            <w:r>
              <w:rPr>
                <w:b w:val="0"/>
                <w:sz w:val="19"/>
              </w:rPr>
              <w:t>— (benchmarking tidak disebut eksplisit di C.1 maupun C.6; ditetapkan sebagai praktik unggulan FTII sendiri, sesuai Rasional Standar VMTS FTII butir 11)</w:t>
            </w:r>
          </w:p>
        </w:tc>
        <w:tc>
          <w:tcPr>
            <w:tcW w:type="dxa" w:w="2438"/>
          </w:tcPr>
          <w:p>
            <w:r/>
            <w:r>
              <w:rPr>
                <w:b w:val="0"/>
                <w:sz w:val="19"/>
              </w:rPr>
              <w:t>— (idem)</w:t>
            </w:r>
          </w:p>
        </w:tc>
        <w:tc>
          <w:tcPr>
            <w:tcW w:type="dxa" w:w="3685"/>
          </w:tcPr>
          <w:p>
            <w:r/>
            <w:r>
              <w:rPr>
                <w:b w:val="0"/>
                <w:sz w:val="19"/>
              </w:rPr>
              <w:t>Pernyataan #28 (benchmarking ≥1x/tahun, ≥1 nasional &amp; ≥1-2 internasional) + Strategi #49, #52 + Indikator #4 + Mekanisme Evaluasi #64.</w:t>
            </w:r>
          </w:p>
        </w:tc>
        <w:tc>
          <w:tcPr>
            <w:tcW w:type="dxa" w:w="1361"/>
          </w:tcPr>
          <w:p>
            <w:r/>
            <w:r>
              <w:rPr>
                <w:b w:val="0"/>
                <w:sz w:val="19"/>
              </w:rPr>
              <w:t>MELAMPAUI (praktik unggulan FTII, bukan tuntutan eksternal)</w:t>
            </w:r>
          </w:p>
        </w:tc>
      </w:tr>
      <w:tr>
        <w:tc>
          <w:tcPr>
            <w:tcW w:type="dxa" w:w="2438"/>
          </w:tcPr>
          <w:p>
            <w:r/>
            <w:r>
              <w:rPr>
                <w:b w:val="0"/>
                <w:sz w:val="19"/>
              </w:rPr>
              <w:t>6.5 [Peningkatan] — peningkatan/optimalisasi hasil ketercapaian standar dan indikator, baik yang sudah terpenuhi maupun belum.</w:t>
            </w:r>
          </w:p>
        </w:tc>
        <w:tc>
          <w:tcPr>
            <w:tcW w:type="dxa" w:w="2438"/>
          </w:tcPr>
          <w:p>
            <w:r/>
            <w:r>
              <w:rPr>
                <w:b w:val="0"/>
                <w:sz w:val="19"/>
              </w:rPr>
              <w:t>(setara C.1 unsur 5, Strategi Perbaikan dan Pengembangan)</w:t>
            </w:r>
          </w:p>
        </w:tc>
        <w:tc>
          <w:tcPr>
            <w:tcW w:type="dxa" w:w="3685"/>
          </w:tcPr>
          <w:p>
            <w:r/>
            <w:r>
              <w:rPr>
                <w:b w:val="0"/>
                <w:sz w:val="19"/>
              </w:rPr>
              <w:t>Pihak Bertanggung Jawab #18 (Peningkatan: Rektor, Dekan, Kaprodi, DJM, UJM, GKM merumuskan peningkatan target/strategi berdasarkan evaluasi, benchmarking, perubahan lingkungan strategis) + Pernyataan #34 (RTL 80%→100%) + Pernyataan #37* (root-cause+SWOT sebagai dasar RTL).</w:t>
            </w:r>
          </w:p>
        </w:tc>
        <w:tc>
          <w:tcPr>
            <w:tcW w:type="dxa" w:w="1361"/>
          </w:tcPr>
          <w:p>
            <w:r/>
            <w:r>
              <w:rPr>
                <w:b w:val="0"/>
                <w:sz w:val="19"/>
              </w:rPr>
              <w:t>SELARAS PENUH</w:t>
            </w:r>
          </w:p>
        </w:tc>
      </w:tr>
    </w:tbl>
    <w:p/>
    <w:p>
      <w:pPr>
        <w:pStyle w:val="Heading1"/>
      </w:pPr>
      <w:r>
        <w:t>4. TEMUAN DAN KESIMPULAN</w:t>
      </w:r>
    </w:p>
    <w:p>
      <w:r>
        <w:rPr>
          <w:b w:val="0"/>
          <w:i w:val="0"/>
          <w:sz w:val="22"/>
        </w:rPr>
        <w:t>Pemetaan menemukan bahwa Standar VMTS FTII (revisi ke-2) TELAH SELARAS PENUH terhadap seluruh unsur Kriteria C.1 Diferensiasi Misi LAM Teknik dan seluruh sub-butir PPEPP Kriteria C.6 Diferensiasi Misi LAM INFOKOM 2.1. Tidak ditemukan gap baru. Dua hal yang perlu dicatat:</w:t>
      </w:r>
    </w:p>
    <w:p>
      <w:pPr>
        <w:pStyle w:val="ListNumber"/>
        <w:spacing w:after="120"/>
      </w:pPr>
      <w:r>
        <w:t>Revisi ke-2 (yang menutup gap visi keilmuan program studi dan menambahkan root-cause analysis + SWOT tahunan) TERBUKTI juga menutup unsur setara pada C.6 LAM INFOKOM — khususnya Pernyataan #36* secara kebetulan/sengaja sudah mencerminkan frasa persis "didukung Renstra dan kurikulum yang memadai" dari C.1 3a), dan Pernyataan #37* mencerminkan istilah persis "Analisis Faktor Keberhasilan dan Penghambat" dari C.1 unsur 4 — menunjukkan pemetaan sebelumnya terhadap LAM Teknik C.1 juga secara efektif menutup persyaratan C.6 LAM INFOKOM tanpa perlu revisi tambahan.</w:t>
      </w:r>
    </w:p>
    <w:p>
      <w:pPr>
        <w:pStyle w:val="ListNumber"/>
        <w:spacing w:after="120"/>
      </w:pPr>
      <w:r>
        <w:t>Pernyataan #30 (pengakuan eksternal 3 tingkat lokal/nasional/internasional pada seluruh tahap PPEPP) dirancang meniru pola pengulangan C.6 LAM INFOKOM pada kelima sub-butir 6.1-6.5 — ini adalah kesesuaian struktural yang disengaja, bukan kebetulan, dan sudah terverifikasi pada pemetaan awal (5 Dokumen Rujukan) sebagai turunan Kriteria 6 (R3) Kriteria Unggul 2.1 LAM INFOKOM.</w:t>
      </w:r>
    </w:p>
    <w:p>
      <w:r>
        <w:rPr>
          <w:b w:val="0"/>
          <w:i w:val="0"/>
          <w:sz w:val="22"/>
        </w:rPr>
        <w:t>Kesimpulan: TIDAK DIPERLUKAN revisi tambahan pada Standar VMTS FTII berdasarkan pemetaan C.1 LAM Teknik dan C.6 LAM INFOKOM 2.1 ini. Dokumen ini berfungsi sebagai bukti verifikasi silang (cross-check) formal bahwa kedua kriteria akreditasi yang membahas Diferensiasi Misi/VMTS dari dua lembaga akreditasi berbeda telah dipenuhi secara konsisten oleh satu set Pernyataan Standar, Strategi Pencapaian, dan Indikator Kinerja yang sama.</w:t>
      </w:r>
    </w:p>
    <w:p>
      <w:pPr>
        <w:pStyle w:val="Heading1"/>
      </w:pPr>
      <w:r>
        <w:t>5. REFERENSI</w:t>
      </w:r>
    </w:p>
    <w:p>
      <w:pPr>
        <w:pStyle w:val="ListNumber"/>
        <w:spacing w:after="120"/>
      </w:pPr>
      <w:r>
        <w:t>Standar_Visi_Misi_Unggul_FTII.docx (revisi ke-2, FTII UNISBANK).</w:t>
      </w:r>
    </w:p>
    <w:p>
      <w:pPr>
        <w:pStyle w:val="ListNumber"/>
        <w:spacing w:after="120"/>
      </w:pPr>
      <w:r>
        <w:t>Pedoman Penyusunan LEDPS – Instrumen Akreditasi Program Studi (IAPS)-AVP 2025, LAM Teknik, Kriteria C.1 Diferensiasi Misi, halaman 5-6.</w:t>
      </w:r>
    </w:p>
    <w:p>
      <w:pPr>
        <w:pStyle w:val="ListNumber"/>
        <w:spacing w:after="120"/>
      </w:pPr>
      <w:r>
        <w:t>Laporan Evaluasi Diri LAM INFOKOM 2.1 (2025), Instrumen APS untuk Perolehan dan Perpanjangan Status Terakreditasi Unggul S1-LED, Kriteria C.6 Diferensiasi Misi, halaman 23.</w:t>
      </w:r>
    </w:p>
    <w:p>
      <w:pPr>
        <w:pStyle w:val="ListNumber"/>
        <w:spacing w:after="120"/>
      </w:pPr>
      <w:r>
        <w:t>Pemetaan_Standar_Visi_Misi_FTII_vs_5_Dokumen_Rujukan.docx (pemetaan awal).</w:t>
      </w:r>
    </w:p>
    <w:p>
      <w:pPr>
        <w:pStyle w:val="ListNumber"/>
        <w:spacing w:after="120"/>
      </w:pPr>
      <w:r>
        <w:t>Kepatuhan_Standar_Visi_Misi_FTII_vs_Kriteria_C1_LEDPS_LAM_Teknik.docx (pemetaan yang menghasilkan revisi ke-2).</w:t>
      </w:r>
    </w:p>
    <w:p/>
    <w:p>
      <w:pPr>
        <w:jc w:val="right"/>
      </w:pPr>
      <w:r>
        <w:rPr>
          <w:b w:val="0"/>
          <w:i w:val="0"/>
          <w:sz w:val="22"/>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