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Votes</w:t>
      </w:r>
      <w:r>
        <w:t xml:space="preserve"> </w:t>
      </w:r>
      <w:r>
        <w:t xml:space="preserve">Without</w:t>
      </w:r>
      <w:r>
        <w:t xml:space="preserve"> </w:t>
      </w:r>
      <w:r>
        <w:t xml:space="preserve">Neighborhoods:</w:t>
      </w:r>
      <w:r>
        <w:t xml:space="preserve"> </w:t>
      </w:r>
      <w:r>
        <w:t xml:space="preserve">Housing</w:t>
      </w:r>
      <w:r>
        <w:t xml:space="preserve"> </w:t>
      </w:r>
      <w:r>
        <w:t xml:space="preserve">Prices</w:t>
      </w:r>
      <w:r>
        <w:t xml:space="preserve"> </w:t>
      </w:r>
      <w:r>
        <w:t xml:space="preserve">and</w:t>
      </w:r>
      <w:r>
        <w:t xml:space="preserve"> </w:t>
      </w:r>
      <w:r>
        <w:t xml:space="preserve">the</w:t>
      </w:r>
      <w:r>
        <w:t xml:space="preserve"> </w:t>
      </w:r>
      <w:r>
        <w:t xml:space="preserve">Geography</w:t>
      </w:r>
      <w:r>
        <w:t xml:space="preserve"> </w:t>
      </w:r>
      <w:r>
        <w:t xml:space="preserve">of</w:t>
      </w:r>
      <w:r>
        <w:t xml:space="preserve"> </w:t>
      </w:r>
      <w:r>
        <w:t xml:space="preserve">Conservative</w:t>
      </w:r>
      <w:r>
        <w:t xml:space="preserve"> </w:t>
      </w:r>
      <w:r>
        <w:t xml:space="preserve">Voting</w:t>
      </w:r>
      <w:r>
        <w:t xml:space="preserve"> </w:t>
      </w:r>
      <w:r>
        <w:t xml:space="preserve">in</w:t>
      </w:r>
      <w:r>
        <w:t xml:space="preserve"> </w:t>
      </w:r>
      <w:r>
        <w:t xml:space="preserve">Seoul</w:t>
      </w:r>
    </w:p>
    <w:p>
      <w:pPr>
        <w:pStyle w:val="FirstParagraph"/>
      </w:pPr>
      <w:r>
        <w:rPr>
          <w:bCs/>
          <w:b/>
        </w:rPr>
        <w:t xml:space="preserve">Abstract.</w:t>
      </w:r>
      <w:r>
        <w:t xml:space="preserve"> </w:t>
      </w:r>
      <w:r>
        <w:t xml:space="preserve">When do neighborhood election returns reveal the political alignment of their residents? We examine housing prices and conservative voting in six Seoul elections, 2012–2026. Among election-day voters, a positive within-district gradient extends beyond Gangnam, Seocho and Songpa in 2012 and the four sampled elections from 2022. Establishing its reach across the electorate requires accounting for politically different early voters whose ballots are counted at the station or pooled above the neighborhood. We bound the gradient in a roll-based share, distinct from the usual valid-vote share, over allocations consistent with returns, electoral rolls and statutory zones. Returns alone establish no direction in any sampled election with nationwide early voting. Under explicit movement and composition restrictions, the gradient is positive in 2026, narrowly positive in 2024, and unresolved in 2022 and 2025. In 2026 this positive gradient extends beyond the three districts, with its sensitivity to out-of-zone composition quantified explicitly. Holding the votes fixed, finer statutory zones can establish the direction under weaker restrictions. Exact residence reporting of out-of-zone ballots would remove 27–57% of the remaining range under the main restrictions. The findings establish the geographic reach of housing-related electoral alignment and show how electoral reporting governs its visibility across the electorate.</w:t>
      </w:r>
    </w:p>
    <w:p>
      <w:pPr>
        <w:pStyle w:val="BodyText"/>
      </w:pPr>
      <w:r>
        <w:rPr>
          <w:bCs/>
          <w:b/>
        </w:rPr>
        <w:t xml:space="preserve">Keywords:</w:t>
      </w:r>
      <w:r>
        <w:t xml:space="preserve"> </w:t>
      </w:r>
      <w:r>
        <w:t xml:space="preserve">electoral geography; housing politics; Gangnam; early voting; election administration; South Korea</w:t>
      </w:r>
    </w:p>
    <w:bookmarkStart w:id="20" w:name="introduction"/>
    <w:p>
      <w:pPr>
        <w:pStyle w:val="Heading1"/>
      </w:pPr>
      <w:r>
        <w:t xml:space="preserve">1. Introduction</w:t>
      </w:r>
    </w:p>
    <w:p>
      <w:pPr>
        <w:pStyle w:val="FirstParagraph"/>
      </w:pPr>
      <w:r>
        <w:t xml:space="preserve">How widely does housing-related electoral alignment extend within a city, and whose votes establish its reach? A relationship concentrated in a wealthy enclave describes a different political geography from one recurring among neighborhoods across the city. A relationship among election-day voters also differs from one established for all voting residents. Seoul makes both distinctions consequential: housing has long been associated with conservative support, Gangnam with a distinctive place identity, and early voting with politically different participants (Son 2008, 2010; Lee and Kwon 2019; Bae and Joo 2020; Ka 2021; Han 2024). We examine the price–vote association within districts and beyond Gangnam, Seocho and Songpa, then ask whether it extends from election-day voters to the wider electorate.</w:t>
      </w:r>
    </w:p>
    <w:p>
      <w:pPr>
        <w:pStyle w:val="BodyText"/>
      </w:pPr>
      <w:r>
        <w:t xml:space="preserve">The June 2026 mayoral election illustrates why these questions must be separated. A polling firm’s research note reported a correlation of 0.84 between apartment prices and Oh Se-hoon’s vote share across 424 neighborhoods (</w:t>
      </w:r>
      <w:r>
        <w:rPr>
          <w:iCs/>
          <w:i/>
        </w:rPr>
        <w:t xml:space="preserve">dong</w:t>
      </w:r>
      <w:r>
        <w:t xml:space="preserve">, 행정동), and 0.71 within districts (Lee 2026). Such maps appear to locate a political division precisely, but establishing its reach requires knowing both where the relationship recurs and whose votes the map represents.</w:t>
      </w:r>
    </w:p>
    <w:p>
      <w:pPr>
        <w:pStyle w:val="BodyText"/>
      </w:pPr>
      <w:r>
        <w:t xml:space="preserve">District-level evidence cannot establish alignment among neighborhoods of the same district (</w:t>
      </w:r>
      <w:r>
        <w:rPr>
          <w:iCs/>
          <w:i/>
        </w:rPr>
        <w:t xml:space="preserve">gu</w:t>
      </w:r>
      <w:r>
        <w:t xml:space="preserve">, 구): an association between expensive and inexpensive districts need not recur among nearby neighborhoods. Excluding the three southeastern districts tests dependence on a distinctive part of Seoul’s housing market and political geography (Bae and Joo 2020). This comparison establishes the geographic reach that explanations based on economic interests and place identity must accommodate.</w:t>
      </w:r>
    </w:p>
    <w:p>
      <w:pPr>
        <w:pStyle w:val="BodyText"/>
      </w:pPr>
      <w:r>
        <w:t xml:space="preserve">The second difficulty is political as well as administrative. Since nationwide early voting began in 2014, neighborhood returns have combined residents’ and neighbors’ ballots. In recent elections, 22–35% of Seoul’s ballots were cast early inside the voter’s statutory zone and counted at the station’s neighborhood, which may differ from the voter’s. Another 12–15% were out-of-zone, at-home or overseas ballots reported only for a district or constituency. Only election-day ballots are attributed exactly to residential neighborhoods. Early voters also vote differently: the conservative share among in-zone early voters was on average 4 points below the election-day share in the same district in 2017, and 10, 12, 28 and 26 points below it in 2022, 2024, 2025 and 2026 (Online Appendix Table C8). Research links Korean early participation to partisan attitudes without establishing a separate effect of voting mode on vote choice (Ka 2021); comparative studies examine selection and participation under convenience voting (Gronke et al. 2008; Kaplan and Yuan 2020). A pattern among election-day voters therefore cannot simply be extended to the full electorate. The widening partisan gap makes the treatment of unattributed votes increasingly consequential for neighborhood comparisons.</w:t>
      </w:r>
    </w:p>
    <w:p>
      <w:pPr>
        <w:pStyle w:val="BodyText"/>
      </w:pPr>
      <w:r>
        <w:t xml:space="preserve">Across six Seoul elections from 2012 to 2026, we compute ranges over ballot allocations consistent with published counts, electoral rolls and statutory voting zones. We then show how explicit movement and composition restrictions change the conclusions. Across districts, the price–vote association is positive in all six elections. Within districts, election-day voters identify a positive gradient in 2012 and the four sampled elections from 2022, including outside the three southeastern districts, and a nearly flat gradient in 2017. For all residents, returns alone establish no direction after nationwide early voting began. Under our main assumptions, the slope is positive in 2026, narrowly positive and fragile in 2024, and undetermined in 2022 and 2025. In 2026 it remains positive outside the three districts: a doubling of neighborhood prices is associated with a fitted conservative share 2.0 to 9.6 points higher. Sensitivity analysis quantifies the movement and composition departures under which this result holds.</w:t>
      </w:r>
    </w:p>
    <w:p>
      <w:pPr>
        <w:pStyle w:val="BodyText"/>
      </w:pPr>
      <w:r>
        <w:t xml:space="preserve">The institutional comparison supplies a further result. Holding the 2026 returns fixed, imposing their finer statutory voting zones can determine whether a positive slope is established under weaker assumptions; under the main assumptions the zones narrow the range by about a quarter. The comparison isolates information in the counting rule, rather than a change in voters’ behavior. It cautions against interpreting a more clearly observed relation in one election as a deepening political divide. Exact reporting of out-of-zone ballots by registered neighborhood would remove 27–57% of the remaining range under the main assumptions, although it would not always reveal the direction.</w:t>
      </w:r>
    </w:p>
    <w:p>
      <w:pPr>
        <w:pStyle w:val="BodyText"/>
      </w:pPr>
      <w:r>
        <w:t xml:space="preserve">The contribution is an account of how geographic and electoral scope interact. The observed alignment among election-day voters reaches beyond district differences and the three southeastern districts. Whether it describes the wider electorate depends on politically selected early voters whose residential votes the published rows do not reveal. Partial identification makes that extrapolation explicit: it distinguishes what every compatible allocation establishes from what additionally assuming similar composition establishes. Unlike changing the size or boundaries of spatial units (Lee et al. 2025), attribution can obscure residential voting within fixed boundaries. Related problems arise for German postal ballots, Australian declaration votes and American precinct datasets that allocate absentee votes (Online Appendix B.5; Amos et al. 2017; Baltz et al. 2022). The institutional contribution is consequently about the evidence available for political divisions: finer published units need not provide stronger evidence about residents when they combine different voting populations.</w:t>
      </w:r>
    </w:p>
    <w:bookmarkEnd w:id="20"/>
    <w:bookmarkStart w:id="21" w:name="housing-and-conservative-voting-in-seoul"/>
    <w:p>
      <w:pPr>
        <w:pStyle w:val="Heading1"/>
      </w:pPr>
      <w:r>
        <w:t xml:space="preserve">2. Housing and conservative voting in Seoul</w:t>
      </w:r>
    </w:p>
    <w:p>
      <w:pPr>
        <w:pStyle w:val="FirstParagraph"/>
      </w:pPr>
      <w:r>
        <w:t xml:space="preserve">Housing is a central axis of Korean political conflict. Son’s (2008, 2010) work on Seoul and the capital region found that homeownership, apartment residence and housing values tracked conservative voting across neighborhoods, a</w:t>
      </w:r>
      <w:r>
        <w:t xml:space="preserve"> </w:t>
      </w:r>
      <w:r>
        <w:t xml:space="preserve">“</w:t>
      </w:r>
      <w:r>
        <w:t xml:space="preserve">real-estate class society</w:t>
      </w:r>
      <w:r>
        <w:t xml:space="preserve">”</w:t>
      </w:r>
      <w:r>
        <w:t xml:space="preserve">. Survey research relates homeownership to vote choice (Lee and Kwon 2019; Shin 2022) and subjective class position to conservative support (Han 2026), and studies of administrative units relate housing values to conservative support across municipalities, districts and constituencies (Oh and Park 2013; Han 2024; Song and Kang 2025). In the transactions we use, the median neighborhood’s price per square meter roughly doubled between the twelve months before the 2017 and the 2022 presidential elections, and the conservative opposition won the 2021 Seoul mayoral by-election and the 2022 presidential election. Comparative work links housing wealth and local housing markets to political preferences and populist support (Ansell 2014, 2019; Larsen et al. 2019; Adler and Ansell 2020; Ansell et al. 2022), and in the United States buying a home increases turnout in local elections (Hall and Yoder 2022).</w:t>
      </w:r>
    </w:p>
    <w:p>
      <w:pPr>
        <w:pStyle w:val="BodyText"/>
      </w:pPr>
      <w:r>
        <w:t xml:space="preserve">Existing studies address different spatial scales. Han (2024) relates conservative support to average apartment prices across districts, treating housing wealth as a regional characteristic. Bae and Joo (2020) explain Gangnam’s conservatism through the construction of place identity: residents’ efforts to preserve the area’s exclusivity and transmit it to their children. Their account raises the question of how much a citywide price gradient depends on this distinctive area. Dong-level studies examine finer spatial differences, relating price levels or price changes to electoral outcomes (Kim and Kang 2022; Yun and Jun 2024; Lee 2026). Such studies address related but distinct quantities; an association involving price changes does not directly test the price-level gradient examined here. Substantial variation within districts makes the latter question relevant: in our 2026 transaction data, median apartment prices per square meter differ by a median of 24% between adjacent neighborhoods in the same district, and 39% of the variance of log neighborhood prices lies within districts.</w:t>
      </w:r>
    </w:p>
    <w:p>
      <w:pPr>
        <w:pStyle w:val="BodyText"/>
      </w:pPr>
      <w:r>
        <w:t xml:space="preserve">Owners’ economic interests (Fischel 2001; Marble and Nall 2021), residential sorting (Rodden 2019) and local context could each produce an association between housing markets and voting. These explanations concern mechanisms at different levels. Neighborhood prices can reflect the households that select into an area, the interests residents share, or the identity attached to living there. Housing interests and place identities can operate outside wealthy enclaves and can vary with local conditions (Hankinson 2018). A price gradient outside Gangnam consequently leaves these mechanisms open. Its substantive value is to establish the geographic scope that an explanation of Seoul’s housing politics must accommodate.</w:t>
      </w:r>
    </w:p>
    <w:p>
      <w:pPr>
        <w:pStyle w:val="BodyText"/>
      </w:pPr>
      <w:r>
        <w:t xml:space="preserve">Spatial reach nevertheless changes the explanation required. A relation found only between districts could be accounted for by differences among those districts; one that also recurs within districts requires accounting for alignment among neighborhoods sharing a district government and wider local setting. A gradient beyond the three southeastern districts extends that explanatory task beyond a distinctive enclave. Within-district differences in income, age and residential selection remain possible explanations of this pattern. The electorate comparison adds a further requirement: a claim about a broad housing-related division must accommodate politically different early voters, rather than assume that their neighborhood pattern matches election-day voters’.</w:t>
      </w:r>
    </w:p>
    <w:p>
      <w:pPr>
        <w:pStyle w:val="BodyText"/>
      </w:pPr>
      <w:r>
        <w:t xml:space="preserve">Three distinctions therefore organize the inquiry: spatial scale, electorate and institutions. Alignment within districts and beyond the southeastern enclave has a wider geographic scope than a between-district association. Its scope across voters is wider only if adding early voters cannot overturn it. Holding the votes fixed while changing allocation constraints then identifies what the counting rule reveals, rather than an effect on preferences. The target is the electoral alignment of places, with the geographic and electorate comparisons defining its scope. Where both signs remain feasible, the full-electorate alignment is unresolved.</w:t>
      </w:r>
    </w:p>
    <w:p>
      <w:pPr>
        <w:pStyle w:val="BodyText"/>
      </w:pPr>
      <w:r>
        <w:t xml:space="preserve">The primary estimand is the</w:t>
      </w:r>
      <w:r>
        <w:t xml:space="preserve"> </w:t>
      </w:r>
      <w:r>
        <w:rPr>
          <w:iCs/>
          <w:i/>
        </w:rPr>
        <w:t xml:space="preserve">gradient</w:t>
      </w:r>
      <w:r>
        <w:t xml:space="preserve">, the within-district slope of the conservative share on log price. Because it gives most weight to neighborhoods far from their district’s mean log price, we also report how much it depends on the most expensive neighborhoods (Section 4.5). Secondary</w:t>
      </w:r>
      <w:r>
        <w:t xml:space="preserve"> </w:t>
      </w:r>
      <w:r>
        <w:rPr>
          <w:iCs/>
          <w:i/>
        </w:rPr>
        <w:t xml:space="preserve">contrasts</w:t>
      </w:r>
      <w:r>
        <w:t xml:space="preserve"> </w:t>
      </w:r>
      <w:r>
        <w:t xml:space="preserve">compare each district’s higher- and lower-price neighborhoods (above versus at or below the median, and top versus bottom third), averaged over districts with weights proportional to their number of neighborhoods with price data. A gradient and a contrast answer different political questions: the former describes an overall alignment across prices, while the latter asks whether price groups are separated electorally. Their signs need not be established under the same assumptions.</w:t>
      </w:r>
    </w:p>
    <w:bookmarkEnd w:id="21"/>
    <w:bookmarkStart w:id="29" w:name="Xf1c0e19a1bc97595d85ee581cabc4cf69508e9a"/>
    <w:p>
      <w:pPr>
        <w:pStyle w:val="Heading1"/>
      </w:pPr>
      <w:r>
        <w:t xml:space="preserve">3. Electoral reporting, data and identification</w:t>
      </w:r>
    </w:p>
    <w:bookmarkStart w:id="25" w:name="electoral-reporting-rules"/>
    <w:p>
      <w:pPr>
        <w:pStyle w:val="Heading2"/>
      </w:pPr>
      <w:r>
        <w:t xml:space="preserve">3.1 Electoral reporting rules</w:t>
      </w:r>
    </w:p>
    <w:p>
      <w:pPr>
        <w:pStyle w:val="FirstParagraph"/>
      </w:pPr>
      <w:r>
        <w:t xml:space="preserve">Korea reports election results by voting district (투표구) and therefore by administrative neighborhood, a unit with about 19,500 electors in Seoul. Box 1 and Figure 1 summarize where each kind of ballot is counted. Election-day ballots are counted in the voter’s own voting district. Since the April 2013 by-elections and nationwide since 2014, any voter can also vote early at any station in the country. In-zone early voters (관내사전투표) cast a ballot within their designated zone, placing it directly in the station’s ballot box; it is then counted for the station’s neighborhood. The boundary that matters is this statutory zone, which coincides with the district only in some elections; we therefore write in-zone and out-of-zone rather than the literal in-district and out-of-district. Out-of-zone early voters (관외사전투표) seal their ballot in an envelope that is mailed to their district commission and counted only for the district, as are at-home (거소) and overseas ballots. Before 2014, voters who could not vote on election day registered as absentees (부재자) and their ballots were likewise reported only for the district; only 3.4% of Seoul ballots were pooled in 2012.</w:t>
      </w:r>
    </w:p>
    <w:p>
      <w:pPr>
        <w:pStyle w:val="BodyText"/>
      </w:pPr>
      <w:r>
        <w:rPr>
          <w:bCs/>
          <w:b/>
        </w:rPr>
        <w:t xml:space="preserve">Box 1. Where Korean ballots are reported</w:t>
      </w:r>
    </w:p>
    <w:p>
      <w:pPr>
        <w:pStyle w:val="BodyText"/>
        <w:keepNext/>
      </w:pPr>
      <w:r>
        <w:rPr>
          <w:iCs/>
          <w:i/>
        </w:rPr>
        <w:t xml:space="preserve">Legal sources:</w:t>
      </w:r>
      <w:r>
        <w:t xml:space="preserve"> </w:t>
      </w:r>
      <w:r>
        <w:t xml:space="preserve">Public Official Election Act (공직선거법; Act; Korea n.d.) and Regulations on Public Official Elections (공직선거관리규칙; Regulations; National Election Commission n.d.), in the versions in force at each election.</w:t>
      </w:r>
    </w:p>
    <w:tbl>
      <w:tblPr>
        <w:tblStyle w:val="Table"/>
        <w:tblW w:type="pct" w:w="5000"/>
        <w:tblLayout w:type="fixed"/>
        <w:tblLook w:firstRow="1" w:lastRow="0" w:firstColumn="0" w:lastColumn="0" w:noHBand="0" w:noVBand="0" w:val="0020"/>
        <w:jc w:val="start"/>
      </w:tblPr>
      <w:tblGrid>
        <w:gridCol w:w="3024"/>
        <w:gridCol w:w="3024"/>
        <w:gridCol w:w="3024"/>
      </w:tblGrid>
      <w:tr>
        <w:trPr>
          <w:tblHeader w:val="true"/>
          <w:cantSplit/>
        </w:trPr>
        <w:tc>
          <w:tcPr>
            <w:tcW w:type="dxa" w:w="3024"/>
          </w:tcPr>
          <w:p>
            <w:pPr>
              <w:pStyle w:val="Compact"/>
              <w:keepNext/>
              <w:keepLines/>
              <w:spacing w:before="0" w:after="40" w:line="240" w:lineRule="auto"/>
              <w:jc w:val="left"/>
            </w:pPr>
            <w:r>
              <w:rPr>
                <w:sz w:val="18"/>
              </w:rPr>
              <w:t xml:space="preserve">Ballot</w:t>
            </w:r>
          </w:p>
        </w:tc>
        <w:tc>
          <w:tcPr>
            <w:tcW w:type="dxa" w:w="3024"/>
          </w:tcPr>
          <w:p>
            <w:pPr>
              <w:pStyle w:val="Compact"/>
              <w:keepNext/>
              <w:keepLines/>
              <w:spacing w:before="0" w:after="40" w:line="240" w:lineRule="auto"/>
              <w:jc w:val="center"/>
            </w:pPr>
            <w:r>
              <w:rPr>
                <w:sz w:val="18"/>
              </w:rPr>
              <w:t xml:space="preserve">Rule</w:t>
            </w:r>
          </w:p>
        </w:tc>
        <w:tc>
          <w:tcPr>
            <w:tcW w:type="dxa" w:w="3024"/>
          </w:tcPr>
          <w:p>
            <w:pPr>
              <w:pStyle w:val="Compact"/>
              <w:keepNext/>
              <w:keepLines/>
              <w:spacing w:before="0" w:after="40" w:line="240" w:lineRule="auto"/>
              <w:jc w:val="center"/>
            </w:pPr>
            <w:r>
              <w:rPr>
                <w:sz w:val="18"/>
              </w:rPr>
              <w:t xml:space="preserve">Where reported</w:t>
            </w:r>
          </w:p>
        </w:tc>
      </w:tr>
      <w:tr>
        <w:trPr>
          <w:cantSplit/>
        </w:trPr>
        <w:tc>
          <w:tcPr>
            <w:tcW w:type="dxa" w:w="3024"/>
          </w:tcPr>
          <w:p>
            <w:pPr>
              <w:pStyle w:val="Compact"/>
              <w:keepNext w:val="0"/>
              <w:keepLines/>
              <w:spacing w:before="0" w:after="40" w:line="240" w:lineRule="auto"/>
              <w:jc w:val="left"/>
            </w:pPr>
            <w:r>
              <w:rPr>
                <w:sz w:val="18"/>
              </w:rPr>
              <w:t xml:space="preserve">Election day</w:t>
            </w:r>
          </w:p>
        </w:tc>
        <w:tc>
          <w:tcPr>
            <w:tcW w:type="dxa" w:w="3024"/>
          </w:tcPr>
          <w:p>
            <w:pPr>
              <w:pStyle w:val="Compact"/>
              <w:keepNext w:val="0"/>
              <w:keepLines/>
              <w:spacing w:before="0" w:after="40" w:line="240" w:lineRule="auto"/>
              <w:jc w:val="center"/>
            </w:pPr>
            <w:r>
              <w:rPr>
                <w:sz w:val="18"/>
              </w:rPr>
              <w:t xml:space="preserve">Counted and published by voting district (Act, Art. 178)</w:t>
            </w:r>
          </w:p>
        </w:tc>
        <w:tc>
          <w:tcPr>
            <w:tcW w:type="dxa" w:w="3024"/>
          </w:tcPr>
          <w:p>
            <w:pPr>
              <w:pStyle w:val="Compact"/>
              <w:keepNext w:val="0"/>
              <w:keepLines/>
              <w:spacing w:before="0" w:after="40" w:line="240" w:lineRule="auto"/>
              <w:jc w:val="center"/>
            </w:pPr>
            <w:r>
              <w:rPr>
                <w:sz w:val="18"/>
              </w:rPr>
              <w:t xml:space="preserve">Voting district, hence neighborhood</w:t>
            </w:r>
          </w:p>
        </w:tc>
      </w:tr>
      <w:tr>
        <w:trPr>
          <w:cantSplit/>
        </w:trPr>
        <w:tc>
          <w:tcPr>
            <w:tcW w:type="dxa" w:w="3024"/>
          </w:tcPr>
          <w:p>
            <w:pPr>
              <w:pStyle w:val="Compact"/>
              <w:keepNext w:val="0"/>
              <w:keepLines/>
              <w:spacing w:before="0" w:after="40" w:line="240" w:lineRule="auto"/>
              <w:jc w:val="left"/>
            </w:pPr>
            <w:r>
              <w:rPr>
                <w:sz w:val="18"/>
              </w:rPr>
              <w:t xml:space="preserve">In-zone early</w:t>
            </w:r>
          </w:p>
        </w:tc>
        <w:tc>
          <w:tcPr>
            <w:tcW w:type="dxa" w:w="3024"/>
          </w:tcPr>
          <w:p>
            <w:pPr>
              <w:pStyle w:val="Compact"/>
              <w:keepNext w:val="0"/>
              <w:keepLines/>
              <w:spacing w:before="0" w:after="40" w:line="240" w:lineRule="auto"/>
              <w:jc w:val="center"/>
            </w:pPr>
            <w:r>
              <w:rPr>
                <w:sz w:val="18"/>
              </w:rPr>
              <w:t xml:space="preserve">No envelope inside the zone (Act, Art. 158(5); zone: Regulations, Arts. 86(3), 133(3)); each station’s box is counted separately</w:t>
            </w:r>
          </w:p>
        </w:tc>
        <w:tc>
          <w:tcPr>
            <w:tcW w:type="dxa" w:w="3024"/>
          </w:tcPr>
          <w:p>
            <w:pPr>
              <w:pStyle w:val="Compact"/>
              <w:keepNext w:val="0"/>
              <w:keepLines/>
              <w:spacing w:before="0" w:after="40" w:line="240" w:lineRule="auto"/>
              <w:jc w:val="center"/>
            </w:pPr>
            <w:r>
              <w:rPr>
                <w:sz w:val="18"/>
              </w:rPr>
              <w:t xml:space="preserve">Station’s neighborhood</w:t>
            </w:r>
          </w:p>
        </w:tc>
      </w:tr>
      <w:tr>
        <w:trPr>
          <w:cantSplit/>
        </w:trPr>
        <w:tc>
          <w:tcPr>
            <w:tcW w:type="dxa" w:w="3024"/>
          </w:tcPr>
          <w:p>
            <w:pPr>
              <w:pStyle w:val="Compact"/>
              <w:keepNext w:val="0"/>
              <w:keepLines/>
              <w:spacing w:before="0" w:after="40" w:line="240" w:lineRule="auto"/>
              <w:jc w:val="left"/>
            </w:pPr>
            <w:r>
              <w:rPr>
                <w:sz w:val="18"/>
              </w:rPr>
              <w:t xml:space="preserve">Out-of-zone early</w:t>
            </w:r>
          </w:p>
        </w:tc>
        <w:tc>
          <w:tcPr>
            <w:tcW w:type="dxa" w:w="3024"/>
          </w:tcPr>
          <w:p>
            <w:pPr>
              <w:pStyle w:val="Compact"/>
              <w:keepNext w:val="0"/>
              <w:keepLines/>
              <w:spacing w:before="0" w:after="40" w:line="240" w:lineRule="auto"/>
              <w:jc w:val="center"/>
            </w:pPr>
            <w:r>
              <w:rPr>
                <w:sz w:val="18"/>
              </w:rPr>
              <w:t xml:space="preserve">Envelope mailed to the voter’s district commission (Act, Arts. 158, 176)</w:t>
            </w:r>
          </w:p>
        </w:tc>
        <w:tc>
          <w:tcPr>
            <w:tcW w:type="dxa" w:w="3024"/>
          </w:tcPr>
          <w:p>
            <w:pPr>
              <w:pStyle w:val="Compact"/>
              <w:keepNext w:val="0"/>
              <w:keepLines/>
              <w:spacing w:before="0" w:after="40" w:line="240" w:lineRule="auto"/>
              <w:jc w:val="center"/>
            </w:pPr>
            <w:r>
              <w:rPr>
                <w:sz w:val="18"/>
              </w:rPr>
              <w:t xml:space="preserve">District or constituency</w:t>
            </w:r>
          </w:p>
        </w:tc>
      </w:tr>
      <w:tr>
        <w:trPr>
          <w:cantSplit/>
        </w:trPr>
        <w:tc>
          <w:tcPr>
            <w:tcW w:type="dxa" w:w="3024"/>
          </w:tcPr>
          <w:p>
            <w:pPr>
              <w:pStyle w:val="Compact"/>
              <w:keepNext w:val="0"/>
              <w:keepLines/>
              <w:spacing w:before="0" w:after="40" w:line="240" w:lineRule="auto"/>
              <w:jc w:val="left"/>
            </w:pPr>
            <w:r>
              <w:rPr>
                <w:sz w:val="18"/>
              </w:rPr>
              <w:t xml:space="preserve">At-home, shipboard, overseas</w:t>
            </w:r>
          </w:p>
        </w:tc>
        <w:tc>
          <w:tcPr>
            <w:tcW w:type="dxa" w:w="3024"/>
          </w:tcPr>
          <w:p>
            <w:pPr>
              <w:pStyle w:val="Compact"/>
              <w:keepNext w:val="0"/>
              <w:keepLines/>
              <w:spacing w:before="0" w:after="40" w:line="240" w:lineRule="auto"/>
              <w:jc w:val="center"/>
            </w:pPr>
            <w:r>
              <w:rPr>
                <w:sz w:val="18"/>
              </w:rPr>
              <w:t xml:space="preserve">Registered in advance; mailed to the district commission</w:t>
            </w:r>
          </w:p>
        </w:tc>
        <w:tc>
          <w:tcPr>
            <w:tcW w:type="dxa" w:w="3024"/>
          </w:tcPr>
          <w:p>
            <w:pPr>
              <w:pStyle w:val="Compact"/>
              <w:keepNext w:val="0"/>
              <w:keepLines/>
              <w:spacing w:before="0" w:after="40" w:line="240" w:lineRule="auto"/>
              <w:jc w:val="center"/>
            </w:pPr>
            <w:r>
              <w:rPr>
                <w:sz w:val="18"/>
              </w:rPr>
              <w:t xml:space="preserve">District or constituency</w:t>
            </w:r>
          </w:p>
        </w:tc>
      </w:tr>
      <w:tr>
        <w:trPr>
          <w:cantSplit/>
        </w:trPr>
        <w:tc>
          <w:tcPr>
            <w:tcW w:type="dxa" w:w="3024"/>
          </w:tcPr>
          <w:p>
            <w:pPr>
              <w:pStyle w:val="Compact"/>
              <w:keepNext w:val="0"/>
              <w:keepLines/>
              <w:spacing w:before="0" w:after="40" w:line="240" w:lineRule="auto"/>
              <w:jc w:val="left"/>
            </w:pPr>
            <w:r>
              <w:rPr>
                <w:sz w:val="18"/>
              </w:rPr>
              <w:t xml:space="preserve">Election-day roll</w:t>
            </w:r>
          </w:p>
        </w:tc>
        <w:tc>
          <w:tcPr>
            <w:tcW w:type="dxa" w:w="3024"/>
          </w:tcPr>
          <w:p>
            <w:pPr>
              <w:pStyle w:val="Compact"/>
              <w:keepNext w:val="0"/>
              <w:keepLines/>
              <w:spacing w:before="0" w:after="40" w:line="240" w:lineRule="auto"/>
              <w:jc w:val="center"/>
            </w:pPr>
            <w:r>
              <w:rPr>
                <w:sz w:val="18"/>
              </w:rPr>
              <w:t xml:space="preserve">Printed after early voting, early voters marked (Regulations, Art. 16-2)</w:t>
            </w:r>
          </w:p>
        </w:tc>
        <w:tc>
          <w:tcPr>
            <w:tcW w:type="dxa" w:w="3024"/>
          </w:tcPr>
          <w:p>
            <w:pPr>
              <w:pStyle w:val="Compact"/>
              <w:keepNext w:val="0"/>
              <w:keepLines/>
              <w:spacing w:before="0" w:after="40" w:line="240" w:lineRule="auto"/>
              <w:jc w:val="center"/>
            </w:pPr>
            <w:r>
              <w:rPr>
                <w:sz w:val="18"/>
              </w:rPr>
              <w:t xml:space="preserve">Residents removed from the roll</w:t>
            </w:r>
          </w:p>
        </w:tc>
      </w:tr>
    </w:tbl>
    <w:p>
      <w:pPr>
        <w:pStyle w:val="CaptionedFigure"/>
        <w:keepNext/>
      </w:pPr>
      <w:r>
        <w:drawing>
          <wp:inline>
            <wp:extent cx="4800600" cy="2275716"/>
            <wp:effectExtent b="0" l="0" r="0" t="0"/>
            <wp:docPr descr="Figure 1. Where a Seoul resident’s ballot is reported, by voting mode, since 2014. The zone is the district; in National Assembly elections, the constituency where a district holds two or more; in local elections, the district-council constituency." title="" id="23" name="Picture"/>
            <a:graphic>
              <a:graphicData uri="http://schemas.openxmlformats.org/drawingml/2006/picture">
                <pic:pic>
                  <pic:nvPicPr>
                    <pic:cNvPr descr="figures/fig1_flow.png" id="24" name="Picture"/>
                    <pic:cNvPicPr>
                      <a:picLocks noChangeArrowheads="1" noChangeAspect="1"/>
                    </pic:cNvPicPr>
                  </pic:nvPicPr>
                  <pic:blipFill>
                    <a:blip r:embed="rId22"/>
                    <a:stretch>
                      <a:fillRect/>
                    </a:stretch>
                  </pic:blipFill>
                  <pic:spPr bwMode="auto">
                    <a:xfrm>
                      <a:off x="0" y="0"/>
                      <a:ext cx="4800600" cy="2275716"/>
                    </a:xfrm>
                    <a:prstGeom prst="rect">
                      <a:avLst/>
                    </a:prstGeom>
                    <a:noFill/>
                    <a:ln w="9525">
                      <a:noFill/>
                      <a:headEnd/>
                      <a:tailEnd/>
                    </a:ln>
                  </pic:spPr>
                </pic:pic>
              </a:graphicData>
            </a:graphic>
          </wp:inline>
        </w:drawing>
      </w:r>
    </w:p>
    <w:p>
      <w:pPr>
        <w:pStyle w:val="ImageCaption"/>
      </w:pPr>
      <w:r>
        <w:t xml:space="preserve">Figure 1. Where a Seoul resident’s ballot is reported, by voting mode, since 2014. The zone is the district; in National Assembly elections, the constituency where a district holds two or more; in local elections, the district-council constituency.</w:t>
      </w:r>
    </w:p>
    <w:p>
      <w:pPr>
        <w:pStyle w:val="BodyText"/>
      </w:pPr>
      <w:r>
        <w:t xml:space="preserve">The early-voting zone is decisive for our question, because a voter can be misattributed to another neighborhood only inside it. In presidential elections the zone is the whole district, about 17 neighborhoods; in National Assembly elections it is the constituency where a district holds two or more (Regulations, Art. 86(3)). In the 2026 local elections it was the district-council constituency (Regulations, Art. 133(3); National Election Commission 2022a): 155 constituencies in Seoul, with 2.8 neighborhoods on average. The council returns are consistent with this restriction: at all 320 early-voting stations in contested constituencies, the number of early voters in the council contest equals the number in the mayoral contest.</w:t>
      </w:r>
    </w:p>
    <w:p>
      <w:pPr>
        <w:pStyle w:val="BodyText"/>
      </w:pPr>
      <w:r>
        <w:t xml:space="preserve">Two features of the published data make inference possible. The election-day roll is printed after early voting with early voters marked, so the difference between each neighborhood’s electorate and its election-day roll counts the residents removed from that roll: those who voted early or were registered to vote at home or abroad, some of whom cast no counted ballot. And pooled-ballot totals are published by candidate for each counting jurisdiction. With each station’s count, these numbers constrain how the unattributed ballots can have been distributed.</w:t>
      </w:r>
    </w:p>
    <w:bookmarkEnd w:id="25"/>
    <w:bookmarkStart w:id="26" w:name="data"/>
    <w:p>
      <w:pPr>
        <w:pStyle w:val="Heading2"/>
      </w:pPr>
      <w:r>
        <w:t xml:space="preserve">3.2 Data</w:t>
      </w:r>
    </w:p>
    <w:p>
      <w:pPr>
        <w:pStyle w:val="FirstParagraph"/>
      </w:pPr>
      <w:r>
        <w:t xml:space="preserve">We study the presidential elections of 2012, 2017, 2022 and 2025, the 2024 National Assembly election and the 2026 election of the mayor of Seoul (Table 1). The four presidential elections provide same-office comparisons; the legislative and mayoral elections also expose different early-voting zones. We interpret cross-election differences as comparisons among these six contests. Online Appendix B.1 describes the coverage of the assembled dataset.</w:t>
      </w:r>
    </w:p>
    <w:p>
      <w:pPr>
        <w:pStyle w:val="BodyText"/>
      </w:pPr>
      <w:r>
        <w:t xml:space="preserve">Returns and electorates are the National Election Commission’s official counting-unit files and electorate records (National Election Commission 2026); the 2026 zones come from its official table of council constituencies and neighborhoods. The outcome is the share of the main conservative candidate: Park Geun-hye (2012), Hong Joon-pyo (2017), Yoon Suk Yeol (2022), the People Power Party’s constituency candidates (2024), Kim Moon-soo (2025) and Oh Se-hoon (2026). In 2017 the conservative vote was split; combining Hong with Yoo Seung-min raises the conventional within-district slope from 0.014 to 0.041 but leaves it undetermined with the returns alone and under minimal movement (</w:t>
      </w:r>
      <m:oMath>
        <m:d>
          <m:dPr>
            <m:begChr m:val="["/>
            <m:endChr m:val="]"/>
            <m:sepChr m:val=""/>
            <m:grow/>
          </m:dPr>
          <m:e>
            <m:r>
              <m:rPr>
                <m:sty m:val="p"/>
              </m:rPr>
              <m:t>−</m:t>
            </m:r>
            <m:r>
              <m:t>0.500</m:t>
            </m:r>
            <m:r>
              <m:rPr>
                <m:sty m:val="p"/>
              </m:rPr>
              <m:t>,</m:t>
            </m:r>
            <m:r>
              <m:t>0.556</m:t>
            </m:r>
          </m:e>
        </m:d>
      </m:oMath>
      <w:r>
        <w:t xml:space="preserve"> </w:t>
      </w:r>
      <w:r>
        <w:t xml:space="preserve">and</w:t>
      </w:r>
      <w:r>
        <w:t xml:space="preserve"> </w:t>
      </w:r>
      <m:oMath>
        <m:d>
          <m:dPr>
            <m:begChr m:val="["/>
            <m:endChr m:val="]"/>
            <m:sepChr m:val=""/>
            <m:grow/>
          </m:dPr>
          <m:e>
            <m:r>
              <m:rPr>
                <m:sty m:val="p"/>
              </m:rPr>
              <m:t>−</m:t>
            </m:r>
            <m:r>
              <m:t>0.154</m:t>
            </m:r>
            <m:r>
              <m:rPr>
                <m:sty m:val="p"/>
              </m:rPr>
              <m:t>,</m:t>
            </m:r>
            <m:r>
              <m:t>0.225</m:t>
            </m:r>
          </m:e>
        </m:d>
      </m:oMath>
      <w:r>
        <w:t xml:space="preserve">; Online Appendix Table C24). Apartment prices are medians of sale prices per square meter recorded by the Ministry of Land, Infrastructure and Transport (2026) during the twelve complete calendar months ending before each election month, geocoded to neighborhoods. They describe transacted apartments, rather than directly measuring the value of every home, homeownership or residents’ wealth. Mobility data come from Seoul Living Mobility (Seoul Metropolitan Government and KT 2026), which estimates trips from mobile-phone signals and is available from 2022. Online Appendix B describes the sources and their construction.</w:t>
      </w:r>
    </w:p>
    <w:p>
      <w:pPr>
        <w:sectPr>
          <w:pgMar w:top="1417" w:bottom="1417" w:left="1417" w:right="1417"/>
          <w:pgSz w:w="11906" w:h="16838" w:orient="portrait"/>
          <w:type w:val="nextPage"/>
        </w:sectPr>
      </w:pPr>
    </w:p>
    <w:p>
      <w:pPr>
        <w:pStyle w:val="TableCaption"/>
        <w:keepNext/>
      </w:pPr>
      <w:r>
        <w:t xml:space="preserve">Table 1. Elections, reporting units and ballot coverage</w:t>
      </w:r>
    </w:p>
    <w:tbl>
      <w:tblPr>
        <w:tblStyle w:val="Table"/>
        <w:tblW w:type="pct" w:w="5000"/>
        <w:tblLayout w:type="fixed"/>
        <w:tblLook w:firstRow="1" w:lastRow="0" w:firstColumn="0" w:lastColumn="0" w:noHBand="0" w:noVBand="0" w:val="0020"/>
        <w:jc w:val="start"/>
        <w:tblCaption w:val="Table 1. Elections, reporting units and ballot coverage"/>
      </w:tblPr>
      <w:tblGrid>
        <w:gridCol w:w="1305"/>
        <w:gridCol w:w="2136"/>
        <w:gridCol w:w="3205"/>
        <w:gridCol w:w="1187"/>
        <w:gridCol w:w="1187"/>
        <w:gridCol w:w="1187"/>
        <w:gridCol w:w="1187"/>
        <w:gridCol w:w="1424"/>
        <w:gridCol w:w="1187"/>
      </w:tblGrid>
      <w:tr>
        <w:trPr>
          <w:tblHeader w:val="true"/>
          <w:cantSplit/>
        </w:trPr>
        <w:tc>
          <w:tcPr>
            <w:tcW w:type="dxa" w:w="1305"/>
          </w:tcPr>
          <w:p>
            <w:pPr>
              <w:pStyle w:val="Compact"/>
              <w:keepNext/>
              <w:keepLines/>
              <w:spacing w:before="0" w:after="40" w:line="240" w:lineRule="auto"/>
              <w:jc w:val="left"/>
            </w:pPr>
            <w:r>
              <w:rPr>
                <w:sz w:val="18"/>
              </w:rPr>
              <w:t xml:space="preserve">Election</w:t>
            </w:r>
          </w:p>
        </w:tc>
        <w:tc>
          <w:tcPr>
            <w:tcW w:type="dxa" w:w="2136"/>
          </w:tcPr>
          <w:p>
            <w:pPr>
              <w:pStyle w:val="Compact"/>
              <w:keepNext/>
              <w:keepLines/>
              <w:spacing w:before="0" w:after="40" w:line="240" w:lineRule="auto"/>
              <w:jc w:val="center"/>
            </w:pPr>
            <w:r>
              <w:rPr>
                <w:sz w:val="18"/>
              </w:rPr>
              <w:t xml:space="preserve">Pooled ballots reported for</w:t>
            </w:r>
          </w:p>
        </w:tc>
        <w:tc>
          <w:tcPr>
            <w:tcW w:type="dxa" w:w="3205"/>
          </w:tcPr>
          <w:p>
            <w:pPr>
              <w:pStyle w:val="Compact"/>
              <w:keepNext/>
              <w:keepLines/>
              <w:spacing w:before="0" w:after="40" w:line="240" w:lineRule="auto"/>
              <w:jc w:val="center"/>
            </w:pPr>
            <w:r>
              <w:rPr>
                <w:sz w:val="18"/>
              </w:rPr>
              <w:t xml:space="preserve">In-zone early zone</w:t>
            </w:r>
          </w:p>
        </w:tc>
        <w:tc>
          <w:tcPr>
            <w:tcW w:type="dxa" w:w="1187"/>
          </w:tcPr>
          <w:p>
            <w:pPr>
              <w:pStyle w:val="Compact"/>
              <w:keepNext/>
              <w:keepLines/>
              <w:spacing w:before="0" w:after="40" w:line="240" w:lineRule="auto"/>
              <w:jc w:val="center"/>
            </w:pPr>
            <w:r>
              <w:rPr>
                <w:sz w:val="18"/>
              </w:rPr>
              <w:t xml:space="preserve">Dongs</w:t>
            </w:r>
          </w:p>
        </w:tc>
        <w:tc>
          <w:tcPr>
            <w:tcW w:type="dxa" w:w="1187"/>
          </w:tcPr>
          <w:p>
            <w:pPr>
              <w:pStyle w:val="Compact"/>
              <w:keepNext/>
              <w:keepLines/>
              <w:spacing w:before="0" w:after="40" w:line="240" w:lineRule="auto"/>
              <w:jc w:val="center"/>
            </w:pPr>
            <w:r>
              <w:rPr>
                <w:sz w:val="18"/>
              </w:rPr>
              <w:t xml:space="preserve">Dongs with price</w:t>
            </w:r>
          </w:p>
        </w:tc>
        <w:tc>
          <w:tcPr>
            <w:tcW w:type="dxa" w:w="1187"/>
          </w:tcPr>
          <w:p>
            <w:pPr>
              <w:pStyle w:val="Compact"/>
              <w:keepNext/>
              <w:keepLines/>
              <w:spacing w:before="0" w:after="40" w:line="240" w:lineRule="auto"/>
              <w:jc w:val="center"/>
            </w:pPr>
            <w:r>
              <w:rPr>
                <w:sz w:val="18"/>
              </w:rPr>
              <w:t xml:space="preserve">Pooled share</w:t>
            </w:r>
          </w:p>
        </w:tc>
        <w:tc>
          <w:tcPr>
            <w:tcW w:type="dxa" w:w="1187"/>
          </w:tcPr>
          <w:p>
            <w:pPr>
              <w:pStyle w:val="Compact"/>
              <w:keepNext/>
              <w:keepLines/>
              <w:spacing w:before="0" w:after="40" w:line="240" w:lineRule="auto"/>
              <w:jc w:val="center"/>
            </w:pPr>
            <w:r>
              <w:rPr>
                <w:sz w:val="18"/>
              </w:rPr>
              <w:t xml:space="preserve">In-zone early share</w:t>
            </w:r>
          </w:p>
        </w:tc>
        <w:tc>
          <w:tcPr>
            <w:tcW w:type="dxa" w:w="1424"/>
          </w:tcPr>
          <w:p>
            <w:pPr>
              <w:pStyle w:val="Compact"/>
              <w:keepNext/>
              <w:keepLines/>
              <w:spacing w:before="0" w:after="40" w:line="240" w:lineRule="auto"/>
              <w:jc w:val="center"/>
            </w:pPr>
            <w:r>
              <w:rPr>
                <w:sz w:val="18"/>
              </w:rPr>
              <w:t xml:space="preserve">Out-of-zone share of early ballots</w:t>
            </w:r>
          </w:p>
        </w:tc>
        <w:tc>
          <w:tcPr>
            <w:tcW w:type="dxa" w:w="1187"/>
          </w:tcPr>
          <w:p>
            <w:pPr>
              <w:pStyle w:val="Compact"/>
              <w:keepNext/>
              <w:keepLines/>
              <w:spacing w:before="0" w:after="40" w:line="240" w:lineRule="auto"/>
              <w:jc w:val="center"/>
            </w:pPr>
            <w:r>
              <w:rPr>
                <w:sz w:val="18"/>
              </w:rPr>
              <w:t xml:space="preserve">Stations with forced movement</w:t>
            </w:r>
          </w:p>
        </w:tc>
      </w:tr>
      <w:tr>
        <w:trPr>
          <w:cantSplit/>
        </w:trPr>
        <w:tc>
          <w:tcPr>
            <w:tcW w:type="dxa" w:w="1305"/>
          </w:tcPr>
          <w:p>
            <w:pPr>
              <w:pStyle w:val="Compact"/>
              <w:keepNext w:val="0"/>
              <w:keepLines/>
              <w:spacing w:before="0" w:after="40" w:line="240" w:lineRule="auto"/>
              <w:jc w:val="left"/>
            </w:pPr>
            <w:r>
              <w:rPr>
                <w:sz w:val="18"/>
              </w:rPr>
              <w:t xml:space="preserve">2012 pres.</w:t>
            </w:r>
          </w:p>
        </w:tc>
        <w:tc>
          <w:tcPr>
            <w:tcW w:type="dxa" w:w="2136"/>
          </w:tcPr>
          <w:p>
            <w:pPr>
              <w:pStyle w:val="Compact"/>
              <w:keepNext w:val="0"/>
              <w:keepLines/>
              <w:spacing w:before="0" w:after="40" w:line="240" w:lineRule="auto"/>
              <w:jc w:val="center"/>
            </w:pPr>
            <w:r>
              <w:rPr>
                <w:sz w:val="18"/>
              </w:rPr>
              <w:t xml:space="preserve">25 gu</w:t>
            </w:r>
          </w:p>
        </w:tc>
        <w:tc>
          <w:tcPr>
            <w:tcW w:type="dxa" w:w="3205"/>
          </w:tcPr>
          <w:p>
            <w:pPr>
              <w:pStyle w:val="Compact"/>
              <w:keepNext w:val="0"/>
              <w:keepLines/>
              <w:spacing w:before="0" w:after="40" w:line="240" w:lineRule="auto"/>
              <w:jc w:val="center"/>
            </w:pPr>
            <w:r>
              <w:rPr>
                <w:sz w:val="18"/>
              </w:rPr>
              <w:t xml:space="preserve">–</w:t>
            </w:r>
          </w:p>
        </w:tc>
        <w:tc>
          <w:tcPr>
            <w:tcW w:type="dxa" w:w="1187"/>
          </w:tcPr>
          <w:p>
            <w:pPr>
              <w:pStyle w:val="Compact"/>
              <w:keepNext w:val="0"/>
              <w:keepLines/>
              <w:spacing w:before="0" w:after="40" w:line="240" w:lineRule="auto"/>
              <w:jc w:val="center"/>
            </w:pPr>
            <w:r>
              <w:rPr>
                <w:sz w:val="18"/>
              </w:rPr>
              <w:t xml:space="preserve">423</w:t>
            </w:r>
          </w:p>
        </w:tc>
        <w:tc>
          <w:tcPr>
            <w:tcW w:type="dxa" w:w="1187"/>
          </w:tcPr>
          <w:p>
            <w:pPr>
              <w:pStyle w:val="Compact"/>
              <w:keepNext w:val="0"/>
              <w:keepLines/>
              <w:spacing w:before="0" w:after="40" w:line="240" w:lineRule="auto"/>
              <w:jc w:val="center"/>
            </w:pPr>
            <w:r>
              <w:rPr>
                <w:sz w:val="18"/>
              </w:rPr>
              <w:t xml:space="preserve">414</w:t>
            </w:r>
          </w:p>
        </w:tc>
        <w:tc>
          <w:tcPr>
            <w:tcW w:type="dxa" w:w="1187"/>
          </w:tcPr>
          <w:p>
            <w:pPr>
              <w:pStyle w:val="Compact"/>
              <w:keepNext w:val="0"/>
              <w:keepLines/>
              <w:spacing w:before="0" w:after="40" w:line="240" w:lineRule="auto"/>
              <w:jc w:val="center"/>
            </w:pPr>
            <w:r>
              <w:rPr>
                <w:sz w:val="18"/>
              </w:rPr>
              <w:t xml:space="preserve">3.4%</w:t>
            </w:r>
          </w:p>
        </w:tc>
        <w:tc>
          <w:tcPr>
            <w:tcW w:type="dxa" w:w="1187"/>
          </w:tcPr>
          <w:p>
            <w:pPr>
              <w:pStyle w:val="Compact"/>
              <w:keepNext w:val="0"/>
              <w:keepLines/>
              <w:spacing w:before="0" w:after="40" w:line="240" w:lineRule="auto"/>
              <w:jc w:val="center"/>
            </w:pPr>
            <w:r>
              <w:rPr>
                <w:sz w:val="18"/>
              </w:rPr>
              <w:t xml:space="preserve">–</w:t>
            </w:r>
          </w:p>
        </w:tc>
        <w:tc>
          <w:tcPr>
            <w:tcW w:type="dxa" w:w="1424"/>
          </w:tcPr>
          <w:p>
            <w:pPr>
              <w:pStyle w:val="Compact"/>
              <w:keepNext w:val="0"/>
              <w:keepLines/>
              <w:spacing w:before="0" w:after="40" w:line="240" w:lineRule="auto"/>
              <w:jc w:val="center"/>
            </w:pPr>
            <w:r>
              <w:rPr>
                <w:sz w:val="18"/>
              </w:rPr>
              <w:t xml:space="preserve">–</w:t>
            </w:r>
          </w:p>
        </w:tc>
        <w:tc>
          <w:tcPr>
            <w:tcW w:type="dxa" w:w="1187"/>
          </w:tcPr>
          <w:p>
            <w:pPr>
              <w:pStyle w:val="Compact"/>
              <w:keepNext w:val="0"/>
              <w:keepLines/>
              <w:spacing w:before="0" w:after="40" w:line="240" w:lineRule="auto"/>
              <w:jc w:val="center"/>
            </w:pPr>
            <w:r>
              <w:rPr>
                <w:sz w:val="18"/>
              </w:rPr>
              <w:t xml:space="preserve">0</w:t>
            </w:r>
          </w:p>
        </w:tc>
      </w:tr>
      <w:tr>
        <w:trPr>
          <w:cantSplit/>
        </w:trPr>
        <w:tc>
          <w:tcPr>
            <w:tcW w:type="dxa" w:w="1305"/>
          </w:tcPr>
          <w:p>
            <w:pPr>
              <w:pStyle w:val="Compact"/>
              <w:keepNext w:val="0"/>
              <w:keepLines/>
              <w:spacing w:before="0" w:after="40" w:line="240" w:lineRule="auto"/>
              <w:jc w:val="left"/>
            </w:pPr>
            <w:r>
              <w:rPr>
                <w:sz w:val="18"/>
              </w:rPr>
              <w:t xml:space="preserve">2017 pres.</w:t>
            </w:r>
          </w:p>
        </w:tc>
        <w:tc>
          <w:tcPr>
            <w:tcW w:type="dxa" w:w="2136"/>
          </w:tcPr>
          <w:p>
            <w:pPr>
              <w:pStyle w:val="Compact"/>
              <w:keepNext w:val="0"/>
              <w:keepLines/>
              <w:spacing w:before="0" w:after="40" w:line="240" w:lineRule="auto"/>
              <w:jc w:val="center"/>
            </w:pPr>
            <w:r>
              <w:rPr>
                <w:sz w:val="18"/>
              </w:rPr>
              <w:t xml:space="preserve">25 gu</w:t>
            </w:r>
          </w:p>
        </w:tc>
        <w:tc>
          <w:tcPr>
            <w:tcW w:type="dxa" w:w="3205"/>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424</w:t>
            </w:r>
          </w:p>
        </w:tc>
        <w:tc>
          <w:tcPr>
            <w:tcW w:type="dxa" w:w="1187"/>
          </w:tcPr>
          <w:p>
            <w:pPr>
              <w:pStyle w:val="Compact"/>
              <w:keepNext w:val="0"/>
              <w:keepLines/>
              <w:spacing w:before="0" w:after="40" w:line="240" w:lineRule="auto"/>
              <w:jc w:val="center"/>
            </w:pPr>
            <w:r>
              <w:rPr>
                <w:sz w:val="18"/>
              </w:rPr>
              <w:t xml:space="preserve">421</w:t>
            </w:r>
          </w:p>
        </w:tc>
        <w:tc>
          <w:tcPr>
            <w:tcW w:type="dxa" w:w="1187"/>
          </w:tcPr>
          <w:p>
            <w:pPr>
              <w:pStyle w:val="Compact"/>
              <w:keepNext w:val="0"/>
              <w:keepLines/>
              <w:spacing w:before="0" w:after="40" w:line="240" w:lineRule="auto"/>
              <w:jc w:val="center"/>
            </w:pPr>
            <w:r>
              <w:rPr>
                <w:sz w:val="18"/>
              </w:rPr>
              <w:t xml:space="preserve">12.8%</w:t>
            </w:r>
          </w:p>
        </w:tc>
        <w:tc>
          <w:tcPr>
            <w:tcW w:type="dxa" w:w="1187"/>
          </w:tcPr>
          <w:p>
            <w:pPr>
              <w:pStyle w:val="Compact"/>
              <w:keepNext w:val="0"/>
              <w:keepLines/>
              <w:spacing w:before="0" w:after="40" w:line="240" w:lineRule="auto"/>
              <w:jc w:val="center"/>
            </w:pPr>
            <w:r>
              <w:rPr>
                <w:sz w:val="18"/>
              </w:rPr>
              <w:t xml:space="preserve">21.7%</w:t>
            </w:r>
          </w:p>
        </w:tc>
        <w:tc>
          <w:tcPr>
            <w:tcW w:type="dxa" w:w="1424"/>
          </w:tcPr>
          <w:p>
            <w:pPr>
              <w:pStyle w:val="Compact"/>
              <w:keepNext w:val="0"/>
              <w:keepLines/>
              <w:spacing w:before="0" w:after="40" w:line="240" w:lineRule="auto"/>
              <w:jc w:val="center"/>
            </w:pPr>
            <w:r>
              <w:rPr>
                <w:sz w:val="18"/>
              </w:rPr>
              <w:t xml:space="preserve">34.6%</w:t>
            </w:r>
          </w:p>
        </w:tc>
        <w:tc>
          <w:tcPr>
            <w:tcW w:type="dxa" w:w="1187"/>
          </w:tcPr>
          <w:p>
            <w:pPr>
              <w:pStyle w:val="Compact"/>
              <w:keepNext w:val="0"/>
              <w:keepLines/>
              <w:spacing w:before="0" w:after="40" w:line="240" w:lineRule="auto"/>
              <w:jc w:val="center"/>
            </w:pPr>
            <w:r>
              <w:rPr>
                <w:sz w:val="18"/>
              </w:rPr>
              <w:t xml:space="preserve">5</w:t>
            </w:r>
          </w:p>
        </w:tc>
      </w:tr>
      <w:tr>
        <w:trPr>
          <w:cantSplit/>
        </w:trPr>
        <w:tc>
          <w:tcPr>
            <w:tcW w:type="dxa" w:w="1305"/>
          </w:tcPr>
          <w:p>
            <w:pPr>
              <w:pStyle w:val="Compact"/>
              <w:keepNext w:val="0"/>
              <w:keepLines/>
              <w:spacing w:before="0" w:after="40" w:line="240" w:lineRule="auto"/>
              <w:jc w:val="left"/>
            </w:pPr>
            <w:r>
              <w:rPr>
                <w:sz w:val="18"/>
              </w:rPr>
              <w:t xml:space="preserve">2022 pres.</w:t>
            </w:r>
          </w:p>
        </w:tc>
        <w:tc>
          <w:tcPr>
            <w:tcW w:type="dxa" w:w="2136"/>
          </w:tcPr>
          <w:p>
            <w:pPr>
              <w:pStyle w:val="Compact"/>
              <w:keepNext w:val="0"/>
              <w:keepLines/>
              <w:spacing w:before="0" w:after="40" w:line="240" w:lineRule="auto"/>
              <w:jc w:val="center"/>
            </w:pPr>
            <w:r>
              <w:rPr>
                <w:sz w:val="18"/>
              </w:rPr>
              <w:t xml:space="preserve">25 gu</w:t>
            </w:r>
          </w:p>
        </w:tc>
        <w:tc>
          <w:tcPr>
            <w:tcW w:type="dxa" w:w="3205"/>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425</w:t>
            </w:r>
          </w:p>
        </w:tc>
        <w:tc>
          <w:tcPr>
            <w:tcW w:type="dxa" w:w="1187"/>
          </w:tcPr>
          <w:p>
            <w:pPr>
              <w:pStyle w:val="Compact"/>
              <w:keepNext w:val="0"/>
              <w:keepLines/>
              <w:spacing w:before="0" w:after="40" w:line="240" w:lineRule="auto"/>
              <w:jc w:val="center"/>
            </w:pPr>
            <w:r>
              <w:rPr>
                <w:sz w:val="18"/>
              </w:rPr>
              <w:t xml:space="preserve">420</w:t>
            </w:r>
          </w:p>
        </w:tc>
        <w:tc>
          <w:tcPr>
            <w:tcW w:type="dxa" w:w="1187"/>
          </w:tcPr>
          <w:p>
            <w:pPr>
              <w:pStyle w:val="Compact"/>
              <w:keepNext w:val="0"/>
              <w:keepLines/>
              <w:spacing w:before="0" w:after="40" w:line="240" w:lineRule="auto"/>
              <w:jc w:val="center"/>
            </w:pPr>
            <w:r>
              <w:rPr>
                <w:sz w:val="18"/>
              </w:rPr>
              <w:t xml:space="preserve">13.5%</w:t>
            </w:r>
          </w:p>
        </w:tc>
        <w:tc>
          <w:tcPr>
            <w:tcW w:type="dxa" w:w="1187"/>
          </w:tcPr>
          <w:p>
            <w:pPr>
              <w:pStyle w:val="Compact"/>
              <w:keepNext w:val="0"/>
              <w:keepLines/>
              <w:spacing w:before="0" w:after="40" w:line="240" w:lineRule="auto"/>
              <w:jc w:val="center"/>
            </w:pPr>
            <w:r>
              <w:rPr>
                <w:sz w:val="18"/>
              </w:rPr>
              <w:t xml:space="preserve">35.3%</w:t>
            </w:r>
          </w:p>
        </w:tc>
        <w:tc>
          <w:tcPr>
            <w:tcW w:type="dxa" w:w="1424"/>
          </w:tcPr>
          <w:p>
            <w:pPr>
              <w:pStyle w:val="Compact"/>
              <w:keepNext w:val="0"/>
              <w:keepLines/>
              <w:spacing w:before="0" w:after="40" w:line="240" w:lineRule="auto"/>
              <w:jc w:val="center"/>
            </w:pPr>
            <w:r>
              <w:rPr>
                <w:sz w:val="18"/>
              </w:rPr>
              <w:t xml:space="preserve">26.1%</w:t>
            </w:r>
          </w:p>
        </w:tc>
        <w:tc>
          <w:tcPr>
            <w:tcW w:type="dxa" w:w="1187"/>
          </w:tcPr>
          <w:p>
            <w:pPr>
              <w:pStyle w:val="Compact"/>
              <w:keepNext w:val="0"/>
              <w:keepLines/>
              <w:spacing w:before="0" w:after="40" w:line="240" w:lineRule="auto"/>
              <w:jc w:val="center"/>
            </w:pPr>
            <w:r>
              <w:rPr>
                <w:sz w:val="18"/>
              </w:rPr>
              <w:t xml:space="preserve">20</w:t>
            </w:r>
          </w:p>
        </w:tc>
      </w:tr>
      <w:tr>
        <w:trPr>
          <w:cantSplit/>
        </w:trPr>
        <w:tc>
          <w:tcPr>
            <w:tcW w:type="dxa" w:w="1305"/>
          </w:tcPr>
          <w:p>
            <w:pPr>
              <w:pStyle w:val="Compact"/>
              <w:keepNext w:val="0"/>
              <w:keepLines/>
              <w:spacing w:before="0" w:after="40" w:line="240" w:lineRule="auto"/>
              <w:jc w:val="left"/>
            </w:pPr>
            <w:r>
              <w:rPr>
                <w:sz w:val="18"/>
              </w:rPr>
              <w:t xml:space="preserve">2024 leg.</w:t>
            </w:r>
          </w:p>
        </w:tc>
        <w:tc>
          <w:tcPr>
            <w:tcW w:type="dxa" w:w="2136"/>
          </w:tcPr>
          <w:p>
            <w:pPr>
              <w:pStyle w:val="Compact"/>
              <w:keepNext w:val="0"/>
              <w:keepLines/>
              <w:spacing w:before="0" w:after="40" w:line="240" w:lineRule="auto"/>
              <w:jc w:val="center"/>
            </w:pPr>
            <w:r>
              <w:rPr>
                <w:sz w:val="18"/>
              </w:rPr>
              <w:t xml:space="preserve">48 constituencies</w:t>
            </w:r>
          </w:p>
        </w:tc>
        <w:tc>
          <w:tcPr>
            <w:tcW w:type="dxa" w:w="3205"/>
          </w:tcPr>
          <w:p>
            <w:pPr>
              <w:pStyle w:val="Compact"/>
              <w:keepNext w:val="0"/>
              <w:keepLines/>
              <w:spacing w:before="0" w:after="40" w:line="240" w:lineRule="auto"/>
              <w:jc w:val="center"/>
            </w:pPr>
            <w:r>
              <w:rPr>
                <w:sz w:val="18"/>
              </w:rPr>
              <w:t xml:space="preserve">48 constituencies</w:t>
            </w:r>
          </w:p>
        </w:tc>
        <w:tc>
          <w:tcPr>
            <w:tcW w:type="dxa" w:w="1187"/>
          </w:tcPr>
          <w:p>
            <w:pPr>
              <w:pStyle w:val="Compact"/>
              <w:keepNext w:val="0"/>
              <w:keepLines/>
              <w:spacing w:before="0" w:after="40" w:line="240" w:lineRule="auto"/>
              <w:jc w:val="center"/>
            </w:pPr>
            <w:r>
              <w:rPr>
                <w:sz w:val="18"/>
              </w:rPr>
              <w:t xml:space="preserve">425</w:t>
            </w:r>
          </w:p>
        </w:tc>
        <w:tc>
          <w:tcPr>
            <w:tcW w:type="dxa" w:w="1187"/>
          </w:tcPr>
          <w:p>
            <w:pPr>
              <w:pStyle w:val="Compact"/>
              <w:keepNext w:val="0"/>
              <w:keepLines/>
              <w:spacing w:before="0" w:after="40" w:line="240" w:lineRule="auto"/>
              <w:jc w:val="center"/>
            </w:pPr>
            <w:r>
              <w:rPr>
                <w:sz w:val="18"/>
              </w:rPr>
              <w:t xml:space="preserve">418</w:t>
            </w:r>
          </w:p>
        </w:tc>
        <w:tc>
          <w:tcPr>
            <w:tcW w:type="dxa" w:w="1187"/>
          </w:tcPr>
          <w:p>
            <w:pPr>
              <w:pStyle w:val="Compact"/>
              <w:keepNext w:val="0"/>
              <w:keepLines/>
              <w:spacing w:before="0" w:after="40" w:line="240" w:lineRule="auto"/>
              <w:jc w:val="center"/>
            </w:pPr>
            <w:r>
              <w:rPr>
                <w:sz w:val="18"/>
              </w:rPr>
              <w:t xml:space="preserve">12.9%</w:t>
            </w:r>
          </w:p>
        </w:tc>
        <w:tc>
          <w:tcPr>
            <w:tcW w:type="dxa" w:w="1187"/>
          </w:tcPr>
          <w:p>
            <w:pPr>
              <w:pStyle w:val="Compact"/>
              <w:keepNext w:val="0"/>
              <w:keepLines/>
              <w:spacing w:before="0" w:after="40" w:line="240" w:lineRule="auto"/>
              <w:jc w:val="center"/>
            </w:pPr>
            <w:r>
              <w:rPr>
                <w:sz w:val="18"/>
              </w:rPr>
              <w:t xml:space="preserve">34.8%</w:t>
            </w:r>
          </w:p>
        </w:tc>
        <w:tc>
          <w:tcPr>
            <w:tcW w:type="dxa" w:w="1424"/>
          </w:tcPr>
          <w:p>
            <w:pPr>
              <w:pStyle w:val="Compact"/>
              <w:keepNext w:val="0"/>
              <w:keepLines/>
              <w:spacing w:before="0" w:after="40" w:line="240" w:lineRule="auto"/>
              <w:jc w:val="center"/>
            </w:pPr>
            <w:r>
              <w:rPr>
                <w:sz w:val="18"/>
              </w:rPr>
              <w:t xml:space="preserve">26.1%</w:t>
            </w:r>
          </w:p>
        </w:tc>
        <w:tc>
          <w:tcPr>
            <w:tcW w:type="dxa" w:w="1187"/>
          </w:tcPr>
          <w:p>
            <w:pPr>
              <w:pStyle w:val="Compact"/>
              <w:keepNext w:val="0"/>
              <w:keepLines/>
              <w:spacing w:before="0" w:after="40" w:line="240" w:lineRule="auto"/>
              <w:jc w:val="center"/>
            </w:pPr>
            <w:r>
              <w:rPr>
                <w:sz w:val="18"/>
              </w:rPr>
              <w:t xml:space="preserve">20</w:t>
            </w:r>
          </w:p>
        </w:tc>
      </w:tr>
      <w:tr>
        <w:trPr>
          <w:cantSplit/>
        </w:trPr>
        <w:tc>
          <w:tcPr>
            <w:tcW w:type="dxa" w:w="1305"/>
          </w:tcPr>
          <w:p>
            <w:pPr>
              <w:pStyle w:val="Compact"/>
              <w:keepNext w:val="0"/>
              <w:keepLines/>
              <w:spacing w:before="0" w:after="40" w:line="240" w:lineRule="auto"/>
              <w:jc w:val="left"/>
            </w:pPr>
            <w:r>
              <w:rPr>
                <w:sz w:val="18"/>
              </w:rPr>
              <w:t xml:space="preserve">2025 pres.</w:t>
            </w:r>
          </w:p>
        </w:tc>
        <w:tc>
          <w:tcPr>
            <w:tcW w:type="dxa" w:w="2136"/>
          </w:tcPr>
          <w:p>
            <w:pPr>
              <w:pStyle w:val="Compact"/>
              <w:keepNext w:val="0"/>
              <w:keepLines/>
              <w:spacing w:before="0" w:after="40" w:line="240" w:lineRule="auto"/>
              <w:jc w:val="center"/>
            </w:pPr>
            <w:r>
              <w:rPr>
                <w:sz w:val="18"/>
              </w:rPr>
              <w:t xml:space="preserve">25 gu</w:t>
            </w:r>
          </w:p>
        </w:tc>
        <w:tc>
          <w:tcPr>
            <w:tcW w:type="dxa" w:w="3205"/>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426</w:t>
            </w:r>
          </w:p>
        </w:tc>
        <w:tc>
          <w:tcPr>
            <w:tcW w:type="dxa" w:w="1187"/>
          </w:tcPr>
          <w:p>
            <w:pPr>
              <w:pStyle w:val="Compact"/>
              <w:keepNext w:val="0"/>
              <w:keepLines/>
              <w:spacing w:before="0" w:after="40" w:line="240" w:lineRule="auto"/>
              <w:jc w:val="center"/>
            </w:pPr>
            <w:r>
              <w:rPr>
                <w:sz w:val="18"/>
              </w:rPr>
              <w:t xml:space="preserve">420</w:t>
            </w:r>
          </w:p>
        </w:tc>
        <w:tc>
          <w:tcPr>
            <w:tcW w:type="dxa" w:w="1187"/>
          </w:tcPr>
          <w:p>
            <w:pPr>
              <w:pStyle w:val="Compact"/>
              <w:keepNext w:val="0"/>
              <w:keepLines/>
              <w:spacing w:before="0" w:after="40" w:line="240" w:lineRule="auto"/>
              <w:jc w:val="center"/>
            </w:pPr>
            <w:r>
              <w:rPr>
                <w:sz w:val="18"/>
              </w:rPr>
              <w:t xml:space="preserve">14.7%</w:t>
            </w:r>
          </w:p>
        </w:tc>
        <w:tc>
          <w:tcPr>
            <w:tcW w:type="dxa" w:w="1187"/>
          </w:tcPr>
          <w:p>
            <w:pPr>
              <w:pStyle w:val="Compact"/>
              <w:keepNext w:val="0"/>
              <w:keepLines/>
              <w:spacing w:before="0" w:after="40" w:line="240" w:lineRule="auto"/>
              <w:jc w:val="center"/>
            </w:pPr>
            <w:r>
              <w:rPr>
                <w:sz w:val="18"/>
              </w:rPr>
              <w:t xml:space="preserve">29.2%</w:t>
            </w:r>
          </w:p>
        </w:tc>
        <w:tc>
          <w:tcPr>
            <w:tcW w:type="dxa" w:w="1424"/>
          </w:tcPr>
          <w:p>
            <w:pPr>
              <w:pStyle w:val="Compact"/>
              <w:keepNext w:val="0"/>
              <w:keepLines/>
              <w:spacing w:before="0" w:after="40" w:line="240" w:lineRule="auto"/>
              <w:jc w:val="center"/>
            </w:pPr>
            <w:r>
              <w:rPr>
                <w:sz w:val="18"/>
              </w:rPr>
              <w:t xml:space="preserve">31.7%</w:t>
            </w:r>
          </w:p>
        </w:tc>
        <w:tc>
          <w:tcPr>
            <w:tcW w:type="dxa" w:w="1187"/>
          </w:tcPr>
          <w:p>
            <w:pPr>
              <w:pStyle w:val="Compact"/>
              <w:keepNext w:val="0"/>
              <w:keepLines/>
              <w:spacing w:before="0" w:after="40" w:line="240" w:lineRule="auto"/>
              <w:jc w:val="center"/>
            </w:pPr>
            <w:r>
              <w:rPr>
                <w:sz w:val="18"/>
              </w:rPr>
              <w:t xml:space="preserve">13</w:t>
            </w:r>
          </w:p>
        </w:tc>
      </w:tr>
      <w:tr>
        <w:trPr>
          <w:cantSplit/>
        </w:trPr>
        <w:tc>
          <w:tcPr>
            <w:tcW w:type="dxa" w:w="1305"/>
          </w:tcPr>
          <w:p>
            <w:pPr>
              <w:pStyle w:val="Compact"/>
              <w:keepNext w:val="0"/>
              <w:keepLines/>
              <w:spacing w:before="0" w:after="40" w:line="240" w:lineRule="auto"/>
              <w:jc w:val="left"/>
            </w:pPr>
            <w:r>
              <w:rPr>
                <w:sz w:val="18"/>
              </w:rPr>
              <w:t xml:space="preserve">2026 mayor</w:t>
            </w:r>
          </w:p>
        </w:tc>
        <w:tc>
          <w:tcPr>
            <w:tcW w:type="dxa" w:w="2136"/>
          </w:tcPr>
          <w:p>
            <w:pPr>
              <w:pStyle w:val="Compact"/>
              <w:keepNext w:val="0"/>
              <w:keepLines/>
              <w:spacing w:before="0" w:after="40" w:line="240" w:lineRule="auto"/>
              <w:jc w:val="center"/>
            </w:pPr>
            <w:r>
              <w:rPr>
                <w:sz w:val="18"/>
              </w:rPr>
              <w:t xml:space="preserve">25 gu</w:t>
            </w:r>
          </w:p>
        </w:tc>
        <w:tc>
          <w:tcPr>
            <w:tcW w:type="dxa" w:w="3205"/>
          </w:tcPr>
          <w:p>
            <w:pPr>
              <w:pStyle w:val="Compact"/>
              <w:keepNext w:val="0"/>
              <w:keepLines/>
              <w:spacing w:before="0" w:after="40" w:line="240" w:lineRule="auto"/>
              <w:jc w:val="center"/>
            </w:pPr>
            <w:r>
              <w:rPr>
                <w:sz w:val="18"/>
              </w:rPr>
              <w:t xml:space="preserve">155 council constituencies</w:t>
            </w:r>
          </w:p>
        </w:tc>
        <w:tc>
          <w:tcPr>
            <w:tcW w:type="dxa" w:w="1187"/>
          </w:tcPr>
          <w:p>
            <w:pPr>
              <w:pStyle w:val="Compact"/>
              <w:keepNext w:val="0"/>
              <w:keepLines/>
              <w:spacing w:before="0" w:after="40" w:line="240" w:lineRule="auto"/>
              <w:jc w:val="center"/>
            </w:pPr>
            <w:r>
              <w:rPr>
                <w:sz w:val="18"/>
              </w:rPr>
              <w:t xml:space="preserve">427</w:t>
            </w:r>
          </w:p>
        </w:tc>
        <w:tc>
          <w:tcPr>
            <w:tcW w:type="dxa" w:w="1187"/>
          </w:tcPr>
          <w:p>
            <w:pPr>
              <w:pStyle w:val="Compact"/>
              <w:keepNext w:val="0"/>
              <w:keepLines/>
              <w:spacing w:before="0" w:after="40" w:line="240" w:lineRule="auto"/>
              <w:jc w:val="center"/>
            </w:pPr>
            <w:r>
              <w:rPr>
                <w:sz w:val="18"/>
              </w:rPr>
              <w:t xml:space="preserve">423</w:t>
            </w:r>
          </w:p>
        </w:tc>
        <w:tc>
          <w:tcPr>
            <w:tcW w:type="dxa" w:w="1187"/>
          </w:tcPr>
          <w:p>
            <w:pPr>
              <w:pStyle w:val="Compact"/>
              <w:keepNext w:val="0"/>
              <w:keepLines/>
              <w:spacing w:before="0" w:after="40" w:line="240" w:lineRule="auto"/>
              <w:jc w:val="center"/>
            </w:pPr>
            <w:r>
              <w:rPr>
                <w:sz w:val="18"/>
              </w:rPr>
              <w:t xml:space="preserve">12.1%</w:t>
            </w:r>
          </w:p>
        </w:tc>
        <w:tc>
          <w:tcPr>
            <w:tcW w:type="dxa" w:w="1187"/>
          </w:tcPr>
          <w:p>
            <w:pPr>
              <w:pStyle w:val="Compact"/>
              <w:keepNext w:val="0"/>
              <w:keepLines/>
              <w:spacing w:before="0" w:after="40" w:line="240" w:lineRule="auto"/>
              <w:jc w:val="center"/>
            </w:pPr>
            <w:r>
              <w:rPr>
                <w:sz w:val="18"/>
              </w:rPr>
              <w:t xml:space="preserve">25.6%</w:t>
            </w:r>
          </w:p>
        </w:tc>
        <w:tc>
          <w:tcPr>
            <w:tcW w:type="dxa" w:w="1424"/>
          </w:tcPr>
          <w:p>
            <w:pPr>
              <w:pStyle w:val="Compact"/>
              <w:keepNext w:val="0"/>
              <w:keepLines/>
              <w:spacing w:before="0" w:after="40" w:line="240" w:lineRule="auto"/>
              <w:jc w:val="center"/>
            </w:pPr>
            <w:r>
              <w:rPr>
                <w:sz w:val="18"/>
              </w:rPr>
              <w:t xml:space="preserve">31.8%</w:t>
            </w:r>
          </w:p>
        </w:tc>
        <w:tc>
          <w:tcPr>
            <w:tcW w:type="dxa" w:w="1187"/>
          </w:tcPr>
          <w:p>
            <w:pPr>
              <w:pStyle w:val="Compact"/>
              <w:keepNext w:val="0"/>
              <w:keepLines/>
              <w:spacing w:before="0" w:after="40" w:line="240" w:lineRule="auto"/>
              <w:jc w:val="center"/>
            </w:pPr>
            <w:r>
              <w:rPr>
                <w:sz w:val="18"/>
              </w:rPr>
              <w:t xml:space="preserve">8</w:t>
            </w:r>
          </w:p>
        </w:tc>
      </w:tr>
    </w:tbl>
    <w:p>
      <w:pPr>
        <w:pStyle w:val="BodyText"/>
        <w:spacing w:line="240" w:lineRule="auto" w:before="80" w:after="120"/>
      </w:pPr>
      <w:r>
        <w:rPr>
          <w:iCs/>
          <w:i/>
          <w:sz w:val="18"/>
        </w:rPr>
        <w:t xml:space="preserve">Notes.</w:t>
      </w:r>
      <w:r>
        <w:rPr>
          <w:sz w:val="18"/>
        </w:rPr>
        <w:t xml:space="preserve"> </w:t>
      </w:r>
      <w:r>
        <w:rPr>
          <w:sz w:val="18"/>
        </w:rPr>
        <w:t xml:space="preserve">Shares are of all ballots cast in Seoul. Pooled ballots: out-of-zone early, at-home, shipboard and overseas.</w:t>
      </w:r>
      <w:r>
        <w:rPr>
          <w:sz w:val="18"/>
        </w:rPr>
        <w:t xml:space="preserve"> </w:t>
      </w:r>
      <w:r>
        <w:rPr>
          <w:sz w:val="18"/>
        </w:rPr>
        <w:t xml:space="preserve">“</w:t>
      </w:r>
      <w:r>
        <w:rPr>
          <w:sz w:val="18"/>
        </w:rPr>
        <w:t xml:space="preserve">Out-of-zone share of early ballots</w:t>
      </w:r>
      <w:r>
        <w:rPr>
          <w:sz w:val="18"/>
        </w:rPr>
        <w:t xml:space="preserve">”</w:t>
      </w:r>
      <w:r>
        <w:rPr>
          <w:sz w:val="18"/>
        </w:rPr>
        <w:t xml:space="preserve"> </w:t>
      </w:r>
      <w:r>
        <w:rPr>
          <w:sz w:val="18"/>
        </w:rPr>
        <w:t xml:space="preserve">is P/(P+K) over Seoul. Forced movement: stations whose in-zone early ballots exceed their dong’s removed residents (r_j &gt; 0). 2012 had no in-zone early voting.</w:t>
      </w:r>
    </w:p>
    <w:p>
      <w:pPr>
        <w:sectPr>
          <w:pgMar w:top="1417" w:bottom="1417" w:left="1417" w:right="1417"/>
          <w:pgSz w:w="16838" w:h="11906" w:orient="landscape"/>
          <w:type w:val="nextPage"/>
        </w:sectPr>
      </w:pPr>
    </w:p>
    <w:bookmarkEnd w:id="26"/>
    <w:bookmarkStart w:id="27" w:name="identification"/>
    <w:p>
      <w:pPr>
        <w:pStyle w:val="Heading2"/>
      </w:pPr>
      <w:r>
        <w:t xml:space="preserve">3.3 Identification</w:t>
      </w:r>
    </w:p>
    <w:p>
      <w:pPr>
        <w:pStyle w:val="FirstParagraph"/>
      </w:pPr>
      <w:r>
        <w:rPr>
          <w:iCs/>
          <w:i/>
        </w:rPr>
        <w:t xml:space="preserve">An illustrative district.</w:t>
      </w:r>
    </w:p>
    <w:p>
      <w:pPr>
        <w:pStyle w:val="BodyText"/>
      </w:pPr>
      <w:r>
        <w:t xml:space="preserve">Consider a district with two neighborhoods,</w:t>
      </w:r>
      <w:r>
        <w:t xml:space="preserve"> </w:t>
      </w:r>
      <m:oMath>
        <m:r>
          <m:t>a</m:t>
        </m:r>
      </m:oMath>
      <w:r>
        <w:t xml:space="preserve"> </w:t>
      </w:r>
      <w:r>
        <w:t xml:space="preserve">and</w:t>
      </w:r>
      <w:r>
        <w:t xml:space="preserve"> </w:t>
      </w:r>
      <m:oMath>
        <m:r>
          <m:t>b</m:t>
        </m:r>
      </m:oMath>
      <w:r>
        <w:t xml:space="preserve">, each with 1,000 residents who cast a ballot. Of these, 600 in each neighborhood voted on election day, and candidate X received 330 ballots in</w:t>
      </w:r>
      <w:r>
        <w:t xml:space="preserve"> </w:t>
      </w:r>
      <m:oMath>
        <m:r>
          <m:t>a</m:t>
        </m:r>
      </m:oMath>
      <w:r>
        <w:t xml:space="preserve"> </w:t>
      </w:r>
      <w:r>
        <w:t xml:space="preserve">and 270 in</w:t>
      </w:r>
      <w:r>
        <w:t xml:space="preserve"> </w:t>
      </w:r>
      <m:oMath>
        <m:r>
          <m:t>b</m:t>
        </m:r>
      </m:oMath>
      <w:r>
        <w:t xml:space="preserve">. Each neighborhood’s early station counted 300 ballots, 150 for X at</w:t>
      </w:r>
      <w:r>
        <w:t xml:space="preserve"> </w:t>
      </w:r>
      <m:oMath>
        <m:r>
          <m:t>a</m:t>
        </m:r>
      </m:oMath>
      <w:r>
        <w:t xml:space="preserve">’s station and 120 at</w:t>
      </w:r>
      <w:r>
        <w:t xml:space="preserve"> </w:t>
      </w:r>
      <m:oMath>
        <m:r>
          <m:t>b</m:t>
        </m:r>
      </m:oMath>
      <w:r>
        <w:t xml:space="preserve">’s. The district reports 200 out-of-zone early ballots, 120 of them for X. Suppose 300 residents of each neighborhood voted early in the zone and 100 outside it.</w:t>
      </w:r>
    </w:p>
    <w:p>
      <w:pPr>
        <w:pStyle w:val="BodyText"/>
      </w:pPr>
      <w:r>
        <w:t xml:space="preserve">Two things are unknown.</w:t>
      </w:r>
      <w:r>
        <w:t xml:space="preserve"> </w:t>
      </w:r>
      <w:r>
        <w:rPr>
          <w:iCs/>
          <w:i/>
        </w:rPr>
        <w:t xml:space="preserve">Movement</w:t>
      </w:r>
      <w:r>
        <w:t xml:space="preserve">: if 30 residents of</w:t>
      </w:r>
      <w:r>
        <w:t xml:space="preserve"> </w:t>
      </w:r>
      <m:oMath>
        <m:r>
          <m:t>a</m:t>
        </m:r>
      </m:oMath>
      <w:r>
        <w:t xml:space="preserve"> </w:t>
      </w:r>
      <w:r>
        <w:t xml:space="preserve">voted at</w:t>
      </w:r>
      <w:r>
        <w:t xml:space="preserve"> </w:t>
      </w:r>
      <m:oMath>
        <m:r>
          <m:t>b</m:t>
        </m:r>
      </m:oMath>
      <w:r>
        <w:t xml:space="preserve">’s station and 30 residents of</w:t>
      </w:r>
      <w:r>
        <w:t xml:space="preserve"> </w:t>
      </w:r>
      <m:oMath>
        <m:r>
          <m:t>b</m:t>
        </m:r>
      </m:oMath>
      <w:r>
        <w:t xml:space="preserve"> </w:t>
      </w:r>
      <w:r>
        <w:t xml:space="preserve">at</w:t>
      </w:r>
      <w:r>
        <w:t xml:space="preserve"> </w:t>
      </w:r>
      <m:oMath>
        <m:r>
          <m:t>a</m:t>
        </m:r>
      </m:oMath>
      <w:r>
        <w:t xml:space="preserve">’s, the station counts are unchanged, but</w:t>
      </w:r>
      <w:r>
        <w:t xml:space="preserve"> </w:t>
      </w:r>
      <m:oMath>
        <m:r>
          <m:t>a</m:t>
        </m:r>
      </m:oMath>
      <w:r>
        <w:t xml:space="preserve">’s residents may have cast anywhere from 30 more to 30 fewer X ballots than its station shows, a change of 3 percentage points in</w:t>
      </w:r>
      <w:r>
        <w:t xml:space="preserve"> </w:t>
      </w:r>
      <m:oMath>
        <m:r>
          <m:t>a</m:t>
        </m:r>
      </m:oMath>
      <w:r>
        <w:t xml:space="preserve">’s share.</w:t>
      </w:r>
      <w:r>
        <w:t xml:space="preserve"> </w:t>
      </w:r>
      <w:r>
        <w:rPr>
          <w:iCs/>
          <w:i/>
        </w:rPr>
        <w:t xml:space="preserve">Pooling</w:t>
      </w:r>
      <w:r>
        <w:t xml:space="preserve">: the 120 pooled X ballots may be split so that</w:t>
      </w:r>
      <w:r>
        <w:t xml:space="preserve"> </w:t>
      </w:r>
      <m:oMath>
        <m:r>
          <m:t>a</m:t>
        </m:r>
      </m:oMath>
      <w:r>
        <w:t xml:space="preserve"> </w:t>
      </w:r>
      <w:r>
        <w:t xml:space="preserve">receives anywhere from 20 to 100 of them, a further 8-point range. The district’s share of X is the same in every case; how it divides between</w:t>
      </w:r>
      <w:r>
        <w:t xml:space="preserve"> </w:t>
      </w:r>
      <m:oMath>
        <m:r>
          <m:t>a</m:t>
        </m:r>
      </m:oMath>
      <w:r>
        <w:t xml:space="preserve"> </w:t>
      </w:r>
      <w:r>
        <w:t xml:space="preserve">and</w:t>
      </w:r>
      <w:r>
        <w:t xml:space="preserve"> </w:t>
      </w:r>
      <m:oMath>
        <m:r>
          <m:t>b</m:t>
        </m:r>
      </m:oMath>
      <w:r>
        <w:t xml:space="preserve"> </w:t>
      </w:r>
      <w:r>
        <w:t xml:space="preserve">is not. A conventional map, which shows each station’s count and drops the pooled ballots, picks one allocation without saying so.</w:t>
      </w:r>
    </w:p>
    <w:p>
      <w:pPr>
        <w:pStyle w:val="BodyText"/>
      </w:pPr>
      <w:r>
        <w:rPr>
          <w:iCs/>
          <w:i/>
        </w:rPr>
        <w:t xml:space="preserve">Feasible allocations.</w:t>
      </w:r>
    </w:p>
    <w:p>
      <w:pPr>
        <w:pStyle w:val="BodyText"/>
      </w:pPr>
      <w:r>
        <w:t xml:space="preserve">An allocation must reproduce the election-day and station counts, the residents removed from each roll, and pooled candidate totals, while respecting statutory zones. A conclusion is identified if it holds for every feasible allocation. Linear programming gives sharp bounds for continuous ballot counts and conservative outer bounds for integer counts (Manski 2003; Tamer 2010). Under the main assumptions, integer witnesses for the four elections from 2022 place endpoints within 0.0008 of the continuous bounds in both geographic scopes (Online Appendix A.4).</w:t>
      </w:r>
    </w:p>
    <w:p>
      <w:pPr>
        <w:pStyle w:val="BodyText"/>
      </w:pPr>
      <w:r>
        <w:t xml:space="preserve">Conventional ecological inference recovers unobserved cross-classifications from observed area totals (Duncan and Davis 1953; King 1997; Wakefield 2004; Cho and Manski 2008; Imai et al. 2008; Greiner and Quinn 2009; Jiang et al. 2020). Here the residential totals themselves are unobserved because reporting intervenes between voting and the record (Knox et al. 2020; Cross and Manski 2002; Molinari and Peski 2006; Ridder and Moffitt 2007). Like recent bounds using monotonicity restrictions (Elzayn et al. 2026), our analysis makes each assumption’s identifying role explicit, but addresses attribution before individual-level inference.</w:t>
      </w:r>
    </w:p>
    <w:bookmarkEnd w:id="27"/>
    <w:bookmarkStart w:id="28" w:name="assumptions-and-outcomes"/>
    <w:p>
      <w:pPr>
        <w:pStyle w:val="Heading2"/>
      </w:pPr>
      <w:r>
        <w:t xml:space="preserve">3.4 Assumptions and outcomes</w:t>
      </w:r>
    </w:p>
    <w:p>
      <w:pPr>
        <w:pStyle w:val="FirstParagraph"/>
      </w:pPr>
      <w:r>
        <w:t xml:space="preserve">The published counts permit extreme allocations, including ones in which neighboring areas’ residents account for almost entirely different candidates’ out-of-zone ballots. To assess how much the conclusions depend on such possibilities, we impose three restrictions and vary their strength (Manski and Pepper 2018; Rambachan and Roth 2023).</w:t>
      </w:r>
    </w:p>
    <w:p>
      <w:pPr>
        <w:numPr>
          <w:ilvl w:val="0"/>
          <w:numId w:val="1001"/>
        </w:numPr>
        <w:pStyle w:val="Compact"/>
      </w:pPr>
      <w:r>
        <w:rPr>
          <w:iCs/>
          <w:i/>
        </w:rPr>
        <w:t xml:space="preserve">How far did early voters move?</w:t>
      </w:r>
      <w:r>
        <w:t xml:space="preserve"> </w:t>
      </w:r>
      <w:r>
        <w:t xml:space="preserve">At the lower extreme, early voters moved only as much as the roll forces: when a station counted more ballots than its neighborhood had residents removed from the roll, the difference must have come from neighbors. We call this the</w:t>
      </w:r>
      <w:r>
        <w:t xml:space="preserve"> </w:t>
      </w:r>
      <w:r>
        <w:rPr>
          <w:iCs/>
          <w:i/>
        </w:rPr>
        <w:t xml:space="preserve">minimal-movement benchmark</w:t>
      </w:r>
      <w:r>
        <w:t xml:space="preserve">; it serves as a lower-movement reference rather than an estimate of actual behavior. For a</w:t>
      </w:r>
      <w:r>
        <w:t xml:space="preserve"> </w:t>
      </w:r>
      <w:r>
        <w:rPr>
          <w:iCs/>
          <w:i/>
        </w:rPr>
        <w:t xml:space="preserve">mobility-calibrated scenario</w:t>
      </w:r>
      <w:r>
        <w:t xml:space="preserve">, we use mobile-phone trip data (Seoul Living Mobility) to calibrate an upper bound on cross-neighborhood movement: beyond a baseline set by the roll (Online Appendix A.1), the early voters who voted at another neighborhood’s station in their zone may number at most the zone’s out-of-zone early voters multiplied by the ratio of residents’ daytime trips to other neighborhoods of the zone to their trips leaving it. Trips are not votes, so the data set the scale of a cap rather than measure movement; studies that infer turnout from phone visits to polling stations use such data differently (Harada et al. 2025). We vary the cap by a factor</w:t>
      </w:r>
      <w:r>
        <w:t xml:space="preserve"> </w:t>
      </w:r>
      <m:oMath>
        <m:r>
          <m:t>λ</m:t>
        </m:r>
      </m:oMath>
      <w:r>
        <w:t xml:space="preserve"> </w:t>
      </w:r>
      <w:r>
        <w:t xml:space="preserve">and also report unrestricted movement.</w:t>
      </w:r>
    </w:p>
    <w:p>
      <w:pPr>
        <w:numPr>
          <w:ilvl w:val="0"/>
          <w:numId w:val="1001"/>
        </w:numPr>
        <w:pStyle w:val="Compact"/>
      </w:pPr>
      <w:r>
        <w:rPr>
          <w:iCs/>
          <w:i/>
        </w:rPr>
        <w:t xml:space="preserve">How similar are out-of-zone and local-station votes?</w:t>
      </w:r>
      <w:r>
        <w:t xml:space="preserve"> </w:t>
      </w:r>
      <w:r>
        <w:t xml:space="preserve">We allow the candidate shares of a neighborhood’s out-of-zone ballots to differ from those of its early station by at most</w:t>
      </w:r>
      <w:r>
        <w:t xml:space="preserve"> </w:t>
      </w:r>
      <m:oMath>
        <m:r>
          <m:t>δ</m:t>
        </m:r>
      </m:oMath>
      <w:r>
        <w:t xml:space="preserve">, ten points in the main specification. A version that first shifts the station shares by the district’s observed difference between out-of-zone and in-zone early voters yields nearly identical results.</w:t>
      </w:r>
    </w:p>
    <w:p>
      <w:pPr>
        <w:numPr>
          <w:ilvl w:val="0"/>
          <w:numId w:val="1001"/>
        </w:numPr>
        <w:pStyle w:val="Compact"/>
      </w:pPr>
      <w:r>
        <w:rPr>
          <w:iCs/>
          <w:i/>
        </w:rPr>
        <w:t xml:space="preserve">How far can residents’ early-vote shares depart from their benchmark?</w:t>
      </w:r>
      <w:r>
        <w:t xml:space="preserve"> </w:t>
      </w:r>
      <w:r>
        <w:t xml:space="preserve">We benchmark each neighborhood’s early vote by its own election-day vote, shifted by the district’s observed gap between early and election-day voters. We then allow residents’ early ballots, wherever in the zone they were cast, to depart from this benchmark as much as their station’s ballots do, plus an additional tolerance</w:t>
      </w:r>
      <w:r>
        <w:t xml:space="preserve"> </w:t>
      </w:r>
      <m:oMath>
        <m:r>
          <m:t>s</m:t>
        </m:r>
      </m:oMath>
      <w:r>
        <w:t xml:space="preserve"> </w:t>
      </w:r>
      <w:r>
        <w:t xml:space="preserve">(two percentage points in the main specification). This restriction carries much of the election-day pattern over to early voters: with small</w:t>
      </w:r>
      <w:r>
        <w:t xml:space="preserve"> </w:t>
      </w:r>
      <m:oMath>
        <m:r>
          <m:t>s</m:t>
        </m:r>
      </m:oMath>
      <w:r>
        <w:t xml:space="preserve">, residents’ early ballots inherit their neighborhood’s election-day vote, shifted by a district-wide gap. Its role is therefore to ask how far the early-vote gradient could differ from the election-day gradient, which is point-identified (Section 4.2), before a conclusion about all residents changes.</w:t>
      </w:r>
    </w:p>
    <w:p>
      <w:pPr>
        <w:pStyle w:val="FirstParagraph"/>
      </w:pPr>
      <w:r>
        <w:t xml:space="preserve">We call the combination of the mobility-calibrated scenario,</w:t>
      </w:r>
      <w:r>
        <w:t xml:space="preserve"> </w:t>
      </w:r>
      <m:oMath>
        <m:r>
          <m:t>δ</m:t>
        </m:r>
        <m:r>
          <m:rPr>
            <m:sty m:val="p"/>
          </m:rPr>
          <m:t>=</m:t>
        </m:r>
        <m:r>
          <m:t>0.1</m:t>
        </m:r>
      </m:oMath>
      <w:r>
        <w:t xml:space="preserve"> </w:t>
      </w:r>
      <w:r>
        <w:t xml:space="preserve">and</w:t>
      </w:r>
      <w:r>
        <w:t xml:space="preserve"> </w:t>
      </w:r>
      <m:oMath>
        <m:r>
          <m:t>s</m:t>
        </m:r>
        <m:r>
          <m:rPr>
            <m:sty m:val="p"/>
          </m:rPr>
          <m:t>=</m:t>
        </m:r>
        <m:r>
          <m:t>0.02</m:t>
        </m:r>
      </m:oMath>
      <w:r>
        <w:t xml:space="preserve"> </w:t>
      </w:r>
      <w:r>
        <w:t xml:space="preserve">our</w:t>
      </w:r>
      <w:r>
        <w:t xml:space="preserve"> </w:t>
      </w:r>
      <w:r>
        <w:rPr>
          <w:iCs/>
          <w:i/>
        </w:rPr>
        <w:t xml:space="preserve">main assumptions</w:t>
      </w:r>
      <w:r>
        <w:t xml:space="preserve">. They are reference points, not validated error bounds. Stations’ own ballots depart from the benchmark by a median of about one point, and in the five elections with early voting the conservative share among a district’s out-of-zone early voters differs from that among its in-zone early voters by at most 7.7 points (Online Appendix Table C21), so the 10-point tolerance exceeds every district-level gap observed. What</w:t>
      </w:r>
      <w:r>
        <w:t xml:space="preserve"> </w:t>
      </w:r>
      <m:oMath>
        <m:r>
          <m:t>δ</m:t>
        </m:r>
      </m:oMath>
      <w:r>
        <w:t xml:space="preserve"> </w:t>
      </w:r>
      <w:r>
        <w:t xml:space="preserve">bounds, however, is the gap for each neighborhood’s residents, which is not observed and may vary within a district more than district totals show. Moreover, the population classified as out-of-zone differs across election types. We therefore treat as evidence the range of settings under which a conclusion holds: each assumption is indexed by one parameter, so we report how far it can be relaxed before a conclusion changes and what the allocation that first reverses it looks like (Masten and Poirier 2020; Table 3, Panel B; Section 4.5). Box 2 states the accounting identities and the outcome; Online Appendix A gives the assumptions in the same notation.</w:t>
      </w:r>
    </w:p>
    <w:p>
      <w:pPr>
        <w:pStyle w:val="BodyText"/>
      </w:pPr>
      <w:r>
        <w:t xml:space="preserve">The composition restriction explicitly links an unobserved group’s pattern to an observed group’s. A positive slope under that restriction cannot validate the link itself. We therefore distinguish what the accounting rules establish, what movement and out-of-zone restrictions add, and what additionally carrying the election-day pattern over to residents’ early votes establishes. The sensitivity thresholds describe how far this extrapolation can be relaxed; they do not estimate the true tolerances or assign probabilities to the assumptions.</w:t>
      </w:r>
    </w:p>
    <w:p>
      <w:pPr>
        <w:pStyle w:val="BodyText"/>
      </w:pPr>
      <w:r>
        <w:t xml:space="preserve">We study residents across all voting modes because election-day voters account for only 50–66% of ballots in recent elections and their partisanship differs from early voters’ by 10 to 28 points. A geographic claim about everyone who votes cannot be established from that group alone.</w:t>
      </w:r>
    </w:p>
    <w:p>
      <w:pPr>
        <w:pStyle w:val="BodyText"/>
      </w:pPr>
      <w:r>
        <w:rPr>
          <w:bCs/>
          <w:b/>
        </w:rPr>
        <w:t xml:space="preserve">Box 2. The accounting identities and the outcome</w:t>
      </w:r>
    </w:p>
    <w:p>
      <w:pPr>
        <w:pStyle w:val="BodyText"/>
      </w:pPr>
      <w:r>
        <w:t xml:space="preserve">For each counting jurisdiction (a district, or a constituency in 2024), let</w:t>
      </w:r>
      <w:r>
        <w:t xml:space="preserve"> </w:t>
      </w:r>
      <m:oMath>
        <m:sSub>
          <m:e>
            <m:r>
              <m:t>A</m:t>
            </m:r>
          </m:e>
          <m:sub>
            <m:r>
              <m:t>i</m:t>
            </m:r>
            <m:r>
              <m:t>c</m:t>
            </m:r>
          </m:sub>
        </m:sSub>
      </m:oMath>
      <w:r>
        <w:t xml:space="preserve"> </w:t>
      </w:r>
      <w:r>
        <w:t xml:space="preserve">be the election-day ballots for candidate</w:t>
      </w:r>
      <w:r>
        <w:t xml:space="preserve"> </w:t>
      </w:r>
      <m:oMath>
        <m:r>
          <m:t>c</m:t>
        </m:r>
      </m:oMath>
      <w:r>
        <w:t xml:space="preserve"> </w:t>
      </w:r>
      <w:r>
        <w:t xml:space="preserve">in neighborhood</w:t>
      </w:r>
      <w:r>
        <w:t xml:space="preserve"> </w:t>
      </w:r>
      <m:oMath>
        <m:r>
          <m:t>i</m:t>
        </m:r>
      </m:oMath>
      <w:r>
        <w:t xml:space="preserve">,</w:t>
      </w:r>
      <w:r>
        <w:t xml:space="preserve"> </w:t>
      </w:r>
      <m:oMath>
        <m:sSub>
          <m:e>
            <m:r>
              <m:t>K</m:t>
            </m:r>
          </m:e>
          <m:sub>
            <m:r>
              <m:t>j</m:t>
            </m:r>
            <m:r>
              <m:t>c</m:t>
            </m:r>
          </m:sub>
        </m:sSub>
      </m:oMath>
      <w:r>
        <w:t xml:space="preserve"> </w:t>
      </w:r>
      <w:r>
        <w:t xml:space="preserve">the in-zone early ballots counted at the station of neighborhood</w:t>
      </w:r>
      <w:r>
        <w:t xml:space="preserve"> </w:t>
      </w:r>
      <m:oMath>
        <m:r>
          <m:t>j</m:t>
        </m:r>
      </m:oMath>
      <w:r>
        <w:t xml:space="preserve">,</w:t>
      </w:r>
      <w:r>
        <w:t xml:space="preserve"> </w:t>
      </w:r>
      <m:oMath>
        <m:sSub>
          <m:e>
            <m:r>
              <m:t>E</m:t>
            </m:r>
          </m:e>
          <m:sub>
            <m:r>
              <m:t>i</m:t>
            </m:r>
          </m:sub>
        </m:sSub>
        <m:r>
          <m:rPr>
            <m:sty m:val="p"/>
          </m:rPr>
          <m:t>−</m:t>
        </m:r>
        <m:sSub>
          <m:e>
            <m:r>
              <m:t>D</m:t>
            </m:r>
          </m:e>
          <m:sub>
            <m:r>
              <m:t>i</m:t>
            </m:r>
          </m:sub>
        </m:sSub>
      </m:oMath>
      <w:r>
        <w:t xml:space="preserve"> </w:t>
      </w:r>
      <w:r>
        <w:t xml:space="preserve">the residents of</w:t>
      </w:r>
      <w:r>
        <w:t xml:space="preserve"> </w:t>
      </w:r>
      <m:oMath>
        <m:r>
          <m:t>i</m:t>
        </m:r>
      </m:oMath>
      <w:r>
        <w:t xml:space="preserve"> </w:t>
      </w:r>
      <w:r>
        <w:t xml:space="preserve">removed from the election-day roll, and</w:t>
      </w:r>
      <w:r>
        <w:t xml:space="preserve"> </w:t>
      </w:r>
      <m:oMath>
        <m:sSub>
          <m:e>
            <m:r>
              <m:t>P</m:t>
            </m:r>
          </m:e>
          <m:sub>
            <m:r>
              <m:t>c</m:t>
            </m:r>
          </m:sub>
        </m:sSub>
      </m:oMath>
      <w:r>
        <w:t xml:space="preserve"> </w:t>
      </w:r>
      <w:r>
        <w:t xml:space="preserve">and</w:t>
      </w:r>
      <w:r>
        <w:t xml:space="preserve"> </w:t>
      </w:r>
      <m:oMath>
        <m:sSub>
          <m:e>
            <m:r>
              <m:t>Q</m:t>
            </m:r>
          </m:e>
          <m:sub>
            <m:r>
              <m:t>c</m:t>
            </m:r>
          </m:sub>
        </m:sSub>
      </m:oMath>
      <w:r>
        <w:t xml:space="preserve"> </w:t>
      </w:r>
      <w:r>
        <w:t xml:space="preserve">the jurisdiction totals of out-of-zone early ballots and of at-home and overseas ballots. The unknowns are</w:t>
      </w:r>
      <w:r>
        <w:t xml:space="preserve"> </w:t>
      </w:r>
      <m:oMath>
        <m:sSub>
          <m:e>
            <m:r>
              <m:t>F</m:t>
            </m:r>
          </m:e>
          <m:sub>
            <m:r>
              <m:t>i</m:t>
            </m:r>
            <m:r>
              <m:t>j</m:t>
            </m:r>
            <m:r>
              <m:t>c</m:t>
            </m:r>
          </m:sub>
        </m:sSub>
      </m:oMath>
      <w:r>
        <w:t xml:space="preserve">, the early ballots of residents of</w:t>
      </w:r>
      <w:r>
        <w:t xml:space="preserve"> </w:t>
      </w:r>
      <m:oMath>
        <m:r>
          <m:t>i</m:t>
        </m:r>
      </m:oMath>
      <w:r>
        <w:t xml:space="preserve"> </w:t>
      </w:r>
      <w:r>
        <w:t xml:space="preserve">cast at station</w:t>
      </w:r>
      <w:r>
        <w:t xml:space="preserve"> </w:t>
      </w:r>
      <m:oMath>
        <m:r>
          <m:t>j</m:t>
        </m:r>
      </m:oMath>
      <w:r>
        <w:t xml:space="preserve">;</w:t>
      </w:r>
      <w:r>
        <w:t xml:space="preserve"> </w:t>
      </w:r>
      <m:oMath>
        <m:sSub>
          <m:e>
            <m:r>
              <m:t>P</m:t>
            </m:r>
          </m:e>
          <m:sub>
            <m:r>
              <m:t>i</m:t>
            </m:r>
            <m:r>
              <m:t>c</m:t>
            </m:r>
          </m:sub>
        </m:sSub>
      </m:oMath>
      <w:r>
        <w:t xml:space="preserve"> </w:t>
      </w:r>
      <w:r>
        <w:t xml:space="preserve">and</w:t>
      </w:r>
      <w:r>
        <w:t xml:space="preserve"> </w:t>
      </w:r>
      <m:oMath>
        <m:sSub>
          <m:e>
            <m:r>
              <m:t>Q</m:t>
            </m:r>
          </m:e>
          <m:sub>
            <m:r>
              <m:t>i</m:t>
            </m:r>
            <m:r>
              <m:t>c</m:t>
            </m:r>
          </m:sub>
        </m:sSub>
      </m:oMath>
      <w:r>
        <w:t xml:space="preserve">, residents’ pooled ballots; and</w:t>
      </w:r>
      <w:r>
        <w:t xml:space="preserve"> </w:t>
      </w:r>
      <m:oMath>
        <m:sSub>
          <m:e>
            <m:r>
              <m:t>U</m:t>
            </m:r>
          </m:e>
          <m:sub>
            <m:r>
              <m:t>i</m:t>
            </m:r>
          </m:sub>
        </m:sSub>
      </m:oMath>
      <w:r>
        <w:t xml:space="preserve">, removed residents who cast no counted ballot. Every allocation must satisfy</w:t>
      </w:r>
    </w:p>
    <w:p>
      <w:pPr>
        <w:pStyle w:val="BodyText"/>
      </w:pPr>
      <m:oMathPara>
        <m:oMathParaPr>
          <m:jc m:val="center"/>
        </m:oMathParaPr>
        <m:oMath>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nary>
            <m:naryPr>
              <m:chr m:val="∑"/>
              <m:limLoc m:val="undOvr"/>
              <m:subHide m:val="off"/>
              <m:supHide m:val="on"/>
            </m:naryPr>
            <m:sub>
              <m:r>
                <m:t>c</m:t>
              </m:r>
            </m:sub>
            <m:sup>
              <m:r>
                <m:t>​</m:t>
              </m:r>
            </m:sup>
            <m:e>
              <m:sSub>
                <m:e>
                  <m:r>
                    <m:t>P</m:t>
                  </m:r>
                </m:e>
                <m:sub>
                  <m:r>
                    <m:t>i</m:t>
                  </m:r>
                  <m:r>
                    <m:t>c</m:t>
                  </m:r>
                </m:sub>
              </m:sSub>
            </m:e>
          </m:nary>
          <m:r>
            <m:rPr>
              <m:sty m:val="p"/>
            </m:rPr>
            <m:t>+</m:t>
          </m:r>
          <m:nary>
            <m:naryPr>
              <m:chr m:val="∑"/>
              <m:limLoc m:val="undOvr"/>
              <m:subHide m:val="off"/>
              <m:supHide m:val="on"/>
            </m:naryPr>
            <m:sub>
              <m:r>
                <m:t>c</m:t>
              </m:r>
            </m:sub>
            <m:sup>
              <m:r>
                <m:t>​</m:t>
              </m:r>
            </m:sup>
            <m:e>
              <m:sSub>
                <m:e>
                  <m:r>
                    <m:t>Q</m:t>
                  </m:r>
                </m:e>
                <m:sub>
                  <m:r>
                    <m:t>i</m:t>
                  </m:r>
                  <m:r>
                    <m:t>c</m:t>
                  </m:r>
                </m:sub>
              </m:sSub>
            </m:e>
          </m:nary>
          <m:r>
            <m:rPr>
              <m:sty m:val="p"/>
            </m:rPr>
            <m:t>+</m:t>
          </m:r>
          <m:sSub>
            <m:e>
              <m:r>
                <m:t>U</m:t>
              </m:r>
            </m:e>
            <m:sub>
              <m:r>
                <m:t>i</m:t>
              </m:r>
            </m:sub>
          </m:sSub>
          <m:r>
            <m:rPr>
              <m:sty m:val="p"/>
            </m:rPr>
            <m:t>=</m:t>
          </m:r>
          <m:sSub>
            <m:e>
              <m:r>
                <m:t>E</m:t>
              </m:r>
            </m:e>
            <m:sub>
              <m:r>
                <m:t>i</m:t>
              </m:r>
            </m:sub>
          </m:sSub>
          <m:r>
            <m:rPr>
              <m:sty m:val="p"/>
            </m:rPr>
            <m:t>−</m:t>
          </m:r>
          <m:sSub>
            <m:e>
              <m:r>
                <m:t>D</m:t>
              </m:r>
            </m:e>
            <m:sub>
              <m:r>
                <m:t>i</m:t>
              </m:r>
            </m:sub>
          </m:sSub>
          <m:r>
            <m:rPr>
              <m:sty m:val="p"/>
            </m:rPr>
            <m:t>,</m:t>
          </m:r>
          <m:r>
            <m:t>  </m:t>
          </m:r>
          <m:nary>
            <m:naryPr>
              <m:chr m:val="∑"/>
              <m:limLoc m:val="undOvr"/>
              <m:subHide m:val="off"/>
              <m:supHide m:val="on"/>
            </m:naryPr>
            <m:sub>
              <m:r>
                <m:t>i</m:t>
              </m:r>
            </m:sub>
            <m:sup>
              <m:r>
                <m:t>​</m:t>
              </m:r>
            </m:sup>
            <m:e>
              <m:sSub>
                <m:e>
                  <m:r>
                    <m:t>F</m:t>
                  </m:r>
                </m:e>
                <m:sub>
                  <m:r>
                    <m:t>i</m:t>
                  </m:r>
                  <m:r>
                    <m:t>j</m:t>
                  </m:r>
                  <m:r>
                    <m:t>c</m:t>
                  </m:r>
                </m:sub>
              </m:sSub>
            </m:e>
          </m:nary>
          <m:r>
            <m:rPr>
              <m:sty m:val="p"/>
            </m:rPr>
            <m:t>=</m:t>
          </m:r>
          <m:sSub>
            <m:e>
              <m:r>
                <m:t>K</m:t>
              </m:r>
            </m:e>
            <m:sub>
              <m:r>
                <m:t>j</m:t>
              </m:r>
              <m:r>
                <m:t>c</m:t>
              </m:r>
            </m:sub>
          </m:sSub>
          <m:r>
            <m:rPr>
              <m:sty m:val="p"/>
            </m:rPr>
            <m:t>,</m:t>
          </m:r>
          <m:r>
            <m:t>  </m:t>
          </m:r>
          <m:nary>
            <m:naryPr>
              <m:chr m:val="∑"/>
              <m:limLoc m:val="undOvr"/>
              <m:subHide m:val="off"/>
              <m:supHide m:val="on"/>
            </m:naryPr>
            <m:sub>
              <m:r>
                <m:t>i</m:t>
              </m:r>
            </m:sub>
            <m:sup>
              <m:r>
                <m:t>​</m:t>
              </m:r>
            </m:sup>
            <m:e>
              <m:sSub>
                <m:e>
                  <m:r>
                    <m:t>P</m:t>
                  </m:r>
                </m:e>
                <m:sub>
                  <m:r>
                    <m:t>i</m:t>
                  </m:r>
                  <m:r>
                    <m:t>c</m:t>
                  </m:r>
                </m:sub>
              </m:sSub>
            </m:e>
          </m:nary>
          <m:r>
            <m:rPr>
              <m:sty m:val="p"/>
            </m:rPr>
            <m:t>=</m:t>
          </m:r>
          <m:sSub>
            <m:e>
              <m:r>
                <m:t>P</m:t>
              </m:r>
            </m:e>
            <m:sub>
              <m:r>
                <m:t>c</m:t>
              </m:r>
            </m:sub>
          </m:sSub>
          <m:r>
            <m:rPr>
              <m:sty m:val="p"/>
            </m:rPr>
            <m:t>,</m:t>
          </m:r>
          <m:r>
            <m:t>  </m:t>
          </m:r>
          <m:nary>
            <m:naryPr>
              <m:chr m:val="∑"/>
              <m:limLoc m:val="undOvr"/>
              <m:subHide m:val="off"/>
              <m:supHide m:val="on"/>
            </m:naryPr>
            <m:sub>
              <m:r>
                <m:t>i</m:t>
              </m:r>
            </m:sub>
            <m:sup>
              <m:r>
                <m:t>​</m:t>
              </m:r>
            </m:sup>
            <m:e>
              <m:sSub>
                <m:e>
                  <m:r>
                    <m:t>Q</m:t>
                  </m:r>
                </m:e>
                <m:sub>
                  <m:r>
                    <m:t>i</m:t>
                  </m:r>
                  <m:r>
                    <m:t>c</m:t>
                  </m:r>
                </m:sub>
              </m:sSub>
            </m:e>
          </m:nary>
          <m:r>
            <m:rPr>
              <m:sty m:val="p"/>
            </m:rPr>
            <m:t>=</m:t>
          </m:r>
          <m:sSub>
            <m:e>
              <m:r>
                <m:t>Q</m:t>
              </m:r>
            </m:e>
            <m:sub>
              <m:r>
                <m:t>c</m:t>
              </m:r>
            </m:sub>
          </m:sSub>
          <m:r>
            <m:rPr>
              <m:sty m:val="p"/>
            </m:rPr>
            <m:t>,</m:t>
          </m:r>
        </m:oMath>
      </m:oMathPara>
    </w:p>
    <w:p>
      <w:pPr>
        <w:pStyle w:val="FirstParagraph"/>
      </w:pPr>
      <w:r>
        <w:t xml:space="preserve">and</w:t>
      </w:r>
      <w:r>
        <w:t xml:space="preserve"> </w:t>
      </w:r>
      <m:oMath>
        <m:sSub>
          <m:e>
            <m:r>
              <m:t>F</m:t>
            </m:r>
          </m:e>
          <m:sub>
            <m:r>
              <m:t>i</m:t>
            </m:r>
            <m:r>
              <m:t>j</m:t>
            </m:r>
            <m:r>
              <m:t>c</m:t>
            </m:r>
          </m:sub>
        </m:sSub>
        <m:r>
          <m:rPr>
            <m:sty m:val="p"/>
          </m:rPr>
          <m:t>=</m:t>
        </m:r>
        <m:r>
          <m:t>0</m:t>
        </m:r>
      </m:oMath>
      <w:r>
        <w:t xml:space="preserve"> </w:t>
      </w:r>
      <w:r>
        <w:t xml:space="preserve">when</w:t>
      </w:r>
      <w:r>
        <w:t xml:space="preserve"> </w:t>
      </w:r>
      <m:oMath>
        <m:r>
          <m:t>i</m:t>
        </m:r>
      </m:oMath>
      <w:r>
        <w:t xml:space="preserve"> </w:t>
      </w:r>
      <w:r>
        <w:t xml:space="preserve">and</w:t>
      </w:r>
      <w:r>
        <w:t xml:space="preserve"> </w:t>
      </w:r>
      <m:oMath>
        <m:r>
          <m:t>j</m:t>
        </m:r>
      </m:oMath>
      <w:r>
        <w:t xml:space="preserve"> </w:t>
      </w:r>
      <w:r>
        <w:t xml:space="preserve">lie in different early-voting zones. Residents’ votes for</w:t>
      </w:r>
      <w:r>
        <w:t xml:space="preserve"> </w:t>
      </w:r>
      <m:oMath>
        <m:r>
          <m:t>c</m:t>
        </m:r>
      </m:oMath>
      <w:r>
        <w:t xml:space="preserve"> </w:t>
      </w:r>
      <w:r>
        <w:t xml:space="preserve">are</w:t>
      </w:r>
      <w:r>
        <w:t xml:space="preserve"> </w:t>
      </w:r>
      <m:oMath>
        <m:sSub>
          <m:e>
            <m:r>
              <m:t>N</m:t>
            </m:r>
          </m:e>
          <m:sub>
            <m:r>
              <m:t>i</m:t>
            </m:r>
            <m:r>
              <m:t>c</m:t>
            </m:r>
          </m:sub>
        </m:sSub>
        <m:r>
          <m:rPr>
            <m:sty m:val="p"/>
          </m:rPr>
          <m:t>=</m:t>
        </m:r>
        <m:sSub>
          <m:e>
            <m:r>
              <m:t>A</m:t>
            </m:r>
          </m:e>
          <m:sub>
            <m:r>
              <m:t>i</m:t>
            </m:r>
            <m:r>
              <m:t>c</m:t>
            </m:r>
          </m:sub>
        </m:sSub>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sSub>
          <m:e>
            <m:r>
              <m:t>P</m:t>
            </m:r>
          </m:e>
          <m:sub>
            <m:r>
              <m:t>i</m:t>
            </m:r>
            <m:r>
              <m:t>c</m:t>
            </m:r>
          </m:sub>
        </m:sSub>
        <m:r>
          <m:rPr>
            <m:sty m:val="p"/>
          </m:rPr>
          <m:t>+</m:t>
        </m:r>
        <m:sSub>
          <m:e>
            <m:r>
              <m:t>Q</m:t>
            </m:r>
          </m:e>
          <m:sub>
            <m:r>
              <m:t>i</m:t>
            </m:r>
            <m:r>
              <m:t>c</m:t>
            </m:r>
          </m:sub>
        </m:sSub>
      </m:oMath>
      <w:r>
        <w:t xml:space="preserve">.</w:t>
      </w:r>
    </w:p>
    <w:p>
      <w:pPr>
        <w:pStyle w:val="BodyText"/>
      </w:pPr>
      <w:r>
        <w:rPr>
          <w:iCs/>
          <w:i/>
        </w:rPr>
        <w:t xml:space="preserve">The outcome.</w:t>
      </w:r>
      <w:r>
        <w:t xml:space="preserve"> </w:t>
      </w:r>
      <w:r>
        <w:t xml:space="preserve">With</w:t>
      </w:r>
      <w:r>
        <w:t xml:space="preserve"> </w:t>
      </w:r>
      <m:oMath>
        <m:sSub>
          <m:e>
            <m:r>
              <m:t>A</m:t>
            </m:r>
          </m:e>
          <m:sub>
            <m:r>
              <m:t>i</m:t>
            </m:r>
          </m:sub>
        </m:sSub>
      </m:oMath>
      <w:r>
        <w:t xml:space="preserve"> </w:t>
      </w:r>
      <w:r>
        <w:t xml:space="preserve">the election-day voters of</w:t>
      </w:r>
      <w:r>
        <w:t xml:space="preserve"> </w:t>
      </w:r>
      <m:oMath>
        <m:r>
          <m:t>i</m:t>
        </m:r>
      </m:oMath>
      <w:r>
        <w:t xml:space="preserve">, let</w:t>
      </w:r>
      <w:r>
        <w:t xml:space="preserve"> </w:t>
      </w:r>
      <m:oMath>
        <m:sSub>
          <m:e>
            <m:r>
              <m:t>H</m:t>
            </m:r>
          </m:e>
          <m:sub>
            <m:r>
              <m:t>i</m:t>
            </m:r>
          </m:sub>
        </m:sSub>
        <m:r>
          <m:rPr>
            <m:sty m:val="p"/>
          </m:rPr>
          <m:t>=</m:t>
        </m:r>
        <m:sSub>
          <m:e>
            <m:r>
              <m:t>A</m:t>
            </m:r>
          </m:e>
          <m:sub>
            <m:r>
              <m:t>i</m:t>
            </m:r>
          </m:sub>
        </m:sSub>
        <m:r>
          <m:rPr>
            <m:sty m:val="p"/>
          </m:rPr>
          <m:t>+</m:t>
        </m:r>
        <m:d>
          <m:dPr>
            <m:begChr m:val="("/>
            <m:endChr m:val=")"/>
            <m:sepChr m:val=""/>
            <m:grow/>
          </m:dPr>
          <m:e>
            <m:sSub>
              <m:e>
                <m:r>
                  <m:t>E</m:t>
                </m:r>
              </m:e>
              <m:sub>
                <m:r>
                  <m:t>i</m:t>
                </m:r>
              </m:sub>
            </m:sSub>
            <m:r>
              <m:rPr>
                <m:sty m:val="p"/>
              </m:rPr>
              <m:t>−</m:t>
            </m:r>
            <m:sSub>
              <m:e>
                <m:r>
                  <m:t>D</m:t>
                </m:r>
              </m:e>
              <m:sub>
                <m:r>
                  <m:t>i</m:t>
                </m:r>
              </m:sub>
            </m:sSub>
          </m:e>
        </m:d>
      </m:oMath>
      <w:r>
        <w:t xml:space="preserve"> </w:t>
      </w:r>
      <w:r>
        <w:t xml:space="preserve">and let</w:t>
      </w:r>
      <w:r>
        <w:t xml:space="preserve"> </w:t>
      </w:r>
      <m:oMath>
        <m:sSub>
          <m:e>
            <m:r>
              <m:t>I</m:t>
            </m:r>
          </m:e>
          <m:sub>
            <m:r>
              <m:t>i</m:t>
            </m:r>
          </m:sub>
        </m:sSub>
        <m:r>
          <m:rPr>
            <m:sty m:val="p"/>
          </m:rPr>
          <m:t>=</m:t>
        </m:r>
        <m:sSub>
          <m:e>
            <m:r>
              <m:t>N</m:t>
            </m:r>
          </m:e>
          <m:sub>
            <m:r>
              <m:t>i</m:t>
            </m:r>
            <m:r>
              <m:rPr>
                <m:sty m:val="p"/>
              </m:rPr>
              <m:t>,</m:t>
            </m:r>
            <m:r>
              <m:rPr>
                <m:sty m:val="p"/>
              </m:rPr>
              <m:t>i</m:t>
            </m:r>
            <m:r>
              <m:rPr>
                <m:sty m:val="p"/>
              </m:rPr>
              <m:t>n</m:t>
            </m:r>
            <m:r>
              <m:rPr>
                <m:sty m:val="p"/>
              </m:rPr>
              <m:t>v</m:t>
            </m:r>
          </m:sub>
        </m:sSub>
      </m:oMath>
      <w:r>
        <w:t xml:space="preserve"> </w:t>
      </w:r>
      <w:r>
        <w:t xml:space="preserve">be residents’ invalid ballots. We analyze the roll-based share</w:t>
      </w:r>
      <w:r>
        <w:t xml:space="preserve"> </w:t>
      </w:r>
      <m:oMath>
        <m:sSub>
          <m:e>
            <m:r>
              <m:t>z</m:t>
            </m:r>
          </m:e>
          <m:sub>
            <m:r>
              <m:t>i</m:t>
            </m:r>
            <m:r>
              <m:t>c</m:t>
            </m:r>
          </m:sub>
        </m:sSub>
        <m:r>
          <m:rPr>
            <m:sty m:val="p"/>
          </m:rPr>
          <m:t>=</m:t>
        </m:r>
        <m:sSub>
          <m:e>
            <m:r>
              <m:t>N</m:t>
            </m:r>
          </m:e>
          <m:sub>
            <m:r>
              <m:t>i</m:t>
            </m:r>
            <m:r>
              <m:t>c</m:t>
            </m:r>
          </m:sub>
        </m:sSub>
        <m:r>
          <m:rPr>
            <m:sty m:val="p"/>
          </m:rPr>
          <m:t>/</m:t>
        </m:r>
        <m:sSub>
          <m:e>
            <m:r>
              <m:t>H</m:t>
            </m:r>
          </m:e>
          <m:sub>
            <m:r>
              <m:t>i</m:t>
            </m:r>
          </m:sub>
        </m:sSub>
      </m:oMath>
      <w:r>
        <w:t xml:space="preserve">, whereas the usual valid-vote share is</w:t>
      </w:r>
      <w:r>
        <w:t xml:space="preserve"> </w:t>
      </w:r>
      <m:oMath>
        <m:sSub>
          <m:e>
            <m:r>
              <m:t>y</m:t>
            </m:r>
          </m:e>
          <m:sub>
            <m:r>
              <m:t>i</m:t>
            </m:r>
            <m:r>
              <m:t>c</m:t>
            </m:r>
          </m:sub>
        </m:sSub>
        <m:r>
          <m:rPr>
            <m:sty m:val="p"/>
          </m:rPr>
          <m:t>=</m:t>
        </m:r>
        <m:sSub>
          <m:e>
            <m:r>
              <m:t>N</m:t>
            </m:r>
          </m:e>
          <m:sub>
            <m:r>
              <m:t>i</m:t>
            </m:r>
            <m:r>
              <m:t>c</m:t>
            </m:r>
          </m:sub>
        </m:sSub>
        <m:r>
          <m:rPr>
            <m:sty m:val="p"/>
          </m:rPr>
          <m:t>/</m:t>
        </m:r>
        <m:d>
          <m:dPr>
            <m:begChr m:val="("/>
            <m:endChr m:val=")"/>
            <m:sepChr m:val=""/>
            <m:grow/>
          </m:dPr>
          <m:e>
            <m:sSub>
              <m:e>
                <m:r>
                  <m:t>H</m:t>
                </m:r>
              </m:e>
              <m:sub>
                <m:r>
                  <m:t>i</m:t>
                </m:r>
              </m:sub>
            </m:sSub>
            <m:r>
              <m:rPr>
                <m:sty m:val="p"/>
              </m:rPr>
              <m:t>−</m:t>
            </m:r>
            <m:sSub>
              <m:e>
                <m:r>
                  <m:t>U</m:t>
                </m:r>
              </m:e>
              <m:sub>
                <m:r>
                  <m:t>i</m:t>
                </m:r>
              </m:sub>
            </m:sSub>
            <m:r>
              <m:rPr>
                <m:sty m:val="p"/>
              </m:rPr>
              <m:t>−</m:t>
            </m:r>
            <m:sSub>
              <m:e>
                <m:r>
                  <m:t>I</m:t>
                </m:r>
              </m:e>
              <m:sub>
                <m:r>
                  <m:t>i</m:t>
                </m:r>
              </m:sub>
            </m:sSub>
          </m:e>
        </m:d>
      </m:oMath>
      <w:r>
        <w:t xml:space="preserve">. Because</w:t>
      </w:r>
      <w:r>
        <w:t xml:space="preserve"> </w:t>
      </w:r>
      <m:oMath>
        <m:sSub>
          <m:e>
            <m:r>
              <m:t>H</m:t>
            </m:r>
          </m:e>
          <m:sub>
            <m:r>
              <m:t>i</m:t>
            </m:r>
          </m:sub>
        </m:sSub>
      </m:oMath>
      <w:r>
        <w:t xml:space="preserve"> </w:t>
      </w:r>
      <w:r>
        <w:t xml:space="preserve">includes voters casting invalid ballots and removed residents who cast no counted ballot,</w:t>
      </w:r>
      <w:r>
        <w:t xml:space="preserve"> </w:t>
      </w:r>
      <m:oMath>
        <m:r>
          <m:t>z</m:t>
        </m:r>
      </m:oMath>
      <w:r>
        <w:t xml:space="preserve"> </w:t>
      </w:r>
      <w:r>
        <w:t xml:space="preserve">is no greater than</w:t>
      </w:r>
      <w:r>
        <w:t xml:space="preserve"> </w:t>
      </w:r>
      <m:oMath>
        <m:r>
          <m:t>y</m:t>
        </m:r>
      </m:oMath>
      <w:r>
        <w:t xml:space="preserve"> </w:t>
      </w:r>
      <w:r>
        <w:t xml:space="preserve">and is not the valid-vote share. Its linearity gives exact ranges for continuous allocations and outer bounds for integer ballots. For</w:t>
      </w:r>
      <w:r>
        <w:t xml:space="preserve"> </w:t>
      </w:r>
      <m:oMath>
        <m:r>
          <m:t>y</m:t>
        </m:r>
      </m:oMath>
      <w:r>
        <w:t xml:space="preserve"> </w:t>
      </w:r>
      <w:r>
        <w:t xml:space="preserve">we bracket the endpoints. The main-assumption sign conclusions agree, but the 2025 positive slope under minimal movement and a ten-point out-of-zone tolerance does not survive this outcome change (Online Appendix Tables C15 and C18).</w:t>
      </w:r>
    </w:p>
    <w:p>
      <w:pPr>
        <w:pStyle w:val="BodyText"/>
      </w:pPr>
      <w:r>
        <w:t xml:space="preserve">The estimands describe registered residents of places, not homeowners, and they are associations, not effects of housing wealth. All results are conditional on the observed returns and price measure. The ranges describe allocation uncertainty for the observed finite population, not confidence intervals: the returns are a census, so this target does not involve sampling voters. This does not eliminate uncertainty from price measurement, address matching or administrative records, nor justify inference to other elections. The election-day slopes are descriptions of the observed neighborhoods; permutation p-values and clustered standard errors are auxiliary diagnostics requiring further assumptions (Abadie et al. 2020; Online Appendix Table C20). Transaction resampling shows sensitivity to the price measure without supplying confidence intervals with established coverage (Online Appendix Table C13). Inference for estimated bounds is developed elsewhere (Imbens and Manski 2004; Stoye 2009; Fang and Santos 2019; Fang et al. 2023).</w:t>
      </w:r>
    </w:p>
    <w:bookmarkEnd w:id="28"/>
    <w:bookmarkEnd w:id="29"/>
    <w:bookmarkStart w:id="44" w:name="results"/>
    <w:p>
      <w:pPr>
        <w:pStyle w:val="Heading1"/>
      </w:pPr>
      <w:r>
        <w:t xml:space="preserve">4. Results</w:t>
      </w:r>
    </w:p>
    <w:bookmarkStart w:id="33" w:name="the-association-across-districts"/>
    <w:p>
      <w:pPr>
        <w:pStyle w:val="Heading2"/>
      </w:pPr>
      <w:r>
        <w:t xml:space="preserve">4.1 The association across districts</w:t>
      </w:r>
    </w:p>
    <w:p>
      <w:pPr>
        <w:pStyle w:val="FirstParagraph"/>
      </w:pPr>
      <w:r>
        <w:t xml:space="preserve">At the district scale, ballots can be assigned to the residential unit without neighborhood-level allocation assumptions. The 2024 analysis uses 24 units, merging Jung-gu and Seongdong-gu because one constituency spans both; the other elections use 25 districts. For all of Seoul, higher apartment prices are associated with greater conservative support in every election (Figure 2A; Table 3). A doubling of the geometric mean of a district’s neighborhood prices is associated with a conservative share 4 percentage points higher in 2017 and 9 to 14 points higher in the other elections. Excluding Gangnam, Seocho and Songpa reduces the slope to about half to two-thirds of its full value in 2022–2026. In 2012 and 2017 it falls to 0.057 and 0.025, less than half its full value, and model-based standard errors would not distinguish these slopes from zero (Online Appendix Table C14). The earlier district-level associations thus rest largely on the three southeastern districts.</w:t>
      </w:r>
    </w:p>
    <w:p>
      <w:pPr>
        <w:pStyle w:val="CaptionedFigure"/>
        <w:keepNext/>
      </w:pPr>
      <w:r>
        <w:drawing>
          <wp:inline>
            <wp:extent cx="5334000" cy="3774460"/>
            <wp:effectExtent b="0" l="0" r="0" t="0"/>
            <wp:docPr descr="Figure 2. The three spatial claims, for all of Seoul and without Gangnam, Seocho and Songpa. (A) Expensive districts: slope of the conservative valid-vote share on log price across districts; for all of Seoul, the dot is the slope over 25 districts (24 units in 2024) and the line the range of slopes when one district at a time is dropped. (B) Expensive neighborhoods within districts: range of the within-district slope of the roll-based share z consistent with the data under the main assumptions (Table 2, column E). (C) The same for the difference between the more and less expensive halves of each district’s neighborhoods, in percentage points. 2012 and 2017, which lack mobility data, use the returns and rolls alone and minimal movement with out-of-zone voters within ten points (columns A and C) and are drawn faint, as they are not comparable with the later elections. Panel A uses valid-vote shares, panels B and C roll-based shares. Ranges are sets of values consistent with the data and assumptions, not confidence intervals." title="" id="31" name="Picture"/>
            <a:graphic>
              <a:graphicData uri="http://schemas.openxmlformats.org/drawingml/2006/picture">
                <pic:pic>
                  <pic:nvPicPr>
                    <pic:cNvPr descr="figures/fig2_scope.png" id="32" name="Picture"/>
                    <pic:cNvPicPr>
                      <a:picLocks noChangeArrowheads="1" noChangeAspect="1"/>
                    </pic:cNvPicPr>
                  </pic:nvPicPr>
                  <pic:blipFill>
                    <a:blip r:embed="rId30"/>
                    <a:stretch>
                      <a:fillRect/>
                    </a:stretch>
                  </pic:blipFill>
                  <pic:spPr bwMode="auto">
                    <a:xfrm>
                      <a:off x="0" y="0"/>
                      <a:ext cx="5334000" cy="3774460"/>
                    </a:xfrm>
                    <a:prstGeom prst="rect">
                      <a:avLst/>
                    </a:prstGeom>
                    <a:noFill/>
                    <a:ln w="9525">
                      <a:noFill/>
                      <a:headEnd/>
                      <a:tailEnd/>
                    </a:ln>
                  </pic:spPr>
                </pic:pic>
              </a:graphicData>
            </a:graphic>
          </wp:inline>
        </w:drawing>
      </w:r>
    </w:p>
    <w:p>
      <w:pPr>
        <w:pStyle w:val="ImageCaption"/>
      </w:pPr>
      <w:r>
        <w:t xml:space="preserve">Figure 2. The three spatial claims, for all of Seoul and without Gangnam, Seocho and Songpa. (A) Expensive districts: slope of the conservative valid-vote share on log price across districts; for all of Seoul, the dot is the slope over 25 districts (24 units in 2024) and the line the range of slopes when one district at a time is dropped. (B) Expensive neighborhoods within districts: range of the within-district slope of the roll-based share</w:t>
      </w:r>
      <w:r>
        <w:t xml:space="preserve"> </w:t>
      </w:r>
      <m:oMath>
        <m:r>
          <m:t>z</m:t>
        </m:r>
      </m:oMath>
      <w:r>
        <w:t xml:space="preserve"> </w:t>
      </w:r>
      <w:r>
        <w:t xml:space="preserve">consistent with the data under the main assumptions (Table 2, column E). (C) The same for the difference between the more and less expensive halves of each district’s neighborhoods, in percentage points. 2012 and 2017, which lack mobility data, use the returns and rolls alone and minimal movement with out-of-zone voters within ten points (columns A and C) and are drawn faint, as they are not comparable with the later elections. Panel A uses valid-vote shares, panels B and C roll-based shares. Ranges are sets of values consistent with the data and assumptions, not confidence intervals.</w:t>
      </w:r>
    </w:p>
    <w:bookmarkEnd w:id="33"/>
    <w:bookmarkStart w:id="37" w:name="the-association-within-districts"/>
    <w:p>
      <w:pPr>
        <w:pStyle w:val="Heading2"/>
      </w:pPr>
      <w:r>
        <w:t xml:space="preserve">4.2 The association within districts</w:t>
      </w:r>
    </w:p>
    <w:p>
      <w:pPr>
        <w:pStyle w:val="FirstParagraph"/>
      </w:pPr>
      <w:r>
        <w:t xml:space="preserve">Table 2 follows the within-district gradient as assumptions are added. Each range contains the slopes consistent with the data and stated assumptions. A range that includes zero leaves the direction unresolved. Table 3 compares the geographic scopes and price-group contrasts; the full contrast results are in Online Appendix Table C11.</w:t>
      </w:r>
    </w:p>
    <w:p>
      <w:pPr>
        <w:sectPr>
          <w:pgMar w:top="1417" w:bottom="1417" w:left="1417" w:right="1417"/>
          <w:pgSz w:w="11906" w:h="16838" w:orient="portrait"/>
          <w:type w:val="nextPage"/>
        </w:sectPr>
      </w:pPr>
    </w:p>
    <w:p>
      <w:pPr>
        <w:pStyle w:val="TableCaption"/>
        <w:keepNext/>
      </w:pPr>
      <w:r>
        <w:t xml:space="preserve">Table 2. Within-district price gradients under alternative assumptions</w:t>
      </w:r>
    </w:p>
    <w:tbl>
      <w:tblPr>
        <w:tblStyle w:val="Table"/>
        <w:tblW w:type="pct" w:w="5000"/>
        <w:tblLayout w:type="fixed"/>
        <w:tblLook w:firstRow="1" w:lastRow="0" w:firstColumn="0" w:lastColumn="0" w:noHBand="0" w:noVBand="0" w:val="0020"/>
        <w:jc w:val="start"/>
        <w:tblCaption w:val="Table 2. Within-district price gradients under alternative assumptions"/>
      </w:tblPr>
      <w:tblGrid>
        <w:gridCol w:w="999"/>
        <w:gridCol w:w="999"/>
        <w:gridCol w:w="2001"/>
        <w:gridCol w:w="2001"/>
        <w:gridCol w:w="2001"/>
        <w:gridCol w:w="2001"/>
        <w:gridCol w:w="2001"/>
        <w:gridCol w:w="2001"/>
      </w:tblGrid>
      <w:tr>
        <w:trPr>
          <w:tblHeader w:val="true"/>
          <w:cantSplit/>
        </w:trPr>
        <w:tc>
          <w:tcPr>
            <w:tcW w:type="dxa" w:w="999"/>
          </w:tcPr>
          <w:p>
            <w:pPr>
              <w:keepNext/>
              <w:keepLines/>
              <w:spacing w:before="0" w:after="40" w:line="240" w:lineRule="auto"/>
              <w:jc w:val="left"/>
            </w:pPr>
            <w:r>
              <w:rPr>
                <w:sz w:val="18"/>
              </w:rPr>
              <w:t>Election</w:t>
            </w:r>
          </w:p>
        </w:tc>
        <w:tc>
          <w:tcPr>
            <w:tcW w:type="dxa" w:w="999"/>
          </w:tcPr>
          <w:p>
            <w:pPr>
              <w:keepNext/>
              <w:keepLines/>
              <w:spacing w:before="0" w:after="40" w:line="240" w:lineRule="auto"/>
              <w:jc w:val="center"/>
            </w:pPr>
            <w:r>
              <w:rPr>
                <w:sz w:val="18"/>
              </w:rPr>
              <w:t>Election day (exact y)</w:t>
            </w:r>
          </w:p>
        </w:tc>
        <w:tc>
          <w:tcPr>
            <w:tcW w:type="dxa" w:w="2001"/>
          </w:tcPr>
          <w:p>
            <w:pPr>
              <w:keepNext/>
              <w:keepLines/>
              <w:spacing w:before="0" w:after="40" w:line="240" w:lineRule="auto"/>
              <w:jc w:val="center"/>
            </w:pPr>
            <w:r>
              <w:rPr>
                <w:sz w:val="18"/>
              </w:rPr>
              <w:t>A</w:t>
            </w:r>
          </w:p>
        </w:tc>
        <w:tc>
          <w:tcPr>
            <w:tcW w:type="dxa" w:w="2001"/>
          </w:tcPr>
          <w:p>
            <w:pPr>
              <w:keepNext/>
              <w:keepLines/>
              <w:spacing w:before="0" w:after="40" w:line="240" w:lineRule="auto"/>
              <w:jc w:val="center"/>
            </w:pPr>
            <w:r>
              <w:rPr>
                <w:sz w:val="18"/>
              </w:rPr>
              <w:t>B</w:t>
            </w:r>
          </w:p>
        </w:tc>
        <w:tc>
          <w:tcPr>
            <w:tcW w:type="dxa" w:w="2001"/>
          </w:tcPr>
          <w:p>
            <w:pPr>
              <w:keepNext/>
              <w:keepLines/>
              <w:spacing w:before="0" w:after="40" w:line="240" w:lineRule="auto"/>
              <w:jc w:val="center"/>
            </w:pPr>
            <w:r>
              <w:rPr>
                <w:sz w:val="18"/>
              </w:rPr>
              <w:t>C</w:t>
            </w:r>
          </w:p>
        </w:tc>
        <w:tc>
          <w:tcPr>
            <w:tcW w:type="dxa" w:w="2001"/>
          </w:tcPr>
          <w:p>
            <w:pPr>
              <w:keepNext/>
              <w:keepLines/>
              <w:spacing w:before="0" w:after="40" w:line="240" w:lineRule="auto"/>
              <w:jc w:val="center"/>
            </w:pPr>
            <w:r>
              <w:rPr>
                <w:sz w:val="18"/>
              </w:rPr>
              <w:t>D</w:t>
            </w:r>
          </w:p>
        </w:tc>
        <w:tc>
          <w:tcPr>
            <w:tcW w:type="dxa" w:w="2001"/>
          </w:tcPr>
          <w:p>
            <w:pPr>
              <w:keepNext/>
              <w:keepLines/>
              <w:spacing w:before="0" w:after="40" w:line="240" w:lineRule="auto"/>
              <w:jc w:val="center"/>
            </w:pPr>
            <w:r>
              <w:rPr>
                <w:sz w:val="18"/>
              </w:rPr>
              <w:t>E</w:t>
            </w:r>
          </w:p>
        </w:tc>
        <w:tc>
          <w:tcPr>
            <w:tcW w:type="dxa" w:w="2001"/>
          </w:tcPr>
          <w:p>
            <w:pPr>
              <w:keepNext/>
              <w:keepLines/>
              <w:spacing w:before="0" w:after="40" w:line="240" w:lineRule="auto"/>
              <w:jc w:val="center"/>
            </w:pPr>
            <w:r>
              <w:rPr>
                <w:sz w:val="18"/>
              </w:rPr>
              <w:t>F</w:t>
            </w:r>
          </w:p>
        </w:tc>
      </w:tr>
      <w:tr>
        <w:trPr>
          <w:cantSplit/>
        </w:trPr>
        <w:tc>
          <w:tcPr>
            <w:tcW w:type="dxa" w:w="999"/>
          </w:tcPr>
          <w:p>
            <w:pPr>
              <w:pStyle w:val="Compact"/>
              <w:keepNext w:val="0"/>
              <w:keepLines/>
              <w:spacing w:before="0" w:after="40" w:line="240" w:lineRule="auto"/>
              <w:jc w:val="left"/>
            </w:pPr>
            <w:r>
              <w:rPr>
                <w:sz w:val="18"/>
              </w:rPr>
              <w:t xml:space="preserve">2012</w:t>
            </w:r>
          </w:p>
        </w:tc>
        <w:tc>
          <w:tcPr>
            <w:tcW w:type="dxa" w:w="999"/>
          </w:tcPr>
          <w:p>
            <w:pPr>
              <w:pStyle w:val="Compact"/>
              <w:keepNext w:val="0"/>
              <w:keepLines/>
              <w:spacing w:before="0" w:after="40" w:line="240" w:lineRule="auto"/>
              <w:jc w:val="center"/>
            </w:pPr>
            <w:r>
              <w:rPr>
                <w:sz w:val="18"/>
              </w:rPr>
              <w:t xml:space="preserve">0.087</w:t>
            </w:r>
          </w:p>
        </w:tc>
        <w:tc>
          <w:tcPr>
            <w:tcW w:type="dxa" w:w="2001"/>
          </w:tcPr>
          <w:p>
            <w:pPr>
              <w:pStyle w:val="Compact"/>
              <w:keepNext w:val="0"/>
              <w:keepLines/>
              <w:spacing w:before="0" w:after="40" w:line="240" w:lineRule="auto"/>
              <w:jc w:val="center"/>
            </w:pPr>
            <w:r>
              <w:rPr>
                <w:sz w:val="18"/>
              </w:rPr>
              <w:t xml:space="preserve">[0.008, 0.157]</w:t>
            </w:r>
          </w:p>
        </w:tc>
        <w:tc>
          <w:tcPr>
            <w:tcW w:type="dxa" w:w="2001"/>
          </w:tcPr>
          <w:p>
            <w:pPr>
              <w:pStyle w:val="Compact"/>
              <w:keepNext w:val="0"/>
              <w:keepLines/>
              <w:spacing w:before="0" w:after="40" w:line="240" w:lineRule="auto"/>
              <w:jc w:val="center"/>
            </w:pPr>
            <w:r>
              <w:rPr>
                <w:sz w:val="18"/>
              </w:rPr>
              <w:t xml:space="preserve">[0.008, 0.157]</w:t>
            </w:r>
          </w:p>
        </w:tc>
        <w:tc>
          <w:tcPr>
            <w:tcW w:type="dxa" w:w="2001"/>
          </w:tcPr>
          <w:p>
            <w:pPr>
              <w:pStyle w:val="Compact"/>
              <w:keepNext w:val="0"/>
              <w:keepLines/>
              <w:spacing w:before="0" w:after="40" w:line="240" w:lineRule="auto"/>
              <w:jc w:val="center"/>
            </w:pPr>
            <w:r>
              <w:rPr>
                <w:sz w:val="18"/>
              </w:rPr>
              <w:t xml:space="preserve">[0.027, 0.140]</w:t>
            </w:r>
          </w:p>
        </w:tc>
        <w:tc>
          <w:tcPr>
            <w:tcW w:type="dxa" w:w="2001"/>
          </w:tcPr>
          <w:p>
            <w:pPr>
              <w:pStyle w:val="Compact"/>
              <w:keepNext w:val="0"/>
              <w:keepLines/>
              <w:spacing w:before="0" w:after="40" w:line="240" w:lineRule="auto"/>
              <w:jc w:val="center"/>
            </w:pPr>
            <w:r>
              <w:rPr>
                <w:sz w:val="18"/>
              </w:rPr>
              <w:t xml:space="preserve">–</w:t>
            </w:r>
          </w:p>
        </w:tc>
        <w:tc>
          <w:tcPr>
            <w:tcW w:type="dxa" w:w="2001"/>
          </w:tcPr>
          <w:p>
            <w:pPr>
              <w:pStyle w:val="Compact"/>
              <w:keepNext w:val="0"/>
              <w:keepLines/>
              <w:spacing w:before="0" w:after="40" w:line="240" w:lineRule="auto"/>
              <w:jc w:val="center"/>
            </w:pPr>
            <w:r>
              <w:rPr>
                <w:sz w:val="18"/>
              </w:rPr>
              <w:t xml:space="preserve">–</w:t>
            </w:r>
          </w:p>
        </w:tc>
        <w:tc>
          <w:tcPr>
            <w:tcW w:type="dxa" w:w="2001"/>
          </w:tcPr>
          <w:p>
            <w:pPr>
              <w:pStyle w:val="Compact"/>
              <w:keepNext w:val="0"/>
              <w:keepLines/>
              <w:spacing w:before="0" w:after="40" w:line="240" w:lineRule="auto"/>
              <w:jc w:val="center"/>
            </w:pPr>
            <w:r>
              <w:rPr>
                <w:sz w:val="18"/>
              </w:rPr>
              <w:t xml:space="preserve">–</w:t>
            </w:r>
          </w:p>
        </w:tc>
      </w:tr>
      <w:tr>
        <w:trPr>
          <w:cantSplit/>
        </w:trPr>
        <w:tc>
          <w:tcPr>
            <w:tcW w:type="dxa" w:w="999"/>
          </w:tcPr>
          <w:p>
            <w:pPr>
              <w:pStyle w:val="Compact"/>
              <w:keepNext w:val="0"/>
              <w:keepLines/>
              <w:spacing w:before="0" w:after="40" w:line="240" w:lineRule="auto"/>
              <w:jc w:val="left"/>
            </w:pPr>
            <w:r>
              <w:rPr>
                <w:sz w:val="18"/>
              </w:rPr>
              <w:t xml:space="preserve">2017</w:t>
            </w:r>
          </w:p>
        </w:tc>
        <w:tc>
          <w:tcPr>
            <w:tcW w:type="dxa" w:w="999"/>
          </w:tcPr>
          <w:p>
            <w:pPr>
              <w:pStyle w:val="Compact"/>
              <w:keepNext w:val="0"/>
              <w:keepLines/>
              <w:spacing w:before="0" w:after="40" w:line="240" w:lineRule="auto"/>
              <w:jc w:val="center"/>
            </w:pPr>
            <w:r>
              <w:rPr>
                <w:sz w:val="18"/>
              </w:rPr>
              <w:t xml:space="preserve">0.013</w:t>
            </w:r>
          </w:p>
        </w:tc>
        <w:tc>
          <w:tcPr>
            <w:tcW w:type="dxa" w:w="2001"/>
          </w:tcPr>
          <w:p>
            <w:pPr>
              <w:pStyle w:val="Compact"/>
              <w:keepNext w:val="0"/>
              <w:keepLines/>
              <w:spacing w:before="0" w:after="40" w:line="240" w:lineRule="auto"/>
              <w:jc w:val="center"/>
            </w:pPr>
            <w:r>
              <w:rPr>
                <w:bCs/>
                <w:b/>
                <w:sz w:val="18"/>
              </w:rPr>
              <w:t xml:space="preserve">[−0.428, 0.450]</w:t>
            </w:r>
          </w:p>
        </w:tc>
        <w:tc>
          <w:tcPr>
            <w:tcW w:type="dxa" w:w="2001"/>
          </w:tcPr>
          <w:p>
            <w:pPr>
              <w:pStyle w:val="Compact"/>
              <w:keepNext w:val="0"/>
              <w:keepLines/>
              <w:spacing w:before="0" w:after="40" w:line="240" w:lineRule="auto"/>
              <w:jc w:val="center"/>
            </w:pPr>
            <w:r>
              <w:rPr>
                <w:bCs/>
                <w:b/>
                <w:sz w:val="18"/>
              </w:rPr>
              <w:t xml:space="preserve">[−0.136, 0.162]</w:t>
            </w:r>
          </w:p>
        </w:tc>
        <w:tc>
          <w:tcPr>
            <w:tcW w:type="dxa" w:w="2001"/>
          </w:tcPr>
          <w:p>
            <w:pPr>
              <w:pStyle w:val="Compact"/>
              <w:keepNext w:val="0"/>
              <w:keepLines/>
              <w:spacing w:before="0" w:after="40" w:line="240" w:lineRule="auto"/>
              <w:jc w:val="center"/>
            </w:pPr>
            <w:r>
              <w:rPr>
                <w:bCs/>
                <w:b/>
                <w:sz w:val="18"/>
              </w:rPr>
              <w:t xml:space="preserve">[−0.060, 0.085]</w:t>
            </w:r>
          </w:p>
        </w:tc>
        <w:tc>
          <w:tcPr>
            <w:tcW w:type="dxa" w:w="2001"/>
          </w:tcPr>
          <w:p>
            <w:pPr>
              <w:pStyle w:val="Compact"/>
              <w:keepNext w:val="0"/>
              <w:keepLines/>
              <w:spacing w:before="0" w:after="40" w:line="240" w:lineRule="auto"/>
              <w:jc w:val="center"/>
            </w:pPr>
            <w:r>
              <w:rPr>
                <w:sz w:val="18"/>
              </w:rPr>
              <w:t xml:space="preserve">–</w:t>
            </w:r>
          </w:p>
        </w:tc>
        <w:tc>
          <w:tcPr>
            <w:tcW w:type="dxa" w:w="2001"/>
          </w:tcPr>
          <w:p>
            <w:pPr>
              <w:pStyle w:val="Compact"/>
              <w:keepNext w:val="0"/>
              <w:keepLines/>
              <w:spacing w:before="0" w:after="40" w:line="240" w:lineRule="auto"/>
              <w:jc w:val="center"/>
            </w:pPr>
            <w:r>
              <w:rPr>
                <w:sz w:val="18"/>
              </w:rPr>
              <w:t xml:space="preserve">–</w:t>
            </w:r>
          </w:p>
        </w:tc>
        <w:tc>
          <w:tcPr>
            <w:tcW w:type="dxa" w:w="2001"/>
          </w:tcPr>
          <w:p>
            <w:pPr>
              <w:pStyle w:val="Compact"/>
              <w:keepNext w:val="0"/>
              <w:keepLines/>
              <w:spacing w:before="0" w:after="40" w:line="240" w:lineRule="auto"/>
              <w:jc w:val="center"/>
            </w:pPr>
            <w:r>
              <w:rPr>
                <w:sz w:val="18"/>
              </w:rPr>
              <w:t xml:space="preserve">–</w:t>
            </w:r>
          </w:p>
        </w:tc>
      </w:tr>
      <w:tr>
        <w:trPr>
          <w:cantSplit/>
        </w:trPr>
        <w:tc>
          <w:tcPr>
            <w:tcW w:type="dxa" w:w="999"/>
          </w:tcPr>
          <w:p>
            <w:pPr>
              <w:pStyle w:val="Compact"/>
              <w:keepNext w:val="0"/>
              <w:keepLines/>
              <w:spacing w:before="0" w:after="40" w:line="240" w:lineRule="auto"/>
              <w:jc w:val="left"/>
            </w:pPr>
            <w:r>
              <w:rPr>
                <w:sz w:val="18"/>
              </w:rPr>
              <w:t xml:space="preserve">2022</w:t>
            </w:r>
          </w:p>
        </w:tc>
        <w:tc>
          <w:tcPr>
            <w:tcW w:type="dxa" w:w="999"/>
          </w:tcPr>
          <w:p>
            <w:pPr>
              <w:pStyle w:val="Compact"/>
              <w:keepNext w:val="0"/>
              <w:keepLines/>
              <w:spacing w:before="0" w:after="40" w:line="240" w:lineRule="auto"/>
              <w:jc w:val="center"/>
            </w:pPr>
            <w:r>
              <w:rPr>
                <w:sz w:val="18"/>
              </w:rPr>
              <w:t xml:space="preserve">0.097</w:t>
            </w:r>
          </w:p>
        </w:tc>
        <w:tc>
          <w:tcPr>
            <w:tcW w:type="dxa" w:w="2001"/>
          </w:tcPr>
          <w:p>
            <w:pPr>
              <w:pStyle w:val="Compact"/>
              <w:keepNext w:val="0"/>
              <w:keepLines/>
              <w:spacing w:before="0" w:after="40" w:line="240" w:lineRule="auto"/>
              <w:jc w:val="center"/>
            </w:pPr>
            <w:r>
              <w:rPr>
                <w:bCs/>
                <w:b/>
                <w:sz w:val="18"/>
              </w:rPr>
              <w:t xml:space="preserve">[−0.615, 0.704]</w:t>
            </w:r>
          </w:p>
        </w:tc>
        <w:tc>
          <w:tcPr>
            <w:tcW w:type="dxa" w:w="2001"/>
          </w:tcPr>
          <w:p>
            <w:pPr>
              <w:pStyle w:val="Compact"/>
              <w:keepNext w:val="0"/>
              <w:keepLines/>
              <w:spacing w:before="0" w:after="40" w:line="240" w:lineRule="auto"/>
              <w:jc w:val="center"/>
            </w:pPr>
            <w:r>
              <w:rPr>
                <w:bCs/>
                <w:b/>
                <w:sz w:val="18"/>
              </w:rPr>
              <w:t xml:space="preserve">[−0.100, 0.264]</w:t>
            </w:r>
          </w:p>
        </w:tc>
        <w:tc>
          <w:tcPr>
            <w:tcW w:type="dxa" w:w="2001"/>
          </w:tcPr>
          <w:p>
            <w:pPr>
              <w:pStyle w:val="Compact"/>
              <w:keepNext w:val="0"/>
              <w:keepLines/>
              <w:spacing w:before="0" w:after="40" w:line="240" w:lineRule="auto"/>
              <w:jc w:val="center"/>
            </w:pPr>
            <w:r>
              <w:rPr>
                <w:sz w:val="18"/>
              </w:rPr>
              <w:t xml:space="preserve">[0.014, 0.175]</w:t>
            </w:r>
          </w:p>
        </w:tc>
        <w:tc>
          <w:tcPr>
            <w:tcW w:type="dxa" w:w="2001"/>
          </w:tcPr>
          <w:p>
            <w:pPr>
              <w:pStyle w:val="Compact"/>
              <w:keepNext w:val="0"/>
              <w:keepLines/>
              <w:spacing w:before="0" w:after="40" w:line="240" w:lineRule="auto"/>
              <w:jc w:val="center"/>
            </w:pPr>
            <w:r>
              <w:rPr>
                <w:bCs/>
                <w:b/>
                <w:sz w:val="18"/>
              </w:rPr>
              <w:t xml:space="preserve">[−0.283, 0.448]</w:t>
            </w:r>
          </w:p>
        </w:tc>
        <w:tc>
          <w:tcPr>
            <w:tcW w:type="dxa" w:w="2001"/>
          </w:tcPr>
          <w:p>
            <w:pPr>
              <w:pStyle w:val="Compact"/>
              <w:keepNext w:val="0"/>
              <w:keepLines/>
              <w:spacing w:before="0" w:after="40" w:line="240" w:lineRule="auto"/>
              <w:jc w:val="center"/>
            </w:pPr>
            <w:r>
              <w:rPr>
                <w:bCs/>
                <w:b/>
                <w:sz w:val="18"/>
              </w:rPr>
              <w:t xml:space="preserve">[−0.026, 0.223]</w:t>
            </w:r>
          </w:p>
        </w:tc>
        <w:tc>
          <w:tcPr>
            <w:tcW w:type="dxa" w:w="2001"/>
          </w:tcPr>
          <w:p>
            <w:pPr>
              <w:pStyle w:val="Compact"/>
              <w:keepNext w:val="0"/>
              <w:keepLines/>
              <w:spacing w:before="0" w:after="40" w:line="240" w:lineRule="auto"/>
              <w:jc w:val="center"/>
            </w:pPr>
            <w:r>
              <w:rPr>
                <w:bCs/>
                <w:b/>
                <w:sz w:val="18"/>
              </w:rPr>
              <w:t xml:space="preserve">[−0.027, 0.222]</w:t>
            </w:r>
          </w:p>
        </w:tc>
      </w:tr>
      <w:tr>
        <w:trPr>
          <w:cantSplit/>
        </w:trPr>
        <w:tc>
          <w:tcPr>
            <w:tcW w:type="dxa" w:w="999"/>
          </w:tcPr>
          <w:p>
            <w:pPr>
              <w:pStyle w:val="Compact"/>
              <w:keepNext w:val="0"/>
              <w:keepLines/>
              <w:spacing w:before="0" w:after="40" w:line="240" w:lineRule="auto"/>
              <w:jc w:val="left"/>
            </w:pPr>
            <w:r>
              <w:rPr>
                <w:sz w:val="18"/>
              </w:rPr>
              <w:t xml:space="preserve">2024</w:t>
            </w:r>
          </w:p>
        </w:tc>
        <w:tc>
          <w:tcPr>
            <w:tcW w:type="dxa" w:w="999"/>
          </w:tcPr>
          <w:p>
            <w:pPr>
              <w:pStyle w:val="Compact"/>
              <w:keepNext w:val="0"/>
              <w:keepLines/>
              <w:spacing w:before="0" w:after="40" w:line="240" w:lineRule="auto"/>
              <w:jc w:val="center"/>
            </w:pPr>
            <w:r>
              <w:rPr>
                <w:sz w:val="18"/>
              </w:rPr>
              <w:t xml:space="preserve">0.102</w:t>
            </w:r>
          </w:p>
        </w:tc>
        <w:tc>
          <w:tcPr>
            <w:tcW w:type="dxa" w:w="2001"/>
          </w:tcPr>
          <w:p>
            <w:pPr>
              <w:pStyle w:val="Compact"/>
              <w:keepNext w:val="0"/>
              <w:keepLines/>
              <w:spacing w:before="0" w:after="40" w:line="240" w:lineRule="auto"/>
              <w:jc w:val="center"/>
            </w:pPr>
            <w:r>
              <w:rPr>
                <w:bCs/>
                <w:b/>
                <w:sz w:val="18"/>
              </w:rPr>
              <w:t xml:space="preserve">[−0.553, 0.683]</w:t>
            </w:r>
          </w:p>
        </w:tc>
        <w:tc>
          <w:tcPr>
            <w:tcW w:type="dxa" w:w="2001"/>
          </w:tcPr>
          <w:p>
            <w:pPr>
              <w:pStyle w:val="Compact"/>
              <w:keepNext w:val="0"/>
              <w:keepLines/>
              <w:spacing w:before="0" w:after="40" w:line="240" w:lineRule="auto"/>
              <w:jc w:val="center"/>
            </w:pPr>
            <w:r>
              <w:rPr>
                <w:bCs/>
                <w:b/>
                <w:sz w:val="18"/>
              </w:rPr>
              <w:t xml:space="preserve">[−0.077, 0.254]</w:t>
            </w:r>
          </w:p>
        </w:tc>
        <w:tc>
          <w:tcPr>
            <w:tcW w:type="dxa" w:w="2001"/>
          </w:tcPr>
          <w:p>
            <w:pPr>
              <w:pStyle w:val="Compact"/>
              <w:keepNext w:val="0"/>
              <w:keepLines/>
              <w:spacing w:before="0" w:after="40" w:line="240" w:lineRule="auto"/>
              <w:jc w:val="center"/>
            </w:pPr>
            <w:r>
              <w:rPr>
                <w:sz w:val="18"/>
              </w:rPr>
              <w:t xml:space="preserve">[0.033, 0.164]</w:t>
            </w:r>
          </w:p>
        </w:tc>
        <w:tc>
          <w:tcPr>
            <w:tcW w:type="dxa" w:w="2001"/>
          </w:tcPr>
          <w:p>
            <w:pPr>
              <w:pStyle w:val="Compact"/>
              <w:keepNext w:val="0"/>
              <w:keepLines/>
              <w:spacing w:before="0" w:after="40" w:line="240" w:lineRule="auto"/>
              <w:jc w:val="center"/>
            </w:pPr>
            <w:r>
              <w:rPr>
                <w:bCs/>
                <w:b/>
                <w:sz w:val="18"/>
              </w:rPr>
              <w:t xml:space="preserve">[−0.185, 0.372]</w:t>
            </w:r>
          </w:p>
        </w:tc>
        <w:tc>
          <w:tcPr>
            <w:tcW w:type="dxa" w:w="2001"/>
          </w:tcPr>
          <w:p>
            <w:pPr>
              <w:pStyle w:val="Compact"/>
              <w:keepNext w:val="0"/>
              <w:keepLines/>
              <w:spacing w:before="0" w:after="40" w:line="240" w:lineRule="auto"/>
              <w:jc w:val="center"/>
            </w:pPr>
            <w:r>
              <w:rPr>
                <w:sz w:val="18"/>
              </w:rPr>
              <w:t xml:space="preserve">[0.001, 0.206]</w:t>
            </w:r>
          </w:p>
        </w:tc>
        <w:tc>
          <w:tcPr>
            <w:tcW w:type="dxa" w:w="2001"/>
          </w:tcPr>
          <w:p>
            <w:pPr>
              <w:pStyle w:val="Compact"/>
              <w:keepNext w:val="0"/>
              <w:keepLines/>
              <w:spacing w:before="0" w:after="40" w:line="240" w:lineRule="auto"/>
              <w:jc w:val="center"/>
            </w:pPr>
            <w:r>
              <w:rPr>
                <w:bCs/>
                <w:b/>
                <w:sz w:val="18"/>
              </w:rPr>
              <w:t xml:space="preserve">[−0.003, 0.200]</w:t>
            </w:r>
          </w:p>
        </w:tc>
      </w:tr>
      <w:tr>
        <w:trPr>
          <w:cantSplit/>
        </w:trPr>
        <w:tc>
          <w:tcPr>
            <w:tcW w:type="dxa" w:w="999"/>
          </w:tcPr>
          <w:p>
            <w:pPr>
              <w:pStyle w:val="Compact"/>
              <w:keepNext w:val="0"/>
              <w:keepLines/>
              <w:spacing w:before="0" w:after="40" w:line="240" w:lineRule="auto"/>
              <w:jc w:val="left"/>
            </w:pPr>
            <w:r>
              <w:rPr>
                <w:sz w:val="18"/>
              </w:rPr>
              <w:t xml:space="preserve">2025</w:t>
            </w:r>
          </w:p>
        </w:tc>
        <w:tc>
          <w:tcPr>
            <w:tcW w:type="dxa" w:w="999"/>
          </w:tcPr>
          <w:p>
            <w:pPr>
              <w:pStyle w:val="Compact"/>
              <w:keepNext w:val="0"/>
              <w:keepLines/>
              <w:spacing w:before="0" w:after="40" w:line="240" w:lineRule="auto"/>
              <w:jc w:val="center"/>
            </w:pPr>
            <w:r>
              <w:rPr>
                <w:sz w:val="18"/>
              </w:rPr>
              <w:t xml:space="preserve">0.063</w:t>
            </w:r>
          </w:p>
        </w:tc>
        <w:tc>
          <w:tcPr>
            <w:tcW w:type="dxa" w:w="2001"/>
          </w:tcPr>
          <w:p>
            <w:pPr>
              <w:pStyle w:val="Compact"/>
              <w:keepNext w:val="0"/>
              <w:keepLines/>
              <w:spacing w:before="0" w:after="40" w:line="240" w:lineRule="auto"/>
              <w:jc w:val="center"/>
            </w:pPr>
            <w:r>
              <w:rPr>
                <w:bCs/>
                <w:b/>
                <w:sz w:val="18"/>
              </w:rPr>
              <w:t xml:space="preserve">[−0.468, 0.552]</w:t>
            </w:r>
          </w:p>
        </w:tc>
        <w:tc>
          <w:tcPr>
            <w:tcW w:type="dxa" w:w="2001"/>
          </w:tcPr>
          <w:p>
            <w:pPr>
              <w:pStyle w:val="Compact"/>
              <w:keepNext w:val="0"/>
              <w:keepLines/>
              <w:spacing w:before="0" w:after="40" w:line="240" w:lineRule="auto"/>
              <w:jc w:val="center"/>
            </w:pPr>
            <w:r>
              <w:rPr>
                <w:bCs/>
                <w:b/>
                <w:sz w:val="18"/>
              </w:rPr>
              <w:t xml:space="preserve">[−0.104, 0.232]</w:t>
            </w:r>
          </w:p>
        </w:tc>
        <w:tc>
          <w:tcPr>
            <w:tcW w:type="dxa" w:w="2001"/>
          </w:tcPr>
          <w:p>
            <w:pPr>
              <w:pStyle w:val="Compact"/>
              <w:keepNext w:val="0"/>
              <w:keepLines/>
              <w:spacing w:before="0" w:after="40" w:line="240" w:lineRule="auto"/>
              <w:jc w:val="center"/>
            </w:pPr>
            <w:r>
              <w:rPr>
                <w:sz w:val="18"/>
              </w:rPr>
              <w:t xml:space="preserve">[0.002, 0.149]</w:t>
            </w:r>
          </w:p>
        </w:tc>
        <w:tc>
          <w:tcPr>
            <w:tcW w:type="dxa" w:w="2001"/>
          </w:tcPr>
          <w:p>
            <w:pPr>
              <w:pStyle w:val="Compact"/>
              <w:keepNext w:val="0"/>
              <w:keepLines/>
              <w:spacing w:before="0" w:after="40" w:line="240" w:lineRule="auto"/>
              <w:jc w:val="center"/>
            </w:pPr>
            <w:r>
              <w:rPr>
                <w:bCs/>
                <w:b/>
                <w:sz w:val="18"/>
              </w:rPr>
              <w:t xml:space="preserve">[−0.283, 0.411]</w:t>
            </w:r>
          </w:p>
        </w:tc>
        <w:tc>
          <w:tcPr>
            <w:tcW w:type="dxa" w:w="2001"/>
          </w:tcPr>
          <w:p>
            <w:pPr>
              <w:pStyle w:val="Compact"/>
              <w:keepNext w:val="0"/>
              <w:keepLines/>
              <w:spacing w:before="0" w:after="40" w:line="240" w:lineRule="auto"/>
              <w:jc w:val="center"/>
            </w:pPr>
            <w:r>
              <w:rPr>
                <w:bCs/>
                <w:b/>
                <w:sz w:val="18"/>
              </w:rPr>
              <w:t xml:space="preserve">[−0.037, 0.194]</w:t>
            </w:r>
          </w:p>
        </w:tc>
        <w:tc>
          <w:tcPr>
            <w:tcW w:type="dxa" w:w="2001"/>
          </w:tcPr>
          <w:p>
            <w:pPr>
              <w:pStyle w:val="Compact"/>
              <w:keepNext w:val="0"/>
              <w:keepLines/>
              <w:spacing w:before="0" w:after="40" w:line="240" w:lineRule="auto"/>
              <w:jc w:val="center"/>
            </w:pPr>
            <w:r>
              <w:rPr>
                <w:bCs/>
                <w:b/>
                <w:sz w:val="18"/>
              </w:rPr>
              <w:t xml:space="preserve">[−0.062, 0.183]</w:t>
            </w:r>
          </w:p>
        </w:tc>
      </w:tr>
      <w:tr>
        <w:trPr>
          <w:cantSplit/>
        </w:trPr>
        <w:tc>
          <w:tcPr>
            <w:tcW w:type="dxa" w:w="999"/>
          </w:tcPr>
          <w:p>
            <w:pPr>
              <w:pStyle w:val="Compact"/>
              <w:keepNext w:val="0"/>
              <w:keepLines/>
              <w:spacing w:before="0" w:after="40" w:line="240" w:lineRule="auto"/>
              <w:jc w:val="left"/>
            </w:pPr>
            <w:r>
              <w:rPr>
                <w:sz w:val="18"/>
              </w:rPr>
              <w:t xml:space="preserve">2026</w:t>
            </w:r>
          </w:p>
        </w:tc>
        <w:tc>
          <w:tcPr>
            <w:tcW w:type="dxa" w:w="999"/>
          </w:tcPr>
          <w:p>
            <w:pPr>
              <w:pStyle w:val="Compact"/>
              <w:keepNext w:val="0"/>
              <w:keepLines/>
              <w:spacing w:before="0" w:after="40" w:line="240" w:lineRule="auto"/>
              <w:jc w:val="center"/>
            </w:pPr>
            <w:r>
              <w:rPr>
                <w:sz w:val="18"/>
              </w:rPr>
              <w:t xml:space="preserve">0.086</w:t>
            </w:r>
          </w:p>
        </w:tc>
        <w:tc>
          <w:tcPr>
            <w:tcW w:type="dxa" w:w="2001"/>
          </w:tcPr>
          <w:p>
            <w:pPr>
              <w:pStyle w:val="Compact"/>
              <w:keepNext w:val="0"/>
              <w:keepLines/>
              <w:spacing w:before="0" w:after="40" w:line="240" w:lineRule="auto"/>
              <w:jc w:val="center"/>
            </w:pPr>
            <w:r>
              <w:rPr>
                <w:bCs/>
                <w:b/>
                <w:sz w:val="18"/>
              </w:rPr>
              <w:t xml:space="preserve">[−0.279, 0.439]</w:t>
            </w:r>
          </w:p>
        </w:tc>
        <w:tc>
          <w:tcPr>
            <w:tcW w:type="dxa" w:w="2001"/>
          </w:tcPr>
          <w:p>
            <w:pPr>
              <w:pStyle w:val="Compact"/>
              <w:keepNext w:val="0"/>
              <w:keepLines/>
              <w:spacing w:before="0" w:after="40" w:line="240" w:lineRule="auto"/>
              <w:jc w:val="center"/>
            </w:pPr>
            <w:r>
              <w:rPr>
                <w:bCs/>
                <w:b/>
                <w:sz w:val="18"/>
              </w:rPr>
              <w:t xml:space="preserve">[−0.046, 0.234]</w:t>
            </w:r>
          </w:p>
        </w:tc>
        <w:tc>
          <w:tcPr>
            <w:tcW w:type="dxa" w:w="2001"/>
          </w:tcPr>
          <w:p>
            <w:pPr>
              <w:pStyle w:val="Compact"/>
              <w:keepNext w:val="0"/>
              <w:keepLines/>
              <w:spacing w:before="0" w:after="40" w:line="240" w:lineRule="auto"/>
              <w:jc w:val="center"/>
            </w:pPr>
            <w:r>
              <w:rPr>
                <w:sz w:val="18"/>
              </w:rPr>
              <w:t xml:space="preserve">[0.072, 0.138]</w:t>
            </w:r>
          </w:p>
        </w:tc>
        <w:tc>
          <w:tcPr>
            <w:tcW w:type="dxa" w:w="2001"/>
          </w:tcPr>
          <w:p>
            <w:pPr>
              <w:pStyle w:val="Compact"/>
              <w:keepNext w:val="0"/>
              <w:keepLines/>
              <w:spacing w:before="0" w:after="40" w:line="240" w:lineRule="auto"/>
              <w:jc w:val="center"/>
            </w:pPr>
            <w:r>
              <w:rPr>
                <w:sz w:val="18"/>
              </w:rPr>
              <w:t xml:space="preserve">[0.010, 0.201]</w:t>
            </w:r>
          </w:p>
        </w:tc>
        <w:tc>
          <w:tcPr>
            <w:tcW w:type="dxa" w:w="2001"/>
          </w:tcPr>
          <w:p>
            <w:pPr>
              <w:pStyle w:val="Compact"/>
              <w:keepNext w:val="0"/>
              <w:keepLines/>
              <w:spacing w:before="0" w:after="40" w:line="240" w:lineRule="auto"/>
              <w:jc w:val="center"/>
            </w:pPr>
            <w:r>
              <w:rPr>
                <w:sz w:val="18"/>
              </w:rPr>
              <w:t xml:space="preserve">[0.054, 0.156]</w:t>
            </w:r>
          </w:p>
        </w:tc>
        <w:tc>
          <w:tcPr>
            <w:tcW w:type="dxa" w:w="2001"/>
          </w:tcPr>
          <w:p>
            <w:pPr>
              <w:pStyle w:val="Compact"/>
              <w:keepNext w:val="0"/>
              <w:keepLines/>
              <w:spacing w:before="0" w:after="40" w:line="240" w:lineRule="auto"/>
              <w:jc w:val="center"/>
            </w:pPr>
            <w:r>
              <w:rPr>
                <w:sz w:val="18"/>
              </w:rPr>
              <w:t xml:space="preserve">[0.052, 0.154]</w:t>
            </w:r>
          </w:p>
        </w:tc>
      </w:tr>
    </w:tbl>
    <w:p>
      <w:pPr>
        <w:pStyle w:val="BodyText"/>
        <w:spacing w:line="240" w:lineRule="auto" w:before="80" w:after="120"/>
      </w:pPr>
      <w:r>
        <w:rPr>
          <w:iCs/>
          <w:i/>
          <w:sz w:val="18"/>
        </w:rPr>
        <w:t xml:space="preserve">Notes.</w:t>
      </w:r>
      <w:r>
        <w:rPr>
          <w:sz w:val="18"/>
        </w:rPr>
        <w:t xml:space="preserve"> </w:t>
      </w:r>
      <w:r>
        <w:rPr>
          <w:sz w:val="18"/>
        </w:rPr>
        <w:t xml:space="preserve">Bold ranges include zero; their sign is not identified. Slope of the conservative share among residents (roll-based share z) on log median apartment price per square meter; 0.1 means a neighborhood with prices twice as high has a share about 7 points higher. Within National Assembly constituencies in 2024 the ranges are [−0.729, 0.816] (A), [0.004, 0.166] (C), [−0.269, 0.427] (D) and [−0.035, 0.221] (E). Election day: point-identified valid-vote share among election-day voters (Online Appendix Table C20). Conventional estimates: Table C1. High-minus-low contrasts: Table 3 and Table C11. (A) every allocation consistent with the counts, rolls and statutory zones; (B) minimal movement; (C) adds out-of-zone ballots within 10 points of the station; (D) replaces (B) with mobility-calibrated movement; (E) adds residents’ early ballots within their station’s departure plus 2 points of the benchmark; (F) price-dependent benchmark. Definitions in Section 3.4 and Online Appendix A.</w:t>
      </w:r>
    </w:p>
    <w:p>
      <w:pPr>
        <w:sectPr>
          <w:pgMar w:top="1417" w:bottom="1417" w:left="1417" w:right="1417"/>
          <w:pgSz w:w="16838" w:h="11906" w:orient="landscape"/>
          <w:type w:val="nextPage"/>
        </w:sectPr>
      </w:pPr>
    </w:p>
    <w:p>
      <w:pPr>
        <w:pStyle w:val="BodyText"/>
      </w:pPr>
      <w:r>
        <w:rPr>
          <w:iCs/>
          <w:i/>
        </w:rPr>
        <w:t xml:space="preserve">Election-day voters.</w:t>
      </w:r>
      <w:r>
        <w:t xml:space="preserve"> </w:t>
      </w:r>
      <w:r>
        <w:t xml:space="preserve">Election-day ballots are counted in the voter’s own voting district, so the slope of the conservative share among election-day voters needs no allocation assumption (Table 2). It is positive in 2012 and in the four sampled elections from 2022 and close to zero in 2017: 0.097, 0.102, 0.063 and 0.086 in 2022, 2024, 2025 and 2026, and 0.079, 0.078, 0.041 and 0.069 outside Gangnam, Seocho and Songpa (Online Appendix Table C20). The rest of this section asks whether the same holds for all residents, including the third to half who voted early.</w:t>
      </w:r>
    </w:p>
    <w:p>
      <w:pPr>
        <w:pStyle w:val="BodyText"/>
      </w:pPr>
      <w:r>
        <w:rPr>
          <w:iCs/>
          <w:i/>
        </w:rPr>
        <w:t xml:space="preserve">The returns alone.</w:t>
      </w:r>
      <w:r>
        <w:t xml:space="preserve"> </w:t>
      </w:r>
      <w:r>
        <w:t xml:space="preserve">The conventional estimates, computed from the published neighborhood rows, are positive in every election. But with the returns and rolls alone, the within-district relation among all residents could be strongly positive or strongly negative in every election since 2014 (column A); in 2022–2026 the ranges are 7 to 14 times as wide as the conventional estimates themselves, and in 2017, when the conventional estimate is close to zero, far wider still. The contrast between higher- and lower-price halves of each district ranges from about</w:t>
      </w:r>
      <w:r>
        <w:t xml:space="preserve"> </w:t>
      </w:r>
      <m:oMath>
        <m:r>
          <m:rPr>
            <m:sty m:val="p"/>
          </m:rPr>
          <m:t>−</m:t>
        </m:r>
        <m:r>
          <m:t>43</m:t>
        </m:r>
      </m:oMath>
      <w:r>
        <w:t xml:space="preserve"> </w:t>
      </w:r>
      <w:r>
        <w:t xml:space="preserve">to</w:t>
      </w:r>
      <w:r>
        <w:t xml:space="preserve"> </w:t>
      </w:r>
      <m:oMath>
        <m:r>
          <m:rPr>
            <m:sty m:val="p"/>
          </m:rPr>
          <m:t>+</m:t>
        </m:r>
        <m:r>
          <m:t>47</m:t>
        </m:r>
      </m:oMath>
      <w:r>
        <w:t xml:space="preserve"> </w:t>
      </w:r>
      <w:r>
        <w:t xml:space="preserve">points in 2022 and from</w:t>
      </w:r>
      <w:r>
        <w:t xml:space="preserve"> </w:t>
      </w:r>
      <m:oMath>
        <m:r>
          <m:rPr>
            <m:sty m:val="p"/>
          </m:rPr>
          <m:t>−</m:t>
        </m:r>
        <m:r>
          <m:t>20</m:t>
        </m:r>
      </m:oMath>
      <w:r>
        <w:t xml:space="preserve"> </w:t>
      </w:r>
      <w:r>
        <w:t xml:space="preserve">to</w:t>
      </w:r>
      <w:r>
        <w:t xml:space="preserve"> </w:t>
      </w:r>
      <m:oMath>
        <m:r>
          <m:rPr>
            <m:sty m:val="p"/>
          </m:rPr>
          <m:t>+</m:t>
        </m:r>
        <m:r>
          <m:t>25</m:t>
        </m:r>
      </m:oMath>
      <w:r>
        <w:t xml:space="preserve"> </w:t>
      </w:r>
      <w:r>
        <w:t xml:space="preserve">points in 2026, around conventional estimates of 3 to 4 points. Only in 2012, before nationwide early voting, are the returns informative without assumptions: the slope is positive, although the contrast is not established even then. The returns also say little about individual neighborhoods: with the returns alone, the median neighborhood’s conservative share in 2026 is pinned down only within a 39-point range, and the direction of the difference between adjacent neighborhoods is established for none of 445 pairs (Figure 3).</w:t>
      </w:r>
    </w:p>
    <w:p>
      <w:pPr>
        <w:pStyle w:val="CaptionedFigure"/>
        <w:keepNext/>
      </w:pPr>
      <w:r>
        <w:drawing>
          <wp:inline>
            <wp:extent cx="5334000" cy="1927387"/>
            <wp:effectExtent b="0" l="0" r="0" t="0"/>
            <wp:docPr descr="Figure 3. 2026 Seoul mayoral election. (a) Conventional neighborhood share for Oh Se-hoon (published station counts, pooled ballots dropped), in percent. (b) Width, in percentage points, of the range of each neighborhood’s residents’ share consistent with the returns alone (Table 2, column A). (c) The same under mobility-calibrated movement with out-of-zone voters within ten points of their station (Table 2, column D). Panels (b) and (c) share one scale; pp denotes percentage points. Lines are district boundaries; neighborhood boundaries from vuski (2026)." title="" id="35" name="Picture"/>
            <a:graphic>
              <a:graphicData uri="http://schemas.openxmlformats.org/drawingml/2006/picture">
                <pic:pic>
                  <pic:nvPicPr>
                    <pic:cNvPr descr="figures/fig3_map.png" id="36" name="Picture"/>
                    <pic:cNvPicPr>
                      <a:picLocks noChangeArrowheads="1" noChangeAspect="1"/>
                    </pic:cNvPicPr>
                  </pic:nvPicPr>
                  <pic:blipFill>
                    <a:blip r:embed="rId34"/>
                    <a:stretch>
                      <a:fillRect/>
                    </a:stretch>
                  </pic:blipFill>
                  <pic:spPr bwMode="auto">
                    <a:xfrm>
                      <a:off x="0" y="0"/>
                      <a:ext cx="5334000" cy="1927387"/>
                    </a:xfrm>
                    <a:prstGeom prst="rect">
                      <a:avLst/>
                    </a:prstGeom>
                    <a:noFill/>
                    <a:ln w="9525">
                      <a:noFill/>
                      <a:headEnd/>
                      <a:tailEnd/>
                    </a:ln>
                  </pic:spPr>
                </pic:pic>
              </a:graphicData>
            </a:graphic>
          </wp:inline>
        </w:drawing>
      </w:r>
    </w:p>
    <w:p>
      <w:pPr>
        <w:pStyle w:val="ImageCaption"/>
      </w:pPr>
      <w:r>
        <w:t xml:space="preserve">Figure 3. 2026 Seoul mayoral election. (a) Conventional neighborhood share for Oh Se-hoon (published station counts, pooled ballots dropped), in percent. (b) Width, in percentage points, of the range of each neighborhood’s residents’ share consistent with the returns alone (Table 2, column A). (c) The same under mobility-calibrated movement with out-of-zone voters within ten points of their station (Table 2, column D). Panels (b) and (c) share one scale; pp denotes percentage points. Lines are district boundaries; neighborhood boundaries from vuski (2026).</w:t>
      </w:r>
    </w:p>
    <w:p>
      <w:pPr>
        <w:pStyle w:val="BodyText"/>
      </w:pPr>
      <w:r>
        <w:rPr>
          <w:iCs/>
          <w:i/>
        </w:rPr>
        <w:t xml:space="preserve">Adding assumptions.</w:t>
      </w:r>
      <w:r>
        <w:t xml:space="preserve"> </w:t>
      </w:r>
      <w:r>
        <w:t xml:space="preserve">The minimal-movement benchmark (column B) establishes no direction after 2012. Adding that out-of-zone voters resemble their station within ten points (column C) yields positive slopes in every election except 2017, but only because the benchmark confines most early voters to their own neighborhood. With mobility-calibrated movement instead (column D), the relation is again undetermined in 2022, 2024 and 2025 and narrowly positive in 2026. Adding the restriction on residents’ early-vote composition (column E) raises the 2026 lower bound to 0.054 and yields a fragile positive slope in 2024, lost within constituencies or with a price-dependent benchmark (column F); 2022 and 2025 remain undetermined. Section 4.5 asks which relaxations these conclusions survive.</w:t>
      </w:r>
    </w:p>
    <w:p>
      <w:pPr>
        <w:pStyle w:val="BodyText"/>
      </w:pPr>
      <w:r>
        <w:rPr>
          <w:iCs/>
          <w:i/>
        </w:rPr>
        <w:t xml:space="preserve">Gradient and contrast.</w:t>
      </w:r>
      <w:r>
        <w:t xml:space="preserve"> </w:t>
      </w:r>
      <w:r>
        <w:t xml:space="preserve">The contrast concerns a different summary of the association. Under mobility-calibrated movement, only in 2026, and only with the third assumption, are the higher-price halves of districts established to vote more conservatively than the lower-price halves: by between 0.8 and 7.2 points, around a conventional estimate of 3.8 (Figure 2C). Within districts, then, the evidence for a price gradient is stronger than the evidence that higher-price and lower-price neighborhoods differ as groups.</w:t>
      </w:r>
    </w:p>
    <w:p>
      <w:pPr>
        <w:pStyle w:val="BodyText"/>
      </w:pPr>
      <w:r>
        <w:rPr>
          <w:iCs/>
          <w:i/>
        </w:rPr>
        <w:t xml:space="preserve">A published allocation.</w:t>
      </w:r>
      <w:r>
        <w:t xml:space="preserve"> </w:t>
      </w:r>
      <w:r>
        <w:t xml:space="preserve">Re-implementing Lee’s (2026) allocation of pooled ballots reproduces its reported correlations and slope, which lies inside our main range. Its allocation nevertheless exceeds the residents available for pooled ballots in 47 of 155 constituencies, by a median of 16 voters (Online Appendix D). More fundamentally, one allocation cannot reveal sensitivity to the rule: it would return a single slope even in 2022 or 2025, where feasible allocations give both signs.</w:t>
      </w:r>
    </w:p>
    <w:bookmarkEnd w:id="37"/>
    <w:bookmarkStart w:id="38" w:name="beyond-gangnam-seocho-and-songpa"/>
    <w:p>
      <w:pPr>
        <w:pStyle w:val="Heading2"/>
      </w:pPr>
      <w:r>
        <w:t xml:space="preserve">4.3 Beyond Gangnam, Seocho and Songpa</w:t>
      </w:r>
    </w:p>
    <w:p>
      <w:pPr>
        <w:pStyle w:val="FirstParagraph"/>
      </w:pPr>
      <w:r>
        <w:t xml:space="preserve">To assess whether the 2026 within-district result depends on Gangnam, Seocho and Songpa, we exclude their neighborhoods from the estimands. We recompute the regression and contrast weights for the 357 neighborhoods with price data among the 360 in the remaining 22 districts while retaining all accounting constraints (Table 3 and the orange bars in Figure 2).</w:t>
      </w:r>
    </w:p>
    <w:p>
      <w:pPr>
        <w:pStyle w:val="TableCaption"/>
        <w:keepNext/>
      </w:pPr>
      <w:r>
        <w:t xml:space="preserve">Table 3. Associations with and without Gangnam, Seocho and Songpa</w:t>
      </w:r>
    </w:p>
    <w:tbl>
      <w:tblPr>
        <w:tblStyle w:val="Table"/>
        <w:tblW w:type="pct" w:w="5000"/>
        <w:tblLayout w:type="fixed"/>
        <w:tblLook w:firstRow="1" w:lastRow="0" w:firstColumn="0" w:lastColumn="0" w:noHBand="0" w:noVBand="0" w:val="0020"/>
        <w:jc w:val="start"/>
        <w:tblCaption w:val="Table 3. Associations with and without Gangnam, Seocho and Songpa"/>
      </w:tblPr>
      <w:tblGrid>
        <w:gridCol w:w="1992"/>
        <w:gridCol w:w="811"/>
        <w:gridCol w:w="811"/>
        <w:gridCol w:w="1475"/>
        <w:gridCol w:w="1475"/>
        <w:gridCol w:w="1254"/>
        <w:gridCol w:w="1254"/>
      </w:tblGrid>
      <w:tr>
        <w:trPr>
          <w:tblHeader w:val="true"/>
          <w:cantSplit/>
        </w:trPr>
        <w:tc>
          <w:tcPr>
            <w:tcW w:type="dxa" w:w="1992"/>
          </w:tcPr>
          <w:p>
            <w:pPr>
              <w:pStyle w:val="Compact"/>
              <w:keepNext/>
              <w:keepLines/>
              <w:spacing w:before="0" w:after="40" w:line="240" w:lineRule="auto"/>
              <w:jc w:val="left"/>
            </w:pPr>
            <w:r>
              <w:rPr>
                <w:sz w:val="18"/>
              </w:rPr>
              <w:t xml:space="preserve">Election</w:t>
            </w:r>
          </w:p>
        </w:tc>
        <w:tc>
          <w:tcPr>
            <w:tcW w:type="dxa" w:w="811"/>
          </w:tcPr>
          <w:p>
            <w:pPr>
              <w:pStyle w:val="Compact"/>
              <w:keepNext/>
              <w:keepLines/>
              <w:spacing w:before="0" w:after="40" w:line="240" w:lineRule="auto"/>
              <w:jc w:val="center"/>
            </w:pPr>
            <w:r>
              <w:rPr>
                <w:sz w:val="18"/>
              </w:rPr>
              <w:t xml:space="preserve">Across districts: all</w:t>
            </w:r>
          </w:p>
        </w:tc>
        <w:tc>
          <w:tcPr>
            <w:tcW w:type="dxa" w:w="811"/>
          </w:tcPr>
          <w:p>
            <w:pPr>
              <w:pStyle w:val="Compact"/>
              <w:keepNext/>
              <w:keepLines/>
              <w:spacing w:before="0" w:after="40" w:line="240" w:lineRule="auto"/>
              <w:jc w:val="center"/>
            </w:pPr>
            <w:r>
              <w:rPr>
                <w:sz w:val="18"/>
              </w:rPr>
              <w:t xml:space="preserve">Across districts: without the three</w:t>
            </w:r>
          </w:p>
        </w:tc>
        <w:tc>
          <w:tcPr>
            <w:tcW w:type="dxa" w:w="1475"/>
          </w:tcPr>
          <w:p>
            <w:pPr>
              <w:pStyle w:val="Compact"/>
              <w:keepNext/>
              <w:keepLines/>
              <w:spacing w:before="0" w:after="40" w:line="240" w:lineRule="auto"/>
              <w:jc w:val="center"/>
            </w:pPr>
            <w:r>
              <w:rPr>
                <w:sz w:val="18"/>
              </w:rPr>
              <w:t xml:space="preserve">Within districts, slope: all</w:t>
            </w:r>
          </w:p>
        </w:tc>
        <w:tc>
          <w:tcPr>
            <w:tcW w:type="dxa" w:w="1475"/>
          </w:tcPr>
          <w:p>
            <w:pPr>
              <w:pStyle w:val="Compact"/>
              <w:keepNext/>
              <w:keepLines/>
              <w:spacing w:before="0" w:after="40" w:line="240" w:lineRule="auto"/>
              <w:jc w:val="center"/>
            </w:pPr>
            <w:r>
              <w:rPr>
                <w:sz w:val="18"/>
              </w:rPr>
              <w:t xml:space="preserve">Within districts, slope: without the three</w:t>
            </w:r>
          </w:p>
        </w:tc>
        <w:tc>
          <w:tcPr>
            <w:tcW w:type="dxa" w:w="1254"/>
          </w:tcPr>
          <w:p>
            <w:pPr>
              <w:pStyle w:val="Compact"/>
              <w:keepNext/>
              <w:keepLines/>
              <w:spacing w:before="0" w:after="40" w:line="240" w:lineRule="auto"/>
              <w:jc w:val="center"/>
            </w:pPr>
            <w:r>
              <w:rPr>
                <w:sz w:val="18"/>
              </w:rPr>
              <w:t xml:space="preserve">Higher- minus lower-price half (points): all</w:t>
            </w:r>
          </w:p>
        </w:tc>
        <w:tc>
          <w:tcPr>
            <w:tcW w:type="dxa" w:w="1254"/>
          </w:tcPr>
          <w:p>
            <w:pPr>
              <w:pStyle w:val="Compact"/>
              <w:keepNext/>
              <w:keepLines/>
              <w:spacing w:before="0" w:after="40" w:line="240" w:lineRule="auto"/>
              <w:jc w:val="center"/>
            </w:pPr>
            <w:r>
              <w:rPr>
                <w:sz w:val="18"/>
              </w:rPr>
              <w:t xml:space="preserve">Higher- minus lower-price half (points): without the three</w:t>
            </w:r>
          </w:p>
        </w:tc>
      </w:tr>
      <w:tr>
        <w:trPr>
          <w:cantSplit/>
        </w:trPr>
        <w:tc>
          <w:tcPr>
            <w:tcW w:type="dxa" w:w="9071"/>
            <w:gridSpan w:val="7"/>
          </w:tcPr>
          <w:p>
            <w:pPr>
              <w:pStyle w:val="Compact"/>
              <w:keepNext/>
              <w:keepLines/>
              <w:spacing w:before="0" w:after="40" w:line="240" w:lineRule="auto"/>
              <w:jc w:val="left"/>
            </w:pPr>
            <w:r>
              <w:rPr>
                <w:iCs/>
                <w:i/>
                <w:sz w:val="18"/>
              </w:rPr>
              <w:t xml:space="preserve">A. Across districts: point values; within districts: ranges</w:t>
            </w:r>
          </w:p>
        </w:tc>
      </w:tr>
      <w:tr>
        <w:trPr>
          <w:cantSplit/>
        </w:trPr>
        <w:tc>
          <w:tcPr>
            <w:tcW w:type="dxa" w:w="1992"/>
          </w:tcPr>
          <w:p>
            <w:pPr>
              <w:pStyle w:val="Compact"/>
              <w:keepNext w:val="0"/>
              <w:keepLines/>
              <w:spacing w:before="0" w:after="40" w:line="240" w:lineRule="auto"/>
              <w:jc w:val="left"/>
            </w:pPr>
            <w:r>
              <w:rPr>
                <w:sz w:val="18"/>
              </w:rPr>
              <w:t xml:space="preserve">2012 (A)</w:t>
            </w:r>
          </w:p>
        </w:tc>
        <w:tc>
          <w:tcPr>
            <w:tcW w:type="dxa" w:w="811"/>
          </w:tcPr>
          <w:p>
            <w:pPr>
              <w:pStyle w:val="Compact"/>
              <w:keepNext w:val="0"/>
              <w:keepLines/>
              <w:spacing w:before="0" w:after="40" w:line="240" w:lineRule="auto"/>
              <w:jc w:val="center"/>
            </w:pPr>
            <w:r>
              <w:rPr>
                <w:sz w:val="18"/>
              </w:rPr>
              <w:t xml:space="preserve">0.137</w:t>
            </w:r>
          </w:p>
        </w:tc>
        <w:tc>
          <w:tcPr>
            <w:tcW w:type="dxa" w:w="811"/>
          </w:tcPr>
          <w:p>
            <w:pPr>
              <w:pStyle w:val="Compact"/>
              <w:keepNext w:val="0"/>
              <w:keepLines/>
              <w:spacing w:before="0" w:after="40" w:line="240" w:lineRule="auto"/>
              <w:jc w:val="center"/>
            </w:pPr>
            <w:r>
              <w:rPr>
                <w:sz w:val="18"/>
              </w:rPr>
              <w:t xml:space="preserve">0.057</w:t>
            </w:r>
          </w:p>
        </w:tc>
        <w:tc>
          <w:tcPr>
            <w:tcW w:type="dxa" w:w="1475"/>
          </w:tcPr>
          <w:p>
            <w:pPr>
              <w:pStyle w:val="Compact"/>
              <w:keepNext w:val="0"/>
              <w:keepLines/>
              <w:spacing w:before="0" w:after="40" w:line="240" w:lineRule="auto"/>
              <w:jc w:val="center"/>
            </w:pPr>
            <w:r>
              <w:rPr>
                <w:sz w:val="18"/>
              </w:rPr>
              <w:t xml:space="preserve">[0.008, 0.157]</w:t>
            </w:r>
          </w:p>
        </w:tc>
        <w:tc>
          <w:tcPr>
            <w:tcW w:type="dxa" w:w="1475"/>
          </w:tcPr>
          <w:p>
            <w:pPr>
              <w:pStyle w:val="Compact"/>
              <w:keepNext w:val="0"/>
              <w:keepLines/>
              <w:spacing w:before="0" w:after="40" w:line="240" w:lineRule="auto"/>
              <w:jc w:val="center"/>
            </w:pPr>
            <w:r>
              <w:rPr>
                <w:bCs/>
                <w:b/>
                <w:sz w:val="18"/>
              </w:rPr>
              <w:t xml:space="preserve">[−0.021, 0.129]</w:t>
            </w:r>
          </w:p>
        </w:tc>
        <w:tc>
          <w:tcPr>
            <w:tcW w:type="dxa" w:w="1254"/>
          </w:tcPr>
          <w:p>
            <w:pPr>
              <w:pStyle w:val="Compact"/>
              <w:keepNext w:val="0"/>
              <w:keepLines/>
              <w:spacing w:before="0" w:after="40" w:line="240" w:lineRule="auto"/>
              <w:jc w:val="center"/>
            </w:pPr>
            <w:r>
              <w:rPr>
                <w:bCs/>
                <w:b/>
                <w:sz w:val="18"/>
              </w:rPr>
              <w:t xml:space="preserve">[−1.7, 5.3]</w:t>
            </w:r>
          </w:p>
        </w:tc>
        <w:tc>
          <w:tcPr>
            <w:tcW w:type="dxa" w:w="1254"/>
          </w:tcPr>
          <w:p>
            <w:pPr>
              <w:pStyle w:val="Compact"/>
              <w:keepNext w:val="0"/>
              <w:keepLines/>
              <w:spacing w:before="0" w:after="40" w:line="240" w:lineRule="auto"/>
              <w:jc w:val="center"/>
            </w:pPr>
            <w:r>
              <w:rPr>
                <w:bCs/>
                <w:b/>
                <w:sz w:val="18"/>
              </w:rPr>
              <w:t xml:space="preserve">[−2.6, 4.1]</w:t>
            </w:r>
          </w:p>
        </w:tc>
      </w:tr>
      <w:tr>
        <w:trPr>
          <w:cantSplit/>
        </w:trPr>
        <w:tc>
          <w:tcPr>
            <w:tcW w:type="dxa" w:w="1992"/>
          </w:tcPr>
          <w:p>
            <w:pPr>
              <w:pStyle w:val="Compact"/>
              <w:keepNext w:val="0"/>
              <w:keepLines/>
              <w:spacing w:before="0" w:after="40" w:line="240" w:lineRule="auto"/>
              <w:jc w:val="left"/>
            </w:pPr>
            <w:r>
              <w:rPr>
                <w:sz w:val="18"/>
              </w:rPr>
              <w:t xml:space="preserve">2017 (C)</w:t>
            </w:r>
          </w:p>
        </w:tc>
        <w:tc>
          <w:tcPr>
            <w:tcW w:type="dxa" w:w="811"/>
          </w:tcPr>
          <w:p>
            <w:pPr>
              <w:pStyle w:val="Compact"/>
              <w:keepNext w:val="0"/>
              <w:keepLines/>
              <w:spacing w:before="0" w:after="40" w:line="240" w:lineRule="auto"/>
              <w:jc w:val="center"/>
            </w:pPr>
            <w:r>
              <w:rPr>
                <w:sz w:val="18"/>
              </w:rPr>
              <w:t xml:space="preserve">0.060</w:t>
            </w:r>
          </w:p>
        </w:tc>
        <w:tc>
          <w:tcPr>
            <w:tcW w:type="dxa" w:w="811"/>
          </w:tcPr>
          <w:p>
            <w:pPr>
              <w:pStyle w:val="Compact"/>
              <w:keepNext w:val="0"/>
              <w:keepLines/>
              <w:spacing w:before="0" w:after="40" w:line="240" w:lineRule="auto"/>
              <w:jc w:val="center"/>
            </w:pPr>
            <w:r>
              <w:rPr>
                <w:sz w:val="18"/>
              </w:rPr>
              <w:t xml:space="preserve">0.025</w:t>
            </w:r>
          </w:p>
        </w:tc>
        <w:tc>
          <w:tcPr>
            <w:tcW w:type="dxa" w:w="1475"/>
          </w:tcPr>
          <w:p>
            <w:pPr>
              <w:pStyle w:val="Compact"/>
              <w:keepNext w:val="0"/>
              <w:keepLines/>
              <w:spacing w:before="0" w:after="40" w:line="240" w:lineRule="auto"/>
              <w:jc w:val="center"/>
            </w:pPr>
            <w:r>
              <w:rPr>
                <w:bCs/>
                <w:b/>
                <w:sz w:val="18"/>
              </w:rPr>
              <w:t xml:space="preserve">[−0.060, 0.085]</w:t>
            </w:r>
          </w:p>
        </w:tc>
        <w:tc>
          <w:tcPr>
            <w:tcW w:type="dxa" w:w="1475"/>
          </w:tcPr>
          <w:p>
            <w:pPr>
              <w:pStyle w:val="Compact"/>
              <w:keepNext w:val="0"/>
              <w:keepLines/>
              <w:spacing w:before="0" w:after="40" w:line="240" w:lineRule="auto"/>
              <w:jc w:val="center"/>
            </w:pPr>
            <w:r>
              <w:rPr>
                <w:bCs/>
                <w:b/>
                <w:sz w:val="18"/>
              </w:rPr>
              <w:t xml:space="preserve">[−0.074, 0.071]</w:t>
            </w:r>
          </w:p>
        </w:tc>
        <w:tc>
          <w:tcPr>
            <w:tcW w:type="dxa" w:w="1254"/>
          </w:tcPr>
          <w:p>
            <w:pPr>
              <w:pStyle w:val="Compact"/>
              <w:keepNext w:val="0"/>
              <w:keepLines/>
              <w:spacing w:before="0" w:after="40" w:line="240" w:lineRule="auto"/>
              <w:jc w:val="center"/>
            </w:pPr>
            <w:r>
              <w:rPr>
                <w:bCs/>
                <w:b/>
                <w:sz w:val="18"/>
              </w:rPr>
              <w:t xml:space="preserve">[−2.7, 2.9]</w:t>
            </w:r>
          </w:p>
        </w:tc>
        <w:tc>
          <w:tcPr>
            <w:tcW w:type="dxa" w:w="1254"/>
          </w:tcPr>
          <w:p>
            <w:pPr>
              <w:pStyle w:val="Compact"/>
              <w:keepNext w:val="0"/>
              <w:keepLines/>
              <w:spacing w:before="0" w:after="40" w:line="240" w:lineRule="auto"/>
              <w:jc w:val="center"/>
            </w:pPr>
            <w:r>
              <w:rPr>
                <w:bCs/>
                <w:b/>
                <w:sz w:val="18"/>
              </w:rPr>
              <w:t xml:space="preserve">[−3.1, 2.3]</w:t>
            </w:r>
          </w:p>
        </w:tc>
      </w:tr>
      <w:tr>
        <w:trPr>
          <w:cantSplit/>
        </w:trPr>
        <w:tc>
          <w:tcPr>
            <w:tcW w:type="dxa" w:w="1992"/>
          </w:tcPr>
          <w:p>
            <w:pPr>
              <w:pStyle w:val="Compact"/>
              <w:keepNext w:val="0"/>
              <w:keepLines/>
              <w:spacing w:before="0" w:after="40" w:line="240" w:lineRule="auto"/>
              <w:jc w:val="left"/>
            </w:pPr>
            <w:r>
              <w:rPr>
                <w:sz w:val="18"/>
              </w:rPr>
              <w:t xml:space="preserve">2022</w:t>
            </w:r>
          </w:p>
        </w:tc>
        <w:tc>
          <w:tcPr>
            <w:tcW w:type="dxa" w:w="811"/>
          </w:tcPr>
          <w:p>
            <w:pPr>
              <w:pStyle w:val="Compact"/>
              <w:keepNext w:val="0"/>
              <w:keepLines/>
              <w:spacing w:before="0" w:after="40" w:line="240" w:lineRule="auto"/>
              <w:jc w:val="center"/>
            </w:pPr>
            <w:r>
              <w:rPr>
                <w:sz w:val="18"/>
              </w:rPr>
              <w:t xml:space="preserve">0.197</w:t>
            </w:r>
          </w:p>
        </w:tc>
        <w:tc>
          <w:tcPr>
            <w:tcW w:type="dxa" w:w="811"/>
          </w:tcPr>
          <w:p>
            <w:pPr>
              <w:pStyle w:val="Compact"/>
              <w:keepNext w:val="0"/>
              <w:keepLines/>
              <w:spacing w:before="0" w:after="40" w:line="240" w:lineRule="auto"/>
              <w:jc w:val="center"/>
            </w:pPr>
            <w:r>
              <w:rPr>
                <w:sz w:val="18"/>
              </w:rPr>
              <w:t xml:space="preserve">0.131</w:t>
            </w:r>
          </w:p>
        </w:tc>
        <w:tc>
          <w:tcPr>
            <w:tcW w:type="dxa" w:w="1475"/>
          </w:tcPr>
          <w:p>
            <w:pPr>
              <w:pStyle w:val="Compact"/>
              <w:keepNext w:val="0"/>
              <w:keepLines/>
              <w:spacing w:before="0" w:after="40" w:line="240" w:lineRule="auto"/>
              <w:jc w:val="center"/>
            </w:pPr>
            <w:r>
              <w:rPr>
                <w:bCs/>
                <w:b/>
                <w:sz w:val="18"/>
              </w:rPr>
              <w:t xml:space="preserve">[−0.026, 0.223]</w:t>
            </w:r>
          </w:p>
        </w:tc>
        <w:tc>
          <w:tcPr>
            <w:tcW w:type="dxa" w:w="1475"/>
          </w:tcPr>
          <w:p>
            <w:pPr>
              <w:pStyle w:val="Compact"/>
              <w:keepNext w:val="0"/>
              <w:keepLines/>
              <w:spacing w:before="0" w:after="40" w:line="240" w:lineRule="auto"/>
              <w:jc w:val="center"/>
            </w:pPr>
            <w:r>
              <w:rPr>
                <w:bCs/>
                <w:b/>
                <w:sz w:val="18"/>
              </w:rPr>
              <w:t xml:space="preserve">[−0.042, 0.204]</w:t>
            </w:r>
          </w:p>
        </w:tc>
        <w:tc>
          <w:tcPr>
            <w:tcW w:type="dxa" w:w="1254"/>
          </w:tcPr>
          <w:p>
            <w:pPr>
              <w:pStyle w:val="Compact"/>
              <w:keepNext w:val="0"/>
              <w:keepLines/>
              <w:spacing w:before="0" w:after="40" w:line="240" w:lineRule="auto"/>
              <w:jc w:val="center"/>
            </w:pPr>
            <w:r>
              <w:rPr>
                <w:bCs/>
                <w:b/>
                <w:sz w:val="18"/>
              </w:rPr>
              <w:t xml:space="preserve">[−3.2, 11.6]</w:t>
            </w:r>
          </w:p>
        </w:tc>
        <w:tc>
          <w:tcPr>
            <w:tcW w:type="dxa" w:w="1254"/>
          </w:tcPr>
          <w:p>
            <w:pPr>
              <w:pStyle w:val="Compact"/>
              <w:keepNext w:val="0"/>
              <w:keepLines/>
              <w:spacing w:before="0" w:after="40" w:line="240" w:lineRule="auto"/>
              <w:jc w:val="center"/>
            </w:pPr>
            <w:r>
              <w:rPr>
                <w:bCs/>
                <w:b/>
                <w:sz w:val="18"/>
              </w:rPr>
              <w:t xml:space="preserve">[−3.9, 10.5]</w:t>
            </w:r>
          </w:p>
        </w:tc>
      </w:tr>
      <w:tr>
        <w:trPr>
          <w:cantSplit/>
        </w:trPr>
        <w:tc>
          <w:tcPr>
            <w:tcW w:type="dxa" w:w="1992"/>
          </w:tcPr>
          <w:p>
            <w:pPr>
              <w:pStyle w:val="Compact"/>
              <w:keepNext w:val="0"/>
              <w:keepLines/>
              <w:spacing w:before="0" w:after="40" w:line="240" w:lineRule="auto"/>
              <w:jc w:val="left"/>
            </w:pPr>
            <w:r>
              <w:rPr>
                <w:sz w:val="18"/>
              </w:rPr>
              <w:t xml:space="preserve">2024</w:t>
            </w:r>
          </w:p>
        </w:tc>
        <w:tc>
          <w:tcPr>
            <w:tcW w:type="dxa" w:w="811"/>
          </w:tcPr>
          <w:p>
            <w:pPr>
              <w:pStyle w:val="Compact"/>
              <w:keepNext w:val="0"/>
              <w:keepLines/>
              <w:spacing w:before="0" w:after="40" w:line="240" w:lineRule="auto"/>
              <w:jc w:val="center"/>
            </w:pPr>
            <w:r>
              <w:rPr>
                <w:sz w:val="18"/>
              </w:rPr>
              <w:t xml:space="preserve">0.172</w:t>
            </w:r>
          </w:p>
        </w:tc>
        <w:tc>
          <w:tcPr>
            <w:tcW w:type="dxa" w:w="811"/>
          </w:tcPr>
          <w:p>
            <w:pPr>
              <w:pStyle w:val="Compact"/>
              <w:keepNext w:val="0"/>
              <w:keepLines/>
              <w:spacing w:before="0" w:after="40" w:line="240" w:lineRule="auto"/>
              <w:jc w:val="center"/>
            </w:pPr>
            <w:r>
              <w:rPr>
                <w:sz w:val="18"/>
              </w:rPr>
              <w:t xml:space="preserve">0.097</w:t>
            </w:r>
          </w:p>
        </w:tc>
        <w:tc>
          <w:tcPr>
            <w:tcW w:type="dxa" w:w="1475"/>
          </w:tcPr>
          <w:p>
            <w:pPr>
              <w:pStyle w:val="Compact"/>
              <w:keepNext w:val="0"/>
              <w:keepLines/>
              <w:spacing w:before="0" w:after="40" w:line="240" w:lineRule="auto"/>
              <w:jc w:val="center"/>
            </w:pPr>
            <w:r>
              <w:rPr>
                <w:sz w:val="18"/>
              </w:rPr>
              <w:t xml:space="preserve">[0.001, 0.206]</w:t>
            </w:r>
          </w:p>
        </w:tc>
        <w:tc>
          <w:tcPr>
            <w:tcW w:type="dxa" w:w="1475"/>
          </w:tcPr>
          <w:p>
            <w:pPr>
              <w:pStyle w:val="Compact"/>
              <w:keepNext w:val="0"/>
              <w:keepLines/>
              <w:spacing w:before="0" w:after="40" w:line="240" w:lineRule="auto"/>
              <w:jc w:val="center"/>
            </w:pPr>
            <w:r>
              <w:rPr>
                <w:bCs/>
                <w:b/>
                <w:sz w:val="18"/>
              </w:rPr>
              <w:t xml:space="preserve">[−0.027, 0.184]</w:t>
            </w:r>
          </w:p>
        </w:tc>
        <w:tc>
          <w:tcPr>
            <w:tcW w:type="dxa" w:w="1254"/>
          </w:tcPr>
          <w:p>
            <w:pPr>
              <w:pStyle w:val="Compact"/>
              <w:keepNext w:val="0"/>
              <w:keepLines/>
              <w:spacing w:before="0" w:after="40" w:line="240" w:lineRule="auto"/>
              <w:jc w:val="center"/>
            </w:pPr>
            <w:r>
              <w:rPr>
                <w:bCs/>
                <w:b/>
                <w:sz w:val="18"/>
              </w:rPr>
              <w:t xml:space="preserve">[−1.6, 9.4]</w:t>
            </w:r>
          </w:p>
        </w:tc>
        <w:tc>
          <w:tcPr>
            <w:tcW w:type="dxa" w:w="1254"/>
          </w:tcPr>
          <w:p>
            <w:pPr>
              <w:pStyle w:val="Compact"/>
              <w:keepNext w:val="0"/>
              <w:keepLines/>
              <w:spacing w:before="0" w:after="40" w:line="240" w:lineRule="auto"/>
              <w:jc w:val="center"/>
            </w:pPr>
            <w:r>
              <w:rPr>
                <w:bCs/>
                <w:b/>
                <w:sz w:val="18"/>
              </w:rPr>
              <w:t xml:space="preserve">[−2.6, 8.3]</w:t>
            </w:r>
          </w:p>
        </w:tc>
      </w:tr>
      <w:tr>
        <w:trPr>
          <w:cantSplit/>
        </w:trPr>
        <w:tc>
          <w:tcPr>
            <w:tcW w:type="dxa" w:w="1992"/>
          </w:tcPr>
          <w:p>
            <w:pPr>
              <w:pStyle w:val="Compact"/>
              <w:keepNext w:val="0"/>
              <w:keepLines/>
              <w:spacing w:before="0" w:after="40" w:line="240" w:lineRule="auto"/>
              <w:jc w:val="left"/>
            </w:pPr>
            <w:r>
              <w:rPr>
                <w:sz w:val="18"/>
              </w:rPr>
              <w:t xml:space="preserve">2025</w:t>
            </w:r>
          </w:p>
        </w:tc>
        <w:tc>
          <w:tcPr>
            <w:tcW w:type="dxa" w:w="811"/>
          </w:tcPr>
          <w:p>
            <w:pPr>
              <w:pStyle w:val="Compact"/>
              <w:keepNext w:val="0"/>
              <w:keepLines/>
              <w:spacing w:before="0" w:after="40" w:line="240" w:lineRule="auto"/>
              <w:jc w:val="center"/>
            </w:pPr>
            <w:r>
              <w:rPr>
                <w:sz w:val="18"/>
              </w:rPr>
              <w:t xml:space="preserve">0.137</w:t>
            </w:r>
          </w:p>
        </w:tc>
        <w:tc>
          <w:tcPr>
            <w:tcW w:type="dxa" w:w="811"/>
          </w:tcPr>
          <w:p>
            <w:pPr>
              <w:pStyle w:val="Compact"/>
              <w:keepNext w:val="0"/>
              <w:keepLines/>
              <w:spacing w:before="0" w:after="40" w:line="240" w:lineRule="auto"/>
              <w:jc w:val="center"/>
            </w:pPr>
            <w:r>
              <w:rPr>
                <w:sz w:val="18"/>
              </w:rPr>
              <w:t xml:space="preserve">0.080</w:t>
            </w:r>
          </w:p>
        </w:tc>
        <w:tc>
          <w:tcPr>
            <w:tcW w:type="dxa" w:w="1475"/>
          </w:tcPr>
          <w:p>
            <w:pPr>
              <w:pStyle w:val="Compact"/>
              <w:keepNext w:val="0"/>
              <w:keepLines/>
              <w:spacing w:before="0" w:after="40" w:line="240" w:lineRule="auto"/>
              <w:jc w:val="center"/>
            </w:pPr>
            <w:r>
              <w:rPr>
                <w:bCs/>
                <w:b/>
                <w:sz w:val="18"/>
              </w:rPr>
              <w:t xml:space="preserve">[−0.037, 0.194]</w:t>
            </w:r>
          </w:p>
        </w:tc>
        <w:tc>
          <w:tcPr>
            <w:tcW w:type="dxa" w:w="1475"/>
          </w:tcPr>
          <w:p>
            <w:pPr>
              <w:pStyle w:val="Compact"/>
              <w:keepNext w:val="0"/>
              <w:keepLines/>
              <w:spacing w:before="0" w:after="40" w:line="240" w:lineRule="auto"/>
              <w:jc w:val="center"/>
            </w:pPr>
            <w:r>
              <w:rPr>
                <w:bCs/>
                <w:b/>
                <w:sz w:val="18"/>
              </w:rPr>
              <w:t xml:space="preserve">[−0.064, 0.173]</w:t>
            </w:r>
          </w:p>
        </w:tc>
        <w:tc>
          <w:tcPr>
            <w:tcW w:type="dxa" w:w="1254"/>
          </w:tcPr>
          <w:p>
            <w:pPr>
              <w:pStyle w:val="Compact"/>
              <w:keepNext w:val="0"/>
              <w:keepLines/>
              <w:spacing w:before="0" w:after="40" w:line="240" w:lineRule="auto"/>
              <w:jc w:val="center"/>
            </w:pPr>
            <w:r>
              <w:rPr>
                <w:bCs/>
                <w:b/>
                <w:sz w:val="18"/>
              </w:rPr>
              <w:t xml:space="preserve">[−4.2, 9.4]</w:t>
            </w:r>
          </w:p>
        </w:tc>
        <w:tc>
          <w:tcPr>
            <w:tcW w:type="dxa" w:w="1254"/>
          </w:tcPr>
          <w:p>
            <w:pPr>
              <w:pStyle w:val="Compact"/>
              <w:keepNext w:val="0"/>
              <w:keepLines/>
              <w:spacing w:before="0" w:after="40" w:line="240" w:lineRule="auto"/>
              <w:jc w:val="center"/>
            </w:pPr>
            <w:r>
              <w:rPr>
                <w:bCs/>
                <w:b/>
                <w:sz w:val="18"/>
              </w:rPr>
              <w:t xml:space="preserve">[−5.1, 8.4]</w:t>
            </w:r>
          </w:p>
        </w:tc>
      </w:tr>
      <w:tr>
        <w:trPr>
          <w:cantSplit/>
        </w:trPr>
        <w:tc>
          <w:tcPr>
            <w:tcW w:type="dxa" w:w="1992"/>
          </w:tcPr>
          <w:p>
            <w:pPr>
              <w:pStyle w:val="Compact"/>
              <w:keepNext w:val="0"/>
              <w:keepLines/>
              <w:spacing w:before="0" w:after="40" w:line="240" w:lineRule="auto"/>
              <w:jc w:val="left"/>
            </w:pPr>
            <w:r>
              <w:rPr>
                <w:sz w:val="18"/>
              </w:rPr>
              <w:t xml:space="preserve">2026</w:t>
            </w:r>
          </w:p>
        </w:tc>
        <w:tc>
          <w:tcPr>
            <w:tcW w:type="dxa" w:w="811"/>
          </w:tcPr>
          <w:p>
            <w:pPr>
              <w:pStyle w:val="Compact"/>
              <w:keepNext w:val="0"/>
              <w:keepLines/>
              <w:spacing w:before="0" w:after="40" w:line="240" w:lineRule="auto"/>
              <w:jc w:val="center"/>
            </w:pPr>
            <w:r>
              <w:rPr>
                <w:sz w:val="18"/>
              </w:rPr>
              <w:t xml:space="preserve">0.142</w:t>
            </w:r>
          </w:p>
        </w:tc>
        <w:tc>
          <w:tcPr>
            <w:tcW w:type="dxa" w:w="811"/>
          </w:tcPr>
          <w:p>
            <w:pPr>
              <w:pStyle w:val="Compact"/>
              <w:keepNext w:val="0"/>
              <w:keepLines/>
              <w:spacing w:before="0" w:after="40" w:line="240" w:lineRule="auto"/>
              <w:jc w:val="center"/>
            </w:pPr>
            <w:r>
              <w:rPr>
                <w:sz w:val="18"/>
              </w:rPr>
              <w:t xml:space="preserve">0.086</w:t>
            </w:r>
          </w:p>
        </w:tc>
        <w:tc>
          <w:tcPr>
            <w:tcW w:type="dxa" w:w="1475"/>
          </w:tcPr>
          <w:p>
            <w:pPr>
              <w:pStyle w:val="Compact"/>
              <w:keepNext w:val="0"/>
              <w:keepLines/>
              <w:spacing w:before="0" w:after="40" w:line="240" w:lineRule="auto"/>
              <w:jc w:val="center"/>
            </w:pPr>
            <w:r>
              <w:rPr>
                <w:sz w:val="18"/>
              </w:rPr>
              <w:t xml:space="preserve">[0.054, 0.156]</w:t>
            </w:r>
          </w:p>
        </w:tc>
        <w:tc>
          <w:tcPr>
            <w:tcW w:type="dxa" w:w="1475"/>
          </w:tcPr>
          <w:p>
            <w:pPr>
              <w:pStyle w:val="Compact"/>
              <w:keepNext w:val="0"/>
              <w:keepLines/>
              <w:spacing w:before="0" w:after="40" w:line="240" w:lineRule="auto"/>
              <w:jc w:val="center"/>
            </w:pPr>
            <w:r>
              <w:rPr>
                <w:sz w:val="18"/>
              </w:rPr>
              <w:t xml:space="preserve">[0.029, 0.139]</w:t>
            </w:r>
          </w:p>
        </w:tc>
        <w:tc>
          <w:tcPr>
            <w:tcW w:type="dxa" w:w="1254"/>
          </w:tcPr>
          <w:p>
            <w:pPr>
              <w:pStyle w:val="Compact"/>
              <w:keepNext w:val="0"/>
              <w:keepLines/>
              <w:spacing w:before="0" w:after="40" w:line="240" w:lineRule="auto"/>
              <w:jc w:val="center"/>
            </w:pPr>
            <w:r>
              <w:rPr>
                <w:sz w:val="18"/>
              </w:rPr>
              <w:t xml:space="preserve">[0.8, 7.2]</w:t>
            </w:r>
          </w:p>
        </w:tc>
        <w:tc>
          <w:tcPr>
            <w:tcW w:type="dxa" w:w="1254"/>
          </w:tcPr>
          <w:p>
            <w:pPr>
              <w:pStyle w:val="Compact"/>
              <w:keepNext w:val="0"/>
              <w:keepLines/>
              <w:spacing w:before="0" w:after="40" w:line="240" w:lineRule="auto"/>
              <w:jc w:val="center"/>
            </w:pPr>
            <w:r>
              <w:rPr>
                <w:bCs/>
                <w:b/>
                <w:sz w:val="18"/>
              </w:rPr>
              <w:t xml:space="preserve">[−0.3, 6.2]</w:t>
            </w:r>
          </w:p>
        </w:tc>
      </w:tr>
      <w:tr>
        <w:trPr>
          <w:cantSplit/>
        </w:trPr>
        <w:tc>
          <w:tcPr>
            <w:tcW w:type="dxa" w:w="9071"/>
            <w:gridSpan w:val="7"/>
          </w:tcPr>
          <w:p>
            <w:pPr>
              <w:pStyle w:val="Compact"/>
              <w:keepNext/>
              <w:keepLines/>
              <w:spacing w:before="0" w:after="40" w:line="240" w:lineRule="auto"/>
              <w:jc w:val="left"/>
            </w:pPr>
            <w:r>
              <w:rPr>
                <w:iCs/>
                <w:i/>
                <w:sz w:val="18"/>
              </w:rPr>
              <w:t xml:space="preserve">B. 2026 sensitivity thresholds s* (not slopes): largest additional departure at which the lower end stays positive; main setting s = 0.02</w:t>
            </w:r>
          </w:p>
        </w:tc>
      </w:tr>
      <w:tr>
        <w:trPr>
          <w:cantSplit/>
        </w:trPr>
        <w:tc>
          <w:tcPr>
            <w:tcW w:type="dxa" w:w="1992"/>
          </w:tcPr>
          <w:p>
            <w:pPr>
              <w:pStyle w:val="Compact"/>
              <w:keepNext w:val="0"/>
              <w:keepLines/>
              <w:spacing w:before="0" w:after="40" w:line="240" w:lineRule="auto"/>
              <w:jc w:val="left"/>
            </w:pPr>
            <w:r>
              <w:rPr>
                <w:sz w:val="18"/>
              </w:rPr>
              <w:t xml:space="preserve">Mobility-calibrated, ±10</w:t>
            </w:r>
          </w:p>
        </w:tc>
        <w:tc>
          <w:tcPr>
            <w:tcW w:type="dxa" w:w="811"/>
          </w:tcPr>
          <w:p>
            <w:pPr>
              <w:pStyle w:val="Compact"/>
              <w:keepNext w:val="0"/>
              <w:keepLines/>
              <w:spacing w:before="0" w:after="40" w:line="240" w:lineRule="auto"/>
              <w:jc w:val="center"/>
            </w:pPr>
            <w:r>
              <w:rPr>
                <w:sz w:val="18"/>
              </w:rPr>
              <w:t xml:space="preserve">–</w:t>
            </w:r>
          </w:p>
        </w:tc>
        <w:tc>
          <w:tcPr>
            <w:tcW w:type="dxa" w:w="811"/>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0.103</w:t>
            </w:r>
          </w:p>
        </w:tc>
        <w:tc>
          <w:tcPr>
            <w:tcW w:type="dxa" w:w="1254"/>
          </w:tcPr>
          <w:p>
            <w:pPr>
              <w:pStyle w:val="Compact"/>
              <w:keepNext w:val="0"/>
              <w:keepLines/>
              <w:spacing w:before="0" w:after="40" w:line="240" w:lineRule="auto"/>
              <w:jc w:val="center"/>
            </w:pPr>
            <w:r>
              <w:rPr>
                <w:sz w:val="18"/>
              </w:rPr>
              <w:t xml:space="preserve">0.049</w:t>
            </w:r>
          </w:p>
        </w:tc>
        <w:tc>
          <w:tcPr>
            <w:tcW w:type="dxa" w:w="1254"/>
          </w:tcPr>
          <w:p>
            <w:pPr>
              <w:pStyle w:val="Compact"/>
              <w:keepNext w:val="0"/>
              <w:keepLines/>
              <w:spacing w:before="0" w:after="40" w:line="240" w:lineRule="auto"/>
              <w:jc w:val="center"/>
            </w:pPr>
            <w:r>
              <w:rPr>
                <w:sz w:val="18"/>
              </w:rPr>
              <w:t xml:space="preserve">0.010</w:t>
            </w:r>
          </w:p>
        </w:tc>
      </w:tr>
      <w:tr>
        <w:trPr>
          <w:cantSplit/>
        </w:trPr>
        <w:tc>
          <w:tcPr>
            <w:tcW w:type="dxa" w:w="1992"/>
          </w:tcPr>
          <w:p>
            <w:pPr>
              <w:pStyle w:val="Compact"/>
              <w:keepNext w:val="0"/>
              <w:keepLines/>
              <w:spacing w:before="0" w:after="40" w:line="240" w:lineRule="auto"/>
              <w:jc w:val="left"/>
            </w:pPr>
            <w:r>
              <w:rPr>
                <w:sz w:val="18"/>
              </w:rPr>
              <w:t xml:space="preserve">Mobility-calibrated, ±20</w:t>
            </w:r>
          </w:p>
        </w:tc>
        <w:tc>
          <w:tcPr>
            <w:tcW w:type="dxa" w:w="811"/>
          </w:tcPr>
          <w:p>
            <w:pPr>
              <w:pStyle w:val="Compact"/>
              <w:keepNext w:val="0"/>
              <w:keepLines/>
              <w:spacing w:before="0" w:after="40" w:line="240" w:lineRule="auto"/>
              <w:jc w:val="center"/>
            </w:pPr>
            <w:r>
              <w:rPr>
                <w:sz w:val="18"/>
              </w:rPr>
              <w:t xml:space="preserve">–</w:t>
            </w:r>
          </w:p>
        </w:tc>
        <w:tc>
          <w:tcPr>
            <w:tcW w:type="dxa" w:w="811"/>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0.087</w:t>
            </w:r>
          </w:p>
        </w:tc>
        <w:tc>
          <w:tcPr>
            <w:tcW w:type="dxa" w:w="1475"/>
          </w:tcPr>
          <w:p>
            <w:pPr>
              <w:pStyle w:val="Compact"/>
              <w:keepNext w:val="0"/>
              <w:keepLines/>
              <w:spacing w:before="0" w:after="40" w:line="240" w:lineRule="auto"/>
              <w:jc w:val="center"/>
            </w:pPr>
            <w:r>
              <w:rPr>
                <w:sz w:val="18"/>
              </w:rPr>
              <w:t xml:space="preserve">0.001</w:t>
            </w:r>
          </w:p>
        </w:tc>
        <w:tc>
          <w:tcPr>
            <w:tcW w:type="dxa" w:w="1254"/>
          </w:tcPr>
          <w:p>
            <w:pPr>
              <w:pStyle w:val="Compact"/>
              <w:keepNext w:val="0"/>
              <w:keepLines/>
              <w:spacing w:before="0" w:after="40" w:line="240" w:lineRule="auto"/>
              <w:jc w:val="center"/>
            </w:pPr>
            <w:r>
              <w:rPr>
                <w:sz w:val="18"/>
              </w:rPr>
              <w:t xml:space="preserve">none</w:t>
            </w:r>
          </w:p>
        </w:tc>
        <w:tc>
          <w:tcPr>
            <w:tcW w:type="dxa" w:w="1254"/>
          </w:tcPr>
          <w:p>
            <w:pPr>
              <w:pStyle w:val="Compact"/>
              <w:keepNext w:val="0"/>
              <w:keepLines/>
              <w:spacing w:before="0" w:after="40" w:line="240" w:lineRule="auto"/>
              <w:jc w:val="center"/>
            </w:pPr>
            <w:r>
              <w:rPr>
                <w:sz w:val="18"/>
              </w:rPr>
              <w:t xml:space="preserve">none</w:t>
            </w:r>
          </w:p>
        </w:tc>
      </w:tr>
      <w:tr>
        <w:trPr>
          <w:cantSplit/>
        </w:trPr>
        <w:tc>
          <w:tcPr>
            <w:tcW w:type="dxa" w:w="1992"/>
          </w:tcPr>
          <w:p>
            <w:pPr>
              <w:pStyle w:val="Compact"/>
              <w:keepNext w:val="0"/>
              <w:keepLines/>
              <w:spacing w:before="0" w:after="40" w:line="240" w:lineRule="auto"/>
              <w:jc w:val="left"/>
            </w:pPr>
            <w:r>
              <w:rPr>
                <w:sz w:val="18"/>
              </w:rPr>
              <w:t xml:space="preserve">Unrestricted movement, ±10</w:t>
            </w:r>
          </w:p>
        </w:tc>
        <w:tc>
          <w:tcPr>
            <w:tcW w:type="dxa" w:w="811"/>
          </w:tcPr>
          <w:p>
            <w:pPr>
              <w:pStyle w:val="Compact"/>
              <w:keepNext w:val="0"/>
              <w:keepLines/>
              <w:spacing w:before="0" w:after="40" w:line="240" w:lineRule="auto"/>
              <w:jc w:val="center"/>
            </w:pPr>
            <w:r>
              <w:rPr>
                <w:sz w:val="18"/>
              </w:rPr>
              <w:t xml:space="preserve">–</w:t>
            </w:r>
          </w:p>
        </w:tc>
        <w:tc>
          <w:tcPr>
            <w:tcW w:type="dxa" w:w="811"/>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0.122</w:t>
            </w:r>
          </w:p>
        </w:tc>
        <w:tc>
          <w:tcPr>
            <w:tcW w:type="dxa" w:w="1475"/>
          </w:tcPr>
          <w:p>
            <w:pPr>
              <w:pStyle w:val="Compact"/>
              <w:keepNext w:val="0"/>
              <w:keepLines/>
              <w:spacing w:before="0" w:after="40" w:line="240" w:lineRule="auto"/>
              <w:jc w:val="center"/>
            </w:pPr>
            <w:r>
              <w:rPr>
                <w:sz w:val="18"/>
              </w:rPr>
              <w:t xml:space="preserve">0.067</w:t>
            </w:r>
          </w:p>
        </w:tc>
        <w:tc>
          <w:tcPr>
            <w:tcW w:type="dxa" w:w="1254"/>
          </w:tcPr>
          <w:p>
            <w:pPr>
              <w:pStyle w:val="Compact"/>
              <w:keepNext w:val="0"/>
              <w:keepLines/>
              <w:spacing w:before="0" w:after="40" w:line="240" w:lineRule="auto"/>
              <w:jc w:val="center"/>
            </w:pPr>
            <w:r>
              <w:rPr>
                <w:sz w:val="18"/>
              </w:rPr>
              <w:t xml:space="preserve">0.019</w:t>
            </w:r>
          </w:p>
        </w:tc>
        <w:tc>
          <w:tcPr>
            <w:tcW w:type="dxa" w:w="1254"/>
          </w:tcPr>
          <w:p>
            <w:pPr>
              <w:pStyle w:val="Compact"/>
              <w:keepNext w:val="0"/>
              <w:keepLines/>
              <w:spacing w:before="0" w:after="40" w:line="240" w:lineRule="auto"/>
              <w:jc w:val="center"/>
            </w:pPr>
            <w:r>
              <w:rPr>
                <w:sz w:val="18"/>
              </w:rPr>
              <w:t xml:space="preserve">none</w:t>
            </w:r>
          </w:p>
        </w:tc>
      </w:tr>
      <w:tr>
        <w:trPr>
          <w:cantSplit/>
        </w:trPr>
        <w:tc>
          <w:tcPr>
            <w:tcW w:type="dxa" w:w="1992"/>
          </w:tcPr>
          <w:p>
            <w:pPr>
              <w:pStyle w:val="Compact"/>
              <w:keepNext w:val="0"/>
              <w:keepLines/>
              <w:spacing w:before="0" w:after="40" w:line="240" w:lineRule="auto"/>
              <w:jc w:val="left"/>
            </w:pPr>
            <w:r>
              <w:rPr>
                <w:sz w:val="18"/>
              </w:rPr>
              <w:t xml:space="preserve">Unrestricted movement, ±20</w:t>
            </w:r>
          </w:p>
        </w:tc>
        <w:tc>
          <w:tcPr>
            <w:tcW w:type="dxa" w:w="811"/>
          </w:tcPr>
          <w:p>
            <w:pPr>
              <w:pStyle w:val="Compact"/>
              <w:keepNext w:val="0"/>
              <w:keepLines/>
              <w:spacing w:before="0" w:after="40" w:line="240" w:lineRule="auto"/>
              <w:jc w:val="center"/>
            </w:pPr>
            <w:r>
              <w:rPr>
                <w:sz w:val="18"/>
              </w:rPr>
              <w:t xml:space="preserve">–</w:t>
            </w:r>
          </w:p>
        </w:tc>
        <w:tc>
          <w:tcPr>
            <w:tcW w:type="dxa" w:w="811"/>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0.006</w:t>
            </w:r>
          </w:p>
        </w:tc>
        <w:tc>
          <w:tcPr>
            <w:tcW w:type="dxa" w:w="1475"/>
          </w:tcPr>
          <w:p>
            <w:pPr>
              <w:pStyle w:val="Compact"/>
              <w:keepNext w:val="0"/>
              <w:keepLines/>
              <w:spacing w:before="0" w:after="40" w:line="240" w:lineRule="auto"/>
              <w:jc w:val="center"/>
            </w:pPr>
            <w:r>
              <w:rPr>
                <w:sz w:val="18"/>
              </w:rPr>
              <w:t xml:space="preserve">none</w:t>
            </w:r>
          </w:p>
        </w:tc>
        <w:tc>
          <w:tcPr>
            <w:tcW w:type="dxa" w:w="1254"/>
          </w:tcPr>
          <w:p>
            <w:pPr>
              <w:pStyle w:val="Compact"/>
              <w:keepNext w:val="0"/>
              <w:keepLines/>
              <w:spacing w:before="0" w:after="40" w:line="240" w:lineRule="auto"/>
              <w:jc w:val="center"/>
            </w:pPr>
            <w:r>
              <w:rPr>
                <w:sz w:val="18"/>
              </w:rPr>
              <w:t xml:space="preserve">none</w:t>
            </w:r>
          </w:p>
        </w:tc>
        <w:tc>
          <w:tcPr>
            <w:tcW w:type="dxa" w:w="1254"/>
          </w:tcPr>
          <w:p>
            <w:pPr>
              <w:pStyle w:val="Compact"/>
              <w:keepNext w:val="0"/>
              <w:keepLines/>
              <w:spacing w:before="0" w:after="40" w:line="240" w:lineRule="auto"/>
              <w:jc w:val="center"/>
            </w:pPr>
            <w:r>
              <w:rPr>
                <w:sz w:val="18"/>
              </w:rPr>
              <w:t xml:space="preserve">none</w:t>
            </w:r>
          </w:p>
        </w:tc>
      </w:tr>
    </w:tbl>
    <w:p>
      <w:pPr>
        <w:pStyle w:val="BodyText"/>
        <w:spacing w:line="240" w:lineRule="auto" w:before="80" w:after="120"/>
      </w:pPr>
      <w:r>
        <w:rPr>
          <w:iCs/>
          <w:i/>
          <w:sz w:val="18"/>
        </w:rPr>
        <w:t xml:space="preserve">Notes.</w:t>
      </w:r>
      <w:r>
        <w:rPr>
          <w:sz w:val="18"/>
        </w:rPr>
        <w:t xml:space="preserve"> </w:t>
      </w:r>
      <w:r>
        <w:rPr>
          <w:sz w:val="18"/>
        </w:rPr>
        <w:t xml:space="preserve">Bold ranges include zero; their sign is not identified. Across districts: slope of the valid-vote share on log price across districts (point values, no allocation assumption). Within districts: ranges in z under the main assumptions (Table 2, column E); 2012 under column A and 2017 under column C, as those elections lack mobility data. Without the three: Gangnam, Seocho and Songpa dropped from the regression and the contrast, all accounting constraints kept. Panel B: s* with movement and the out-of-zone tolerance (±10 or ±20 points) held fixed; a relation is established at the main setting when s* exceeds 0.02. ∞: positive however much residents’ early ballots depart; none: not positive for any s (Online Appendix Table C19).</w:t>
      </w:r>
    </w:p>
    <w:p>
      <w:pPr>
        <w:pStyle w:val="BodyText"/>
      </w:pPr>
      <w:r>
        <w:t xml:space="preserve">Among election-day voters the slope outside the three districts is positive in 2022–2026 (Online Appendix Table C20). Among all residents, under the main assumptions, the 2026 within-district slope remains positive after the exclusion: its range is 0.029 to 0.139, compared with 0.054 to 0.156 for all of Seoul. In magnitude, a neighborhood whose apartment prices are twice those of another in the same district has a conservative roll-based share 2.0 to 9.6 points higher in the fitted relation; this describes the regression slope, not the effect of a price change or a difference found between every pair of neighborhoods. The median-split contrast ranges from</w:t>
      </w:r>
      <w:r>
        <w:t xml:space="preserve"> </w:t>
      </w:r>
      <m:oMath>
        <m:r>
          <m:rPr>
            <m:sty m:val="p"/>
          </m:rPr>
          <m:t>−</m:t>
        </m:r>
        <m:r>
          <m:t>0.3</m:t>
        </m:r>
      </m:oMath>
      <w:r>
        <w:t xml:space="preserve"> </w:t>
      </w:r>
      <w:r>
        <w:t xml:space="preserve">to</w:t>
      </w:r>
      <w:r>
        <w:t xml:space="preserve"> </w:t>
      </w:r>
      <m:oMath>
        <m:r>
          <m:t>6.2</m:t>
        </m:r>
      </m:oMath>
      <w:r>
        <w:t xml:space="preserve"> </w:t>
      </w:r>
      <w:r>
        <w:t xml:space="preserve">percentage points after the exclusion and the top-minus-bottom-tercile contrast from 0.1 to 7.9 (Online Appendix Table C23), so the group comparisons are borderline. Valid-vote shares yield the same conclusions about signs (Online Appendix Table C18). Excluding the three districts also removes the positive lower bound for the 2024 slope under the main assumptions and for the 2012 slope based on returns and rolls alone (Table 3).</w:t>
      </w:r>
    </w:p>
    <w:p>
      <w:pPr>
        <w:pStyle w:val="BodyText"/>
      </w:pPr>
      <w:r>
        <w:t xml:space="preserve">The positive slope outside the three districts requires the restriction on residents’ early-vote composition: under mobility-calibrated movement and the ten-point tolerance alone (column D), the slope without them ranges from</w:t>
      </w:r>
      <w:r>
        <w:t xml:space="preserve"> </w:t>
      </w:r>
      <m:oMath>
        <m:r>
          <m:rPr>
            <m:sty m:val="p"/>
          </m:rPr>
          <m:t>−</m:t>
        </m:r>
        <m:r>
          <m:t>0.020</m:t>
        </m:r>
      </m:oMath>
      <w:r>
        <w:t xml:space="preserve"> </w:t>
      </w:r>
      <w:r>
        <w:t xml:space="preserve">to</w:t>
      </w:r>
      <w:r>
        <w:t xml:space="preserve"> </w:t>
      </w:r>
      <m:oMath>
        <m:r>
          <m:t>0.188</m:t>
        </m:r>
      </m:oMath>
      <w:r>
        <w:t xml:space="preserve">. Holding movement and the tolerance fixed, it stays positive as long as residents’ early ballots depart from their benchmark by no more than about 0.103 beyond their station’s departure, about five times the main setting’s 0.02; with unrestricted movement the threshold is 0.067. The result is more sensitive to the out-of-zone tolerance: with a 20-percentage-point tolerance and mobility-calibrated movement, the slope remains positive only up to an additional tolerance of 0.001, below the main setting (Table 3, Panel B; Online Appendix Table C19). The conclusion beyond Gangnam is therefore less robust than the conclusion for all of Seoul, which survives a 20-point tolerance up to</w:t>
      </w:r>
      <w:r>
        <w:t xml:space="preserve"> </w:t>
      </w:r>
      <m:oMath>
        <m:r>
          <m:t>s</m:t>
        </m:r>
        <m:r>
          <m:rPr>
            <m:sty m:val="p"/>
          </m:rPr>
          <m:t>=</m:t>
        </m:r>
        <m:r>
          <m:t>0.087</m:t>
        </m:r>
      </m:oMath>
      <w:r>
        <w:t xml:space="preserve">.</w:t>
      </w:r>
    </w:p>
    <w:p>
      <w:pPr>
        <w:pStyle w:val="BodyText"/>
      </w:pPr>
      <w:r>
        <w:t xml:space="preserve">Under the main assumptions, the 2026 result locates housing-related alignment across neighborhoods beyond Gangnam, Seocho and Songpa. Explanations must therefore accommodate a broader geography, including the possibility that place identity operates outside Gangnam as well (Bae and Joo 2020). The pooled within-district slope summarizes this wider pattern; district-specific slopes can differ. Among the remaining neighborhoods, additionally excluding the top 5% or 10% by price lowers the 2026 main-assumption bound to 0.0004 and -0.0093, respectively, whereas omitting any one of the remaining districts keeps it positive (Online Appendix Table C29). The association beyond the three districts thus remains sensitive to the upper end of the price distribution.</w:t>
      </w:r>
    </w:p>
    <w:bookmarkEnd w:id="38"/>
    <w:bookmarkStart w:id="39" w:name="X2143b824abb36036d91f1b7fe26ae0c99791239"/>
    <w:p>
      <w:pPr>
        <w:pStyle w:val="Heading2"/>
      </w:pPr>
      <w:r>
        <w:t xml:space="preserve">4.4 Information supplied by early-voting zones</w:t>
      </w:r>
    </w:p>
    <w:p>
      <w:pPr>
        <w:pStyle w:val="FirstParagraph"/>
      </w:pPr>
      <w:r>
        <w:t xml:space="preserve">The elections differ sharply in what they reveal, and one reason is administrative. In presidential elections the early-voting zone was the whole district; in 2026 it was the district-council constituency, about three neighborhoods. Because the 2026 returns can be analyzed with and without the zone rule, the role of the rule can be isolated in the same data (Table 4).</w:t>
      </w:r>
    </w:p>
    <w:p>
      <w:pPr>
        <w:pStyle w:val="TableCaption"/>
        <w:keepNext/>
      </w:pPr>
      <w:r>
        <w:t xml:space="preserve">Table 4. Within-district slopes with and without statutory zones, 2026</w:t>
      </w:r>
    </w:p>
    <w:tbl>
      <w:tblPr>
        <w:tblStyle w:val="Table"/>
        <w:tblW w:type="pct" w:w="5000"/>
        <w:tblLayout w:type="fixed"/>
        <w:tblLook w:firstRow="1" w:lastRow="0" w:firstColumn="0" w:lastColumn="0" w:noHBand="0" w:noVBand="0" w:val="0020"/>
        <w:jc w:val="start"/>
        <w:tblCaption w:val="Table 4. Within-district slopes with and without statutory zones, 2026"/>
      </w:tblPr>
      <w:tblGrid>
        <w:gridCol w:w="4592"/>
        <w:gridCol w:w="2240"/>
        <w:gridCol w:w="2240"/>
      </w:tblGrid>
      <w:tr>
        <w:trPr>
          <w:tblHeader w:val="true"/>
          <w:cantSplit/>
        </w:trPr>
        <w:tc>
          <w:tcPr>
            <w:tcW w:type="dxa" w:w="4592"/>
          </w:tcPr>
          <w:p>
            <w:pPr>
              <w:pStyle w:val="Compact"/>
              <w:keepNext/>
              <w:keepLines/>
              <w:spacing w:before="0" w:after="40" w:line="240" w:lineRule="auto"/>
              <w:jc w:val="left"/>
            </w:pPr>
            <w:r>
              <w:rPr>
                <w:sz w:val="18"/>
              </w:rPr>
              <w:t xml:space="preserve">Assumptions</w:t>
            </w:r>
          </w:p>
        </w:tc>
        <w:tc>
          <w:tcPr>
            <w:tcW w:type="dxa" w:w="2240"/>
          </w:tcPr>
          <w:p>
            <w:pPr>
              <w:pStyle w:val="Compact"/>
              <w:keepNext/>
              <w:keepLines/>
              <w:spacing w:before="0" w:after="40" w:line="240" w:lineRule="auto"/>
              <w:jc w:val="center"/>
            </w:pPr>
            <w:r>
              <w:rPr>
                <w:sz w:val="18"/>
              </w:rPr>
              <w:t xml:space="preserve">Zones ignored: in-zone early ballots may be cast anywhere in the district</w:t>
            </w:r>
          </w:p>
        </w:tc>
        <w:tc>
          <w:tcPr>
            <w:tcW w:type="dxa" w:w="2240"/>
          </w:tcPr>
          <w:p>
            <w:pPr>
              <w:pStyle w:val="Compact"/>
              <w:keepNext/>
              <w:keepLines/>
              <w:spacing w:before="0" w:after="40" w:line="240" w:lineRule="auto"/>
              <w:jc w:val="center"/>
            </w:pPr>
            <w:r>
              <w:rPr>
                <w:sz w:val="18"/>
              </w:rPr>
              <w:t xml:space="preserve">Statutory zones: only within the voter’s council constituency</w:t>
            </w:r>
          </w:p>
        </w:tc>
      </w:tr>
      <w:tr>
        <w:trPr>
          <w:cantSplit/>
        </w:trPr>
        <w:tc>
          <w:tcPr>
            <w:tcW w:type="dxa" w:w="4592"/>
          </w:tcPr>
          <w:p>
            <w:pPr>
              <w:pStyle w:val="Compact"/>
              <w:keepNext w:val="0"/>
              <w:keepLines/>
              <w:spacing w:before="0" w:after="40" w:line="240" w:lineRule="auto"/>
              <w:jc w:val="left"/>
            </w:pPr>
            <w:r>
              <w:rPr>
                <w:sz w:val="18"/>
              </w:rPr>
              <w:t xml:space="preserve">Returns and rolls only</w:t>
            </w:r>
          </w:p>
        </w:tc>
        <w:tc>
          <w:tcPr>
            <w:tcW w:type="dxa" w:w="2240"/>
          </w:tcPr>
          <w:p>
            <w:pPr>
              <w:pStyle w:val="Compact"/>
              <w:keepNext w:val="0"/>
              <w:keepLines/>
              <w:spacing w:before="0" w:after="40" w:line="240" w:lineRule="auto"/>
              <w:jc w:val="center"/>
            </w:pPr>
            <w:r>
              <w:rPr>
                <w:bCs/>
                <w:b/>
                <w:sz w:val="18"/>
              </w:rPr>
              <w:t xml:space="preserve">[−0.378, 0.519]</w:t>
            </w:r>
          </w:p>
        </w:tc>
        <w:tc>
          <w:tcPr>
            <w:tcW w:type="dxa" w:w="2240"/>
          </w:tcPr>
          <w:p>
            <w:pPr>
              <w:pStyle w:val="Compact"/>
              <w:keepNext w:val="0"/>
              <w:keepLines/>
              <w:spacing w:before="0" w:after="40" w:line="240" w:lineRule="auto"/>
              <w:jc w:val="center"/>
            </w:pPr>
            <w:r>
              <w:rPr>
                <w:bCs/>
                <w:b/>
                <w:sz w:val="18"/>
              </w:rPr>
              <w:t xml:space="preserve">[−0.279, 0.439]</w:t>
            </w:r>
          </w:p>
        </w:tc>
      </w:tr>
      <w:tr>
        <w:trPr>
          <w:cantSplit/>
        </w:trPr>
        <w:tc>
          <w:tcPr>
            <w:tcW w:type="dxa" w:w="4592"/>
          </w:tcPr>
          <w:p>
            <w:pPr>
              <w:pStyle w:val="Compact"/>
              <w:keepNext w:val="0"/>
              <w:keepLines/>
              <w:spacing w:before="0" w:after="40" w:line="240" w:lineRule="auto"/>
              <w:jc w:val="left"/>
            </w:pPr>
            <w:r>
              <w:rPr>
                <w:sz w:val="18"/>
              </w:rPr>
              <w:t xml:space="preserve">Minimal movement, out-of-zone within 10 points</w:t>
            </w:r>
          </w:p>
        </w:tc>
        <w:tc>
          <w:tcPr>
            <w:tcW w:type="dxa" w:w="2240"/>
          </w:tcPr>
          <w:p>
            <w:pPr>
              <w:pStyle w:val="Compact"/>
              <w:keepNext w:val="0"/>
              <w:keepLines/>
              <w:spacing w:before="0" w:after="40" w:line="240" w:lineRule="auto"/>
              <w:jc w:val="center"/>
            </w:pPr>
            <w:r>
              <w:rPr>
                <w:sz w:val="18"/>
              </w:rPr>
              <w:t xml:space="preserve">[0.072, 0.139]</w:t>
            </w:r>
          </w:p>
        </w:tc>
        <w:tc>
          <w:tcPr>
            <w:tcW w:type="dxa" w:w="2240"/>
          </w:tcPr>
          <w:p>
            <w:pPr>
              <w:pStyle w:val="Compact"/>
              <w:keepNext w:val="0"/>
              <w:keepLines/>
              <w:spacing w:before="0" w:after="40" w:line="240" w:lineRule="auto"/>
              <w:jc w:val="center"/>
            </w:pPr>
            <w:r>
              <w:rPr>
                <w:sz w:val="18"/>
              </w:rPr>
              <w:t xml:space="preserve">[0.072, 0.138]</w:t>
            </w:r>
          </w:p>
        </w:tc>
      </w:tr>
      <w:tr>
        <w:trPr>
          <w:cantSplit/>
        </w:trPr>
        <w:tc>
          <w:tcPr>
            <w:tcW w:type="dxa" w:w="4592"/>
          </w:tcPr>
          <w:p>
            <w:pPr>
              <w:pStyle w:val="Compact"/>
              <w:keepNext w:val="0"/>
              <w:keepLines/>
              <w:spacing w:before="0" w:after="40" w:line="240" w:lineRule="auto"/>
              <w:jc w:val="left"/>
            </w:pPr>
            <w:r>
              <w:rPr>
                <w:sz w:val="18"/>
              </w:rPr>
              <w:t xml:space="preserve">Uniform movement (η = 0.1), out-of-zone within 10 points</w:t>
            </w:r>
          </w:p>
        </w:tc>
        <w:tc>
          <w:tcPr>
            <w:tcW w:type="dxa" w:w="2240"/>
          </w:tcPr>
          <w:p>
            <w:pPr>
              <w:pStyle w:val="Compact"/>
              <w:keepNext w:val="0"/>
              <w:keepLines/>
              <w:spacing w:before="0" w:after="40" w:line="240" w:lineRule="auto"/>
              <w:jc w:val="center"/>
            </w:pPr>
            <w:r>
              <w:rPr>
                <w:bCs/>
                <w:b/>
                <w:sz w:val="18"/>
              </w:rPr>
              <w:t xml:space="preserve">[−0.039, 0.239]</w:t>
            </w:r>
          </w:p>
        </w:tc>
        <w:tc>
          <w:tcPr>
            <w:tcW w:type="dxa" w:w="2240"/>
          </w:tcPr>
          <w:p>
            <w:pPr>
              <w:pStyle w:val="Compact"/>
              <w:keepNext w:val="0"/>
              <w:keepLines/>
              <w:spacing w:before="0" w:after="40" w:line="240" w:lineRule="auto"/>
              <w:jc w:val="center"/>
            </w:pPr>
            <w:r>
              <w:rPr>
                <w:sz w:val="18"/>
              </w:rPr>
              <w:t xml:space="preserve">[0.014, 0.195]</w:t>
            </w:r>
          </w:p>
        </w:tc>
      </w:tr>
      <w:tr>
        <w:trPr>
          <w:cantSplit/>
        </w:trPr>
        <w:tc>
          <w:tcPr>
            <w:tcW w:type="dxa" w:w="4592"/>
          </w:tcPr>
          <w:p>
            <w:pPr>
              <w:pStyle w:val="Compact"/>
              <w:keepNext w:val="0"/>
              <w:keepLines/>
              <w:spacing w:before="0" w:after="40" w:line="240" w:lineRule="auto"/>
              <w:jc w:val="left"/>
            </w:pPr>
            <w:r>
              <w:rPr>
                <w:sz w:val="18"/>
              </w:rPr>
              <w:t xml:space="preserve">Mobility-calibrated movement, out-of-zone within 10 points (D)</w:t>
            </w:r>
          </w:p>
        </w:tc>
        <w:tc>
          <w:tcPr>
            <w:tcW w:type="dxa" w:w="2240"/>
          </w:tcPr>
          <w:p>
            <w:pPr>
              <w:pStyle w:val="Compact"/>
              <w:keepNext w:val="0"/>
              <w:keepLines/>
              <w:spacing w:before="0" w:after="40" w:line="240" w:lineRule="auto"/>
              <w:jc w:val="center"/>
            </w:pPr>
            <w:r>
              <w:rPr>
                <w:bCs/>
                <w:b/>
                <w:sz w:val="18"/>
              </w:rPr>
              <w:t xml:space="preserve">[−0.191, 0.373]</w:t>
            </w:r>
          </w:p>
        </w:tc>
        <w:tc>
          <w:tcPr>
            <w:tcW w:type="dxa" w:w="2240"/>
          </w:tcPr>
          <w:p>
            <w:pPr>
              <w:pStyle w:val="Compact"/>
              <w:keepNext w:val="0"/>
              <w:keepLines/>
              <w:spacing w:before="0" w:after="40" w:line="240" w:lineRule="auto"/>
              <w:jc w:val="center"/>
            </w:pPr>
            <w:r>
              <w:rPr>
                <w:sz w:val="18"/>
              </w:rPr>
              <w:t xml:space="preserve">[0.010, 0.201]</w:t>
            </w:r>
          </w:p>
        </w:tc>
      </w:tr>
      <w:tr>
        <w:trPr>
          <w:cantSplit/>
        </w:trPr>
        <w:tc>
          <w:tcPr>
            <w:tcW w:type="dxa" w:w="4592"/>
          </w:tcPr>
          <w:p>
            <w:pPr>
              <w:pStyle w:val="Compact"/>
              <w:keepNext w:val="0"/>
              <w:keepLines/>
              <w:spacing w:before="0" w:after="40" w:line="240" w:lineRule="auto"/>
              <w:jc w:val="left"/>
            </w:pPr>
            <w:r>
              <w:rPr>
                <w:sz w:val="18"/>
              </w:rPr>
              <w:t xml:space="preserve">Main assumptions (E)</w:t>
            </w:r>
          </w:p>
        </w:tc>
        <w:tc>
          <w:tcPr>
            <w:tcW w:type="dxa" w:w="2240"/>
          </w:tcPr>
          <w:p>
            <w:pPr>
              <w:pStyle w:val="Compact"/>
              <w:keepNext w:val="0"/>
              <w:keepLines/>
              <w:spacing w:before="0" w:after="40" w:line="240" w:lineRule="auto"/>
              <w:jc w:val="center"/>
            </w:pPr>
            <w:r>
              <w:rPr>
                <w:sz w:val="18"/>
              </w:rPr>
              <w:t xml:space="preserve">[0.034, 0.174]</w:t>
            </w:r>
          </w:p>
        </w:tc>
        <w:tc>
          <w:tcPr>
            <w:tcW w:type="dxa" w:w="2240"/>
          </w:tcPr>
          <w:p>
            <w:pPr>
              <w:pStyle w:val="Compact"/>
              <w:keepNext w:val="0"/>
              <w:keepLines/>
              <w:spacing w:before="0" w:after="40" w:line="240" w:lineRule="auto"/>
              <w:jc w:val="center"/>
            </w:pPr>
            <w:r>
              <w:rPr>
                <w:sz w:val="18"/>
              </w:rPr>
              <w:t xml:space="preserve">[0.054, 0.156]</w:t>
            </w:r>
          </w:p>
        </w:tc>
      </w:tr>
    </w:tbl>
    <w:p>
      <w:pPr>
        <w:pStyle w:val="BodyText"/>
        <w:spacing w:line="240" w:lineRule="auto" w:before="80" w:after="120"/>
      </w:pPr>
      <w:r>
        <w:rPr>
          <w:iCs/>
          <w:i/>
          <w:sz w:val="18"/>
        </w:rPr>
        <w:t xml:space="preserve">Notes.</w:t>
      </w:r>
      <w:r>
        <w:rPr>
          <w:sz w:val="18"/>
        </w:rPr>
        <w:t xml:space="preserve"> </w:t>
      </w:r>
      <w:r>
        <w:rPr>
          <w:sz w:val="18"/>
        </w:rPr>
        <w:t xml:space="preserve">Bold ranges include zero; their sign is not identified. Roll-based share z. The zones are the 155 district-council constituencies, about three neighborhoods each. Rows with uniform movement hold the amount of movement fixed, so the comparison isolates the zone rule; the mobility-calibrated rows recalibrate movement to the zone definition. Adding the council contest’s published headcounts changes the statutory-zone ranges by at most 0.003 (Online Appendix Table C2).</w:t>
      </w:r>
    </w:p>
    <w:p>
      <w:pPr>
        <w:pStyle w:val="BodyText"/>
      </w:pPr>
      <w:r>
        <w:t xml:space="preserve">With the uniform movement cap held fixed, the within-district slope ranges from</w:t>
      </w:r>
      <w:r>
        <w:t xml:space="preserve"> </w:t>
      </w:r>
      <m:oMath>
        <m:r>
          <m:rPr>
            <m:sty m:val="p"/>
          </m:rPr>
          <m:t>−</m:t>
        </m:r>
        <m:r>
          <m:t>0.039</m:t>
        </m:r>
      </m:oMath>
      <w:r>
        <w:t xml:space="preserve"> </w:t>
      </w:r>
      <w:r>
        <w:t xml:space="preserve">to</w:t>
      </w:r>
      <w:r>
        <w:t xml:space="preserve"> </w:t>
      </w:r>
      <m:oMath>
        <m:r>
          <m:t>0.239</m:t>
        </m:r>
      </m:oMath>
      <w:r>
        <w:t xml:space="preserve"> </w:t>
      </w:r>
      <w:r>
        <w:t xml:space="preserve">when early ballots may move throughout the district, compared with</w:t>
      </w:r>
      <w:r>
        <w:t xml:space="preserve"> </w:t>
      </w:r>
      <m:oMath>
        <m:r>
          <m:t>0.014</m:t>
        </m:r>
      </m:oMath>
      <w:r>
        <w:t xml:space="preserve"> </w:t>
      </w:r>
      <w:r>
        <w:t xml:space="preserve">to</w:t>
      </w:r>
      <w:r>
        <w:t xml:space="preserve"> </w:t>
      </w:r>
      <m:oMath>
        <m:r>
          <m:t>0.195</m:t>
        </m:r>
      </m:oMath>
      <w:r>
        <w:t xml:space="preserve"> </w:t>
      </w:r>
      <w:r>
        <w:t xml:space="preserve">under the statutory zones. Imposing the zones therefore changes whether a positive slope is identified under these assumptions. The mobility-calibrated comparison also changes the sign conclusion (</w:t>
      </w:r>
      <m:oMath>
        <m:d>
          <m:dPr>
            <m:begChr m:val="["/>
            <m:endChr m:val="]"/>
            <m:sepChr m:val=""/>
            <m:grow/>
          </m:dPr>
          <m:e>
            <m:r>
              <m:rPr>
                <m:sty m:val="p"/>
              </m:rPr>
              <m:t>−</m:t>
            </m:r>
            <m:r>
              <m:t>0.191</m:t>
            </m:r>
            <m:r>
              <m:rPr>
                <m:sty m:val="p"/>
              </m:rPr>
              <m:t>,</m:t>
            </m:r>
            <m:r>
              <m:t>0.373</m:t>
            </m:r>
          </m:e>
        </m:d>
      </m:oMath>
      <w:r>
        <w:t xml:space="preserve"> </w:t>
      </w:r>
      <w:r>
        <w:t xml:space="preserve">versus</w:t>
      </w:r>
      <w:r>
        <w:t xml:space="preserve"> </w:t>
      </w:r>
      <m:oMath>
        <m:d>
          <m:dPr>
            <m:begChr m:val="["/>
            <m:endChr m:val="]"/>
            <m:sepChr m:val=""/>
            <m:grow/>
          </m:dPr>
          <m:e>
            <m:r>
              <m:t>0.010</m:t>
            </m:r>
            <m:r>
              <m:rPr>
                <m:sty m:val="p"/>
              </m:rPr>
              <m:t>,</m:t>
            </m:r>
            <m:r>
              <m:t>0.201</m:t>
            </m:r>
          </m:e>
        </m:d>
      </m:oMath>
      <w:r>
        <w:t xml:space="preserve">), although movement is recalibrated to each zone definition. Under the main assumptions, both ranges are positive and the zones narrow the range by about a quarter; there, the composition restrictions rather than the zones secure the sign. The comparison holds the 2026 votes and pooled-ballot structure fixed and changes only where in-zone ballots may be allocated. It is not a counterfactual election under presidential rules, in which today’s cross-constituency voters would have been in-zone movers, and it does not estimate how much of the difference between 2025 and 2026 is administrative; for the same reason,</w:t>
      </w:r>
      <w:r>
        <w:t xml:space="preserve"> </w:t>
      </w:r>
      <m:oMath>
        <m:r>
          <m:t>δ</m:t>
        </m:r>
      </m:oMath>
      <w:r>
        <w:t xml:space="preserve"> </w:t>
      </w:r>
      <w:r>
        <w:t xml:space="preserve">constrains a different population in 2026 than in presidential elections. The comparison shows only that, within the same returns, finer zones carry information that can decide the sign under weaker assumptions. Cross-election differences also reflect candidates, issues and the partisanship of early voting, so the clearer result of 2026 does not by itself show that Seoul’s housing divide deepened. Comparing political divisions across elections requires first establishing that each election’s counting rules reveal the quantity being compared.</w:t>
      </w:r>
    </w:p>
    <w:bookmarkEnd w:id="39"/>
    <w:bookmarkStart w:id="43" w:name="sensitivity-and-robustness"/>
    <w:p>
      <w:pPr>
        <w:pStyle w:val="Heading2"/>
      </w:pPr>
      <w:r>
        <w:t xml:space="preserve">4.5 Sensitivity and robustness</w:t>
      </w:r>
    </w:p>
    <w:p>
      <w:pPr>
        <w:pStyle w:val="FirstParagraph"/>
      </w:pPr>
      <w:r>
        <w:t xml:space="preserve">Figure 4 maps how far the movement and composition assumptions can be relaxed: for each amount of movement and each out-of-zone tolerance, the largest additional departure</w:t>
      </w:r>
      <w:r>
        <w:t xml:space="preserve"> </w:t>
      </w:r>
      <m:oMath>
        <m:sSup>
          <m:e>
            <m:r>
              <m:t>s</m:t>
            </m:r>
          </m:e>
          <m:sup>
            <m:r>
              <m:rPr>
                <m:sty m:val="p"/>
              </m:rPr>
              <m:t>*</m:t>
            </m:r>
          </m:sup>
        </m:sSup>
      </m:oMath>
      <w:r>
        <w:t xml:space="preserve"> </w:t>
      </w:r>
      <w:r>
        <w:t xml:space="preserve">at which the slope stays positive. For all of Seoul in 2026, with a 10-point tolerance the slope stays positive at the main setting for every amount of movement, including unrestricted movement (</w:t>
      </w:r>
      <m:oMath>
        <m:sSup>
          <m:e>
            <m:r>
              <m:t>s</m:t>
            </m:r>
          </m:e>
          <m:sup>
            <m:r>
              <m:rPr>
                <m:sty m:val="p"/>
              </m:rPr>
              <m:t>*</m:t>
            </m:r>
          </m:sup>
        </m:sSup>
        <m:r>
          <m:rPr>
            <m:sty m:val="p"/>
          </m:rPr>
          <m:t>=</m:t>
        </m:r>
        <m:r>
          <m:t>0.122</m:t>
        </m:r>
      </m:oMath>
      <w:r>
        <w:t xml:space="preserve">). With a 20-point tolerance,</w:t>
      </w:r>
      <w:r>
        <w:t xml:space="preserve"> </w:t>
      </w:r>
      <m:oMath>
        <m:sSup>
          <m:e>
            <m:r>
              <m:t>s</m:t>
            </m:r>
          </m:e>
          <m:sup>
            <m:r>
              <m:rPr>
                <m:sty m:val="p"/>
              </m:rPr>
              <m:t>*</m:t>
            </m:r>
          </m:sup>
        </m:sSup>
      </m:oMath>
      <w:r>
        <w:t xml:space="preserve"> </w:t>
      </w:r>
      <w:r>
        <w:t xml:space="preserve">is 0.087 under calibrated and 0.006 under unrestricted movement (Online Appendix Tables C4 and C19). The 2026 conclusion therefore depends mainly on the out-of-zone tolerance, not on the mobile-phone calibration; at the main</w:t>
      </w:r>
      <w:r>
        <w:t xml:space="preserve"> </w:t>
      </w:r>
      <m:oMath>
        <m:r>
          <m:t>s</m:t>
        </m:r>
      </m:oMath>
      <w:r>
        <w:t xml:space="preserve"> </w:t>
      </w:r>
      <w:r>
        <w:t xml:space="preserve">it holds up to</w:t>
      </w:r>
      <w:r>
        <w:t xml:space="preserve"> </w:t>
      </w:r>
      <m:oMath>
        <m:r>
          <m:t>δ</m:t>
        </m:r>
        <m:r>
          <m:rPr>
            <m:sty m:val="p"/>
          </m:rPr>
          <m:t>=</m:t>
        </m:r>
        <m:r>
          <m:t>0.26</m:t>
        </m:r>
      </m:oMath>
      <w:r>
        <w:t xml:space="preserve"> </w:t>
      </w:r>
      <w:r>
        <w:t xml:space="preserve">for all of Seoul and</w:t>
      </w:r>
      <w:r>
        <w:t xml:space="preserve"> </w:t>
      </w:r>
      <m:oMath>
        <m:r>
          <m:t>δ</m:t>
        </m:r>
        <m:r>
          <m:rPr>
            <m:sty m:val="p"/>
          </m:rPr>
          <m:t>=</m:t>
        </m:r>
        <m:r>
          <m:t>0.18</m:t>
        </m:r>
      </m:oMath>
      <w:r>
        <w:t xml:space="preserve"> </w:t>
      </w:r>
      <w:r>
        <w:t xml:space="preserve">outside the three districts (Online Appendix Table C25). In 2024 the region is a narrow strip (</w:t>
      </w:r>
      <m:oMath>
        <m:sSup>
          <m:e>
            <m:r>
              <m:t>s</m:t>
            </m:r>
          </m:e>
          <m:sup>
            <m:r>
              <m:rPr>
                <m:sty m:val="p"/>
              </m:rPr>
              <m:t>*</m:t>
            </m:r>
          </m:sup>
        </m:sSup>
        <m:r>
          <m:rPr>
            <m:sty m:val="p"/>
          </m:rPr>
          <m:t>=</m:t>
        </m:r>
        <m:r>
          <m:t>0.021</m:t>
        </m:r>
      </m:oMath>
      <w:r>
        <w:t xml:space="preserve"> </w:t>
      </w:r>
      <w:r>
        <w:t xml:space="preserve">at the main movement and tolerance); in 2022 and 2025 there is none.</w:t>
      </w:r>
    </w:p>
    <w:p>
      <w:pPr>
        <w:pStyle w:val="BodyText"/>
      </w:pPr>
      <w:r>
        <w:rPr>
          <w:iCs/>
          <w:i/>
        </w:rPr>
        <w:t xml:space="preserve">Price-aligned departures.</w:t>
      </w:r>
      <w:r>
        <w:t xml:space="preserve"> </w:t>
      </w:r>
      <w:r>
        <w:t xml:space="preserve">The unresolved signs can be settled by a different assumption that limits how residents’ early-vote departures align with neighborhood prices, rather than limiting each neighborhood separately (Online Appendix A.1 and Table C22). For all of Seoul, departure slopes at the scale of observed station patterns would establish positive gradients in the four sampled elections from 2022. Those patterns concern station voters or district averages, however, and do not measure the unobserved residential departures being restricted. Outside the three districts the conclusion is less uniform. Appendix C reports the thresholds and comparisons, including a restriction on out-of-zone departures alone (Table C25). These exercises identify assumptions that would settle the open signs; they do not establish that those assumptions hold.</w:t>
      </w:r>
    </w:p>
    <w:p>
      <w:pPr>
        <w:pStyle w:val="CaptionedFigure"/>
        <w:keepNext/>
      </w:pPr>
      <w:r>
        <w:drawing>
          <wp:inline>
            <wp:extent cx="5334000" cy="3994889"/>
            <wp:effectExtent b="0" l="0" r="0" t="0"/>
            <wp:docPr descr="Figure 4. Where the within-district slope is positive. Each cell gives s^*, the largest additional departure of residents’ early ballots from their neighborhood benchmark, beyond their station’s own departure, at which the lower end of the range stays positive; amounts of movement are multiples \lambda of the mobility-calibrated scenario or unrestricted, and \delta is the tolerance for out-of-zone voters. The main setting (\lambda=1, \delta=0.1, s=0.02) is outlined: the slope is positive there if s^* exceeds 0.02. “∞”: positive however much residents’ early ballots depart; gray: no positive lower bound for any s\ge0 among the settings examined. All of Seoul; numbers in Online Appendix Table C4, and selected settings without Gangnam, Seocho and Songpa in Table C19." title="" id="41" name="Picture"/>
            <a:graphic>
              <a:graphicData uri="http://schemas.openxmlformats.org/drawingml/2006/picture">
                <pic:pic>
                  <pic:nvPicPr>
                    <pic:cNvPr descr="figures/fig4_region.png" id="42" name="Picture"/>
                    <pic:cNvPicPr>
                      <a:picLocks noChangeArrowheads="1" noChangeAspect="1"/>
                    </pic:cNvPicPr>
                  </pic:nvPicPr>
                  <pic:blipFill>
                    <a:blip r:embed="rId40"/>
                    <a:stretch>
                      <a:fillRect/>
                    </a:stretch>
                  </pic:blipFill>
                  <pic:spPr bwMode="auto">
                    <a:xfrm>
                      <a:off x="0" y="0"/>
                      <a:ext cx="5334000" cy="3994889"/>
                    </a:xfrm>
                    <a:prstGeom prst="rect">
                      <a:avLst/>
                    </a:prstGeom>
                    <a:noFill/>
                    <a:ln w="9525">
                      <a:noFill/>
                      <a:headEnd/>
                      <a:tailEnd/>
                    </a:ln>
                  </pic:spPr>
                </pic:pic>
              </a:graphicData>
            </a:graphic>
          </wp:inline>
        </w:drawing>
      </w:r>
    </w:p>
    <w:p>
      <w:pPr>
        <w:pStyle w:val="ImageCaption"/>
      </w:pPr>
      <w:r>
        <w:t xml:space="preserve">Figure 4. Where the within-district slope is positive. Each cell gives</w:t>
      </w:r>
      <w:r>
        <w:t xml:space="preserve"> </w:t>
      </w:r>
      <m:oMath>
        <m:sSup>
          <m:e>
            <m:r>
              <m:t>s</m:t>
            </m:r>
          </m:e>
          <m:sup>
            <m:r>
              <m:rPr>
                <m:sty m:val="p"/>
              </m:rPr>
              <m:t>*</m:t>
            </m:r>
          </m:sup>
        </m:sSup>
      </m:oMath>
      <w:r>
        <w:t xml:space="preserve">, the largest additional departure of residents’ early ballots from their neighborhood benchmark, beyond their station’s own departure, at which the lower end of the range stays positive; amounts of movement are multiples</w:t>
      </w:r>
      <w:r>
        <w:t xml:space="preserve"> </w:t>
      </w:r>
      <m:oMath>
        <m:r>
          <m:t>λ</m:t>
        </m:r>
      </m:oMath>
      <w:r>
        <w:t xml:space="preserve"> </w:t>
      </w:r>
      <w:r>
        <w:t xml:space="preserve">of the mobility-calibrated scenario or unrestricted, and</w:t>
      </w:r>
      <w:r>
        <w:t xml:space="preserve"> </w:t>
      </w:r>
      <m:oMath>
        <m:r>
          <m:t>δ</m:t>
        </m:r>
      </m:oMath>
      <w:r>
        <w:t xml:space="preserve"> </w:t>
      </w:r>
      <w:r>
        <w:t xml:space="preserve">is the tolerance for out-of-zone voters. The main setting (</w:t>
      </w:r>
      <m:oMath>
        <m:r>
          <m:t>λ</m:t>
        </m:r>
        <m:r>
          <m:rPr>
            <m:sty m:val="p"/>
          </m:rPr>
          <m:t>=</m:t>
        </m:r>
        <m:r>
          <m:t>1</m:t>
        </m:r>
      </m:oMath>
      <w:r>
        <w:t xml:space="preserve">,</w:t>
      </w:r>
      <w:r>
        <w:t xml:space="preserve"> </w:t>
      </w:r>
      <m:oMath>
        <m:r>
          <m:t>δ</m:t>
        </m:r>
        <m:r>
          <m:rPr>
            <m:sty m:val="p"/>
          </m:rPr>
          <m:t>=</m:t>
        </m:r>
        <m:r>
          <m:t>0.1</m:t>
        </m:r>
      </m:oMath>
      <w:r>
        <w:t xml:space="preserve">,</w:t>
      </w:r>
      <w:r>
        <w:t xml:space="preserve"> </w:t>
      </w:r>
      <m:oMath>
        <m:r>
          <m:t>s</m:t>
        </m:r>
        <m:r>
          <m:rPr>
            <m:sty m:val="p"/>
          </m:rPr>
          <m:t>=</m:t>
        </m:r>
        <m:r>
          <m:t>0.02</m:t>
        </m:r>
      </m:oMath>
      <w:r>
        <w:t xml:space="preserve">) is outlined: the slope is positive there if</w:t>
      </w:r>
      <w:r>
        <w:t xml:space="preserve"> </w:t>
      </w:r>
      <m:oMath>
        <m:sSup>
          <m:e>
            <m:r>
              <m:t>s</m:t>
            </m:r>
          </m:e>
          <m:sup>
            <m:r>
              <m:rPr>
                <m:sty m:val="p"/>
              </m:rPr>
              <m:t>*</m:t>
            </m:r>
          </m:sup>
        </m:sSup>
      </m:oMath>
      <w:r>
        <w:t xml:space="preserve"> </w:t>
      </w:r>
      <w:r>
        <w:t xml:space="preserve">exceeds 0.02.</w:t>
      </w:r>
      <w:r>
        <w:t xml:space="preserve"> </w:t>
      </w:r>
      <w:r>
        <w:t xml:space="preserve">“</w:t>
      </w:r>
      <w:r>
        <w:t xml:space="preserve">∞</w:t>
      </w:r>
      <w:r>
        <w:t xml:space="preserve">”</w:t>
      </w:r>
      <w:r>
        <w:t xml:space="preserve">: positive however much residents’ early ballots depart; gray: no positive lower bound for any</w:t>
      </w:r>
      <w:r>
        <w:t xml:space="preserve"> </w:t>
      </w:r>
      <m:oMath>
        <m:r>
          <m:t>s</m:t>
        </m:r>
        <m:r>
          <m:rPr>
            <m:sty m:val="p"/>
          </m:rPr>
          <m:t>≥</m:t>
        </m:r>
        <m:r>
          <m:t>0</m:t>
        </m:r>
      </m:oMath>
      <w:r>
        <w:t xml:space="preserve"> </w:t>
      </w:r>
      <w:r>
        <w:t xml:space="preserve">among the settings examined. All of Seoul; numbers in Online Appendix Table C4, and selected settings without Gangnam, Seocho and Songpa in Table C19.</w:t>
      </w:r>
    </w:p>
    <w:p>
      <w:pPr>
        <w:pStyle w:val="BodyText"/>
      </w:pPr>
      <w:r>
        <w:t xml:space="preserve">Table 5 characterizes reversals. The 2022 and 2025 signs are unresolved even when residents’ early votes depart from their benchmark only as much as their station’s ballots do. Restricting movers’ composition does not settle them because pooled ballots can instead support a reversal (Online Appendix Tables C5–C7 and C25). In 2026 no reversal exists under calibrated movement and the ten-point out-of-zone tolerance, even without restricting residents’ in-zone composition. At a 20-point tolerance it requires an additional departure of about 9 points. These allocations describe what the assumptions allow, not estimated voting behavior.</w:t>
      </w:r>
    </w:p>
    <w:p>
      <w:pPr>
        <w:pStyle w:val="TableCaption"/>
        <w:keepNext/>
      </w:pPr>
      <w:r>
        <w:t xml:space="preserve">Table 5. Assumptions and allocations that permit a non-positive slope</w:t>
      </w:r>
    </w:p>
    <w:tbl>
      <w:tblPr>
        <w:tblStyle w:val="Table"/>
        <w:tblW w:type="pct" w:w="5000"/>
        <w:tblLayout w:type="fixed"/>
        <w:tblLook w:firstRow="1" w:lastRow="0" w:firstColumn="0" w:lastColumn="0" w:noHBand="0" w:noVBand="0" w:val="0020"/>
        <w:jc w:val="start"/>
        <w:tblCaption w:val="Table 5. Assumptions and allocations that permit a non-positive slope"/>
      </w:tblPr>
      <w:tblGrid>
        <w:gridCol w:w="1564"/>
        <w:gridCol w:w="1877"/>
        <w:gridCol w:w="1721"/>
        <w:gridCol w:w="2033"/>
        <w:gridCol w:w="1877"/>
      </w:tblGrid>
      <w:tr>
        <w:trPr>
          <w:tblHeader w:val="true"/>
          <w:cantSplit/>
        </w:trPr>
        <w:tc>
          <w:tcPr>
            <w:tcW w:type="dxa" w:w="1564"/>
          </w:tcPr>
          <w:p>
            <w:pPr>
              <w:pStyle w:val="Compact"/>
              <w:keepNext/>
              <w:keepLines/>
              <w:spacing w:before="0" w:after="40" w:line="240" w:lineRule="auto"/>
              <w:jc w:val="left"/>
            </w:pPr>
            <w:r>
              <w:rPr>
                <w:sz w:val="18"/>
              </w:rPr>
              <w:t xml:space="preserve">Election</w:t>
            </w:r>
          </w:p>
        </w:tc>
        <w:tc>
          <w:tcPr>
            <w:tcW w:type="dxa" w:w="1877"/>
          </w:tcPr>
          <w:p>
            <w:pPr>
              <w:pStyle w:val="Compact"/>
              <w:keepNext/>
              <w:keepLines/>
              <w:spacing w:before="0" w:after="40" w:line="240" w:lineRule="auto"/>
              <w:jc w:val="center"/>
            </w:pPr>
            <w:r>
              <w:rPr>
                <w:sz w:val="18"/>
              </w:rPr>
              <w:t xml:space="preserve">Out-of-zone voters within (points)</w:t>
            </w:r>
          </w:p>
        </w:tc>
        <w:tc>
          <w:tcPr>
            <w:tcW w:type="dxa" w:w="1721"/>
          </w:tcPr>
          <w:p>
            <w:pPr>
              <w:pStyle w:val="Compact"/>
              <w:keepNext/>
              <w:keepLines/>
              <w:spacing w:before="0" w:after="40" w:line="240" w:lineRule="auto"/>
              <w:jc w:val="center"/>
            </w:pPr>
            <w:r>
              <w:rPr>
                <w:sz w:val="18"/>
              </w:rPr>
              <w:t xml:space="preserve">Largest additional tolerance s with a positive slope</w:t>
            </w:r>
          </w:p>
        </w:tc>
        <w:tc>
          <w:tcPr>
            <w:tcW w:type="dxa" w:w="2033"/>
          </w:tcPr>
          <w:p>
            <w:pPr>
              <w:pStyle w:val="Compact"/>
              <w:keepNext/>
              <w:keepLines/>
              <w:spacing w:before="0" w:after="40" w:line="240" w:lineRule="auto"/>
              <w:jc w:val="center"/>
            </w:pPr>
            <w:r>
              <w:rPr>
                <w:sz w:val="18"/>
              </w:rPr>
              <w:t xml:space="preserve">First reversing allocation: movers minus stayers, conservative share (points)</w:t>
            </w:r>
          </w:p>
        </w:tc>
        <w:tc>
          <w:tcPr>
            <w:tcW w:type="dxa" w:w="1877"/>
          </w:tcPr>
          <w:p>
            <w:pPr>
              <w:pStyle w:val="Compact"/>
              <w:keepNext/>
              <w:keepLines/>
              <w:spacing w:before="0" w:after="40" w:line="240" w:lineRule="auto"/>
              <w:jc w:val="center"/>
            </w:pPr>
            <w:r>
              <w:rPr>
                <w:sz w:val="18"/>
              </w:rPr>
              <w:t xml:space="preserve">Fewest residents’ early ballots that must depart to reverse</w:t>
            </w:r>
          </w:p>
        </w:tc>
      </w:tr>
      <w:tr>
        <w:trPr>
          <w:cantSplit/>
        </w:trPr>
        <w:tc>
          <w:tcPr>
            <w:tcW w:type="dxa" w:w="1564"/>
          </w:tcPr>
          <w:p>
            <w:pPr>
              <w:pStyle w:val="Compact"/>
              <w:keepNext w:val="0"/>
              <w:keepLines/>
              <w:spacing w:before="0" w:after="40" w:line="240" w:lineRule="auto"/>
              <w:jc w:val="left"/>
            </w:pPr>
            <w:r>
              <w:rPr>
                <w:sz w:val="18"/>
              </w:rPr>
              <w:t xml:space="preserve">2022</w:t>
            </w:r>
          </w:p>
        </w:tc>
        <w:tc>
          <w:tcPr>
            <w:tcW w:type="dxa" w:w="1877"/>
          </w:tcPr>
          <w:p>
            <w:pPr>
              <w:pStyle w:val="Compact"/>
              <w:keepNext w:val="0"/>
              <w:keepLines/>
              <w:spacing w:before="0" w:after="40" w:line="240" w:lineRule="auto"/>
              <w:jc w:val="center"/>
            </w:pPr>
            <w:r>
              <w:rPr>
                <w:sz w:val="18"/>
              </w:rPr>
              <w:t xml:space="preserve">10</w:t>
            </w:r>
          </w:p>
        </w:tc>
        <w:tc>
          <w:tcPr>
            <w:tcW w:type="dxa" w:w="1721"/>
          </w:tcPr>
          <w:p>
            <w:pPr>
              <w:pStyle w:val="Compact"/>
              <w:keepNext w:val="0"/>
              <w:keepLines/>
              <w:spacing w:before="0" w:after="40" w:line="240" w:lineRule="auto"/>
              <w:jc w:val="center"/>
            </w:pPr>
            <w:r>
              <w:rPr>
                <w:sz w:val="18"/>
              </w:rPr>
              <w:t xml:space="preserve">none</w:t>
            </w:r>
          </w:p>
        </w:tc>
        <w:tc>
          <w:tcPr>
            <w:tcW w:type="dxa" w:w="2033"/>
          </w:tcPr>
          <w:p>
            <w:pPr>
              <w:pStyle w:val="Compact"/>
              <w:keepNext w:val="0"/>
              <w:keepLines/>
              <w:spacing w:before="0" w:after="40" w:line="240" w:lineRule="auto"/>
              <w:jc w:val="center"/>
            </w:pPr>
            <w:r>
              <w:rPr>
                <w:sz w:val="18"/>
              </w:rPr>
              <w:t xml:space="preserve">12 to 21</w:t>
            </w:r>
          </w:p>
        </w:tc>
        <w:tc>
          <w:tcPr>
            <w:tcW w:type="dxa" w:w="1877"/>
          </w:tcPr>
          <w:p>
            <w:pPr>
              <w:pStyle w:val="Compact"/>
              <w:keepNext w:val="0"/>
              <w:keepLines/>
              <w:spacing w:before="0" w:after="40" w:line="240" w:lineRule="auto"/>
              <w:jc w:val="center"/>
            </w:pPr>
            <w:r>
              <w:rPr>
                <w:sz w:val="18"/>
              </w:rPr>
              <w:t xml:space="preserve">16,685</w:t>
            </w:r>
          </w:p>
        </w:tc>
      </w:tr>
      <w:tr>
        <w:trPr>
          <w:cantSplit/>
        </w:trPr>
        <w:tc>
          <w:tcPr>
            <w:tcW w:type="dxa" w:w="1564"/>
          </w:tcPr>
          <w:p>
            <w:pPr>
              <w:pStyle w:val="Compact"/>
              <w:keepNext w:val="0"/>
              <w:keepLines/>
              <w:spacing w:before="0" w:after="40" w:line="240" w:lineRule="auto"/>
              <w:jc w:val="left"/>
            </w:pPr>
            <w:r>
              <w:rPr>
                <w:sz w:val="18"/>
              </w:rPr>
              <w:t xml:space="preserve">2022</w:t>
            </w:r>
          </w:p>
        </w:tc>
        <w:tc>
          <w:tcPr>
            <w:tcW w:type="dxa" w:w="1877"/>
          </w:tcPr>
          <w:p>
            <w:pPr>
              <w:pStyle w:val="Compact"/>
              <w:keepNext w:val="0"/>
              <w:keepLines/>
              <w:spacing w:before="0" w:after="40" w:line="240" w:lineRule="auto"/>
              <w:jc w:val="center"/>
            </w:pPr>
            <w:r>
              <w:rPr>
                <w:sz w:val="18"/>
              </w:rPr>
              <w:t xml:space="preserve">20</w:t>
            </w:r>
          </w:p>
        </w:tc>
        <w:tc>
          <w:tcPr>
            <w:tcW w:type="dxa" w:w="1721"/>
          </w:tcPr>
          <w:p>
            <w:pPr>
              <w:pStyle w:val="Compact"/>
              <w:keepNext w:val="0"/>
              <w:keepLines/>
              <w:spacing w:before="0" w:after="40" w:line="240" w:lineRule="auto"/>
              <w:jc w:val="center"/>
            </w:pPr>
            <w:r>
              <w:rPr>
                <w:sz w:val="18"/>
              </w:rPr>
              <w:t xml:space="preserve">none</w:t>
            </w:r>
          </w:p>
        </w:tc>
        <w:tc>
          <w:tcPr>
            <w:tcW w:type="dxa" w:w="2033"/>
          </w:tcPr>
          <w:p>
            <w:pPr>
              <w:pStyle w:val="Compact"/>
              <w:keepNext w:val="0"/>
              <w:keepLines/>
              <w:spacing w:before="0" w:after="40" w:line="240" w:lineRule="auto"/>
              <w:jc w:val="center"/>
            </w:pPr>
            <w:r>
              <w:rPr>
                <w:sz w:val="18"/>
              </w:rPr>
              <w:t xml:space="preserve">14 to 18</w:t>
            </w:r>
          </w:p>
        </w:tc>
        <w:tc>
          <w:tcPr>
            <w:tcW w:type="dxa" w:w="1877"/>
          </w:tcPr>
          <w:p>
            <w:pPr>
              <w:pStyle w:val="Compact"/>
              <w:keepNext w:val="0"/>
              <w:keepLines/>
              <w:spacing w:before="0" w:after="40" w:line="240" w:lineRule="auto"/>
              <w:jc w:val="center"/>
            </w:pPr>
            <w:r>
              <w:rPr>
                <w:sz w:val="18"/>
              </w:rPr>
              <w:t xml:space="preserve">15,340</w:t>
            </w:r>
          </w:p>
        </w:tc>
      </w:tr>
      <w:tr>
        <w:trPr>
          <w:cantSplit/>
        </w:trPr>
        <w:tc>
          <w:tcPr>
            <w:tcW w:type="dxa" w:w="1564"/>
          </w:tcPr>
          <w:p>
            <w:pPr>
              <w:pStyle w:val="Compact"/>
              <w:keepNext w:val="0"/>
              <w:keepLines/>
              <w:spacing w:before="0" w:after="40" w:line="240" w:lineRule="auto"/>
              <w:jc w:val="left"/>
            </w:pPr>
            <w:r>
              <w:rPr>
                <w:sz w:val="18"/>
              </w:rPr>
              <w:t xml:space="preserve">2024</w:t>
            </w:r>
          </w:p>
        </w:tc>
        <w:tc>
          <w:tcPr>
            <w:tcW w:type="dxa" w:w="1877"/>
          </w:tcPr>
          <w:p>
            <w:pPr>
              <w:pStyle w:val="Compact"/>
              <w:keepNext w:val="0"/>
              <w:keepLines/>
              <w:spacing w:before="0" w:after="40" w:line="240" w:lineRule="auto"/>
              <w:jc w:val="center"/>
            </w:pPr>
            <w:r>
              <w:rPr>
                <w:sz w:val="18"/>
              </w:rPr>
              <w:t xml:space="preserve">10</w:t>
            </w:r>
          </w:p>
        </w:tc>
        <w:tc>
          <w:tcPr>
            <w:tcW w:type="dxa" w:w="1721"/>
          </w:tcPr>
          <w:p>
            <w:pPr>
              <w:pStyle w:val="Compact"/>
              <w:keepNext w:val="0"/>
              <w:keepLines/>
              <w:spacing w:before="0" w:after="40" w:line="240" w:lineRule="auto"/>
              <w:jc w:val="center"/>
            </w:pPr>
            <w:r>
              <w:rPr>
                <w:sz w:val="18"/>
              </w:rPr>
              <w:t xml:space="preserve">0.021</w:t>
            </w:r>
          </w:p>
        </w:tc>
        <w:tc>
          <w:tcPr>
            <w:tcW w:type="dxa" w:w="2033"/>
          </w:tcPr>
          <w:p>
            <w:pPr>
              <w:pStyle w:val="Compact"/>
              <w:keepNext w:val="0"/>
              <w:keepLines/>
              <w:spacing w:before="0" w:after="40" w:line="240" w:lineRule="auto"/>
              <w:jc w:val="center"/>
            </w:pPr>
            <w:r>
              <w:rPr>
                <w:sz w:val="18"/>
              </w:rPr>
              <w:t xml:space="preserve">11 to 17</w:t>
            </w:r>
          </w:p>
        </w:tc>
        <w:tc>
          <w:tcPr>
            <w:tcW w:type="dxa" w:w="1877"/>
          </w:tcPr>
          <w:p>
            <w:pPr>
              <w:pStyle w:val="Compact"/>
              <w:keepNext w:val="0"/>
              <w:keepLines/>
              <w:spacing w:before="0" w:after="40" w:line="240" w:lineRule="auto"/>
              <w:jc w:val="center"/>
            </w:pPr>
            <w:r>
              <w:rPr>
                <w:sz w:val="18"/>
              </w:rPr>
              <w:t xml:space="preserve">32,177</w:t>
            </w:r>
          </w:p>
        </w:tc>
      </w:tr>
      <w:tr>
        <w:trPr>
          <w:cantSplit/>
        </w:trPr>
        <w:tc>
          <w:tcPr>
            <w:tcW w:type="dxa" w:w="1564"/>
          </w:tcPr>
          <w:p>
            <w:pPr>
              <w:pStyle w:val="Compact"/>
              <w:keepNext w:val="0"/>
              <w:keepLines/>
              <w:spacing w:before="0" w:after="40" w:line="240" w:lineRule="auto"/>
              <w:jc w:val="left"/>
            </w:pPr>
            <w:r>
              <w:rPr>
                <w:sz w:val="18"/>
              </w:rPr>
              <w:t xml:space="preserve">2024</w:t>
            </w:r>
          </w:p>
        </w:tc>
        <w:tc>
          <w:tcPr>
            <w:tcW w:type="dxa" w:w="1877"/>
          </w:tcPr>
          <w:p>
            <w:pPr>
              <w:pStyle w:val="Compact"/>
              <w:keepNext w:val="0"/>
              <w:keepLines/>
              <w:spacing w:before="0" w:after="40" w:line="240" w:lineRule="auto"/>
              <w:jc w:val="center"/>
            </w:pPr>
            <w:r>
              <w:rPr>
                <w:sz w:val="18"/>
              </w:rPr>
              <w:t xml:space="preserve">20</w:t>
            </w:r>
          </w:p>
        </w:tc>
        <w:tc>
          <w:tcPr>
            <w:tcW w:type="dxa" w:w="1721"/>
          </w:tcPr>
          <w:p>
            <w:pPr>
              <w:pStyle w:val="Compact"/>
              <w:keepNext w:val="0"/>
              <w:keepLines/>
              <w:spacing w:before="0" w:after="40" w:line="240" w:lineRule="auto"/>
              <w:jc w:val="center"/>
            </w:pPr>
            <w:r>
              <w:rPr>
                <w:sz w:val="18"/>
              </w:rPr>
              <w:t xml:space="preserve">none</w:t>
            </w:r>
          </w:p>
        </w:tc>
        <w:tc>
          <w:tcPr>
            <w:tcW w:type="dxa" w:w="2033"/>
          </w:tcPr>
          <w:p>
            <w:pPr>
              <w:pStyle w:val="Compact"/>
              <w:keepNext w:val="0"/>
              <w:keepLines/>
              <w:spacing w:before="0" w:after="40" w:line="240" w:lineRule="auto"/>
              <w:jc w:val="center"/>
            </w:pPr>
            <w:r>
              <w:rPr>
                <w:sz w:val="18"/>
              </w:rPr>
              <w:t xml:space="preserve">9 to 14</w:t>
            </w:r>
          </w:p>
        </w:tc>
        <w:tc>
          <w:tcPr>
            <w:tcW w:type="dxa" w:w="1877"/>
          </w:tcPr>
          <w:p>
            <w:pPr>
              <w:pStyle w:val="Compact"/>
              <w:keepNext w:val="0"/>
              <w:keepLines/>
              <w:spacing w:before="0" w:after="40" w:line="240" w:lineRule="auto"/>
              <w:jc w:val="center"/>
            </w:pPr>
            <w:r>
              <w:rPr>
                <w:sz w:val="18"/>
              </w:rPr>
              <w:t xml:space="preserve">30,103</w:t>
            </w:r>
          </w:p>
        </w:tc>
      </w:tr>
      <w:tr>
        <w:trPr>
          <w:cantSplit/>
        </w:trPr>
        <w:tc>
          <w:tcPr>
            <w:tcW w:type="dxa" w:w="1564"/>
          </w:tcPr>
          <w:p>
            <w:pPr>
              <w:pStyle w:val="Compact"/>
              <w:keepNext w:val="0"/>
              <w:keepLines/>
              <w:spacing w:before="0" w:after="40" w:line="240" w:lineRule="auto"/>
              <w:jc w:val="left"/>
            </w:pPr>
            <w:r>
              <w:rPr>
                <w:sz w:val="18"/>
              </w:rPr>
              <w:t xml:space="preserve">2025</w:t>
            </w:r>
          </w:p>
        </w:tc>
        <w:tc>
          <w:tcPr>
            <w:tcW w:type="dxa" w:w="1877"/>
          </w:tcPr>
          <w:p>
            <w:pPr>
              <w:pStyle w:val="Compact"/>
              <w:keepNext w:val="0"/>
              <w:keepLines/>
              <w:spacing w:before="0" w:after="40" w:line="240" w:lineRule="auto"/>
              <w:jc w:val="center"/>
            </w:pPr>
            <w:r>
              <w:rPr>
                <w:sz w:val="18"/>
              </w:rPr>
              <w:t xml:space="preserve">10</w:t>
            </w:r>
          </w:p>
        </w:tc>
        <w:tc>
          <w:tcPr>
            <w:tcW w:type="dxa" w:w="1721"/>
          </w:tcPr>
          <w:p>
            <w:pPr>
              <w:pStyle w:val="Compact"/>
              <w:keepNext w:val="0"/>
              <w:keepLines/>
              <w:spacing w:before="0" w:after="40" w:line="240" w:lineRule="auto"/>
              <w:jc w:val="center"/>
            </w:pPr>
            <w:r>
              <w:rPr>
                <w:sz w:val="18"/>
              </w:rPr>
              <w:t xml:space="preserve">none</w:t>
            </w:r>
          </w:p>
        </w:tc>
        <w:tc>
          <w:tcPr>
            <w:tcW w:type="dxa" w:w="2033"/>
          </w:tcPr>
          <w:p>
            <w:pPr>
              <w:pStyle w:val="Compact"/>
              <w:keepNext w:val="0"/>
              <w:keepLines/>
              <w:spacing w:before="0" w:after="40" w:line="240" w:lineRule="auto"/>
              <w:jc w:val="center"/>
            </w:pPr>
            <w:r>
              <w:rPr>
                <w:sz w:val="18"/>
              </w:rPr>
              <w:t xml:space="preserve">20 to 24</w:t>
            </w:r>
          </w:p>
        </w:tc>
        <w:tc>
          <w:tcPr>
            <w:tcW w:type="dxa" w:w="1877"/>
          </w:tcPr>
          <w:p>
            <w:pPr>
              <w:pStyle w:val="Compact"/>
              <w:keepNext w:val="0"/>
              <w:keepLines/>
              <w:spacing w:before="0" w:after="40" w:line="240" w:lineRule="auto"/>
              <w:jc w:val="center"/>
            </w:pPr>
            <w:r>
              <w:rPr>
                <w:sz w:val="18"/>
              </w:rPr>
              <w:t xml:space="preserve">13,539</w:t>
            </w:r>
          </w:p>
        </w:tc>
      </w:tr>
      <w:tr>
        <w:trPr>
          <w:cantSplit/>
        </w:trPr>
        <w:tc>
          <w:tcPr>
            <w:tcW w:type="dxa" w:w="1564"/>
          </w:tcPr>
          <w:p>
            <w:pPr>
              <w:pStyle w:val="Compact"/>
              <w:keepNext w:val="0"/>
              <w:keepLines/>
              <w:spacing w:before="0" w:after="40" w:line="240" w:lineRule="auto"/>
              <w:jc w:val="left"/>
            </w:pPr>
            <w:r>
              <w:rPr>
                <w:sz w:val="18"/>
              </w:rPr>
              <w:t xml:space="preserve">2025</w:t>
            </w:r>
          </w:p>
        </w:tc>
        <w:tc>
          <w:tcPr>
            <w:tcW w:type="dxa" w:w="1877"/>
          </w:tcPr>
          <w:p>
            <w:pPr>
              <w:pStyle w:val="Compact"/>
              <w:keepNext w:val="0"/>
              <w:keepLines/>
              <w:spacing w:before="0" w:after="40" w:line="240" w:lineRule="auto"/>
              <w:jc w:val="center"/>
            </w:pPr>
            <w:r>
              <w:rPr>
                <w:sz w:val="18"/>
              </w:rPr>
              <w:t xml:space="preserve">20</w:t>
            </w:r>
          </w:p>
        </w:tc>
        <w:tc>
          <w:tcPr>
            <w:tcW w:type="dxa" w:w="1721"/>
          </w:tcPr>
          <w:p>
            <w:pPr>
              <w:pStyle w:val="Compact"/>
              <w:keepNext w:val="0"/>
              <w:keepLines/>
              <w:spacing w:before="0" w:after="40" w:line="240" w:lineRule="auto"/>
              <w:jc w:val="center"/>
            </w:pPr>
            <w:r>
              <w:rPr>
                <w:sz w:val="18"/>
              </w:rPr>
              <w:t xml:space="preserve">none</w:t>
            </w:r>
          </w:p>
        </w:tc>
        <w:tc>
          <w:tcPr>
            <w:tcW w:type="dxa" w:w="2033"/>
          </w:tcPr>
          <w:p>
            <w:pPr>
              <w:pStyle w:val="Compact"/>
              <w:keepNext w:val="0"/>
              <w:keepLines/>
              <w:spacing w:before="0" w:after="40" w:line="240" w:lineRule="auto"/>
              <w:jc w:val="center"/>
            </w:pPr>
            <w:r>
              <w:rPr>
                <w:sz w:val="18"/>
              </w:rPr>
              <w:t xml:space="preserve">21 to 23</w:t>
            </w:r>
          </w:p>
        </w:tc>
        <w:tc>
          <w:tcPr>
            <w:tcW w:type="dxa" w:w="1877"/>
          </w:tcPr>
          <w:p>
            <w:pPr>
              <w:pStyle w:val="Compact"/>
              <w:keepNext w:val="0"/>
              <w:keepLines/>
              <w:spacing w:before="0" w:after="40" w:line="240" w:lineRule="auto"/>
              <w:jc w:val="center"/>
            </w:pPr>
            <w:r>
              <w:rPr>
                <w:sz w:val="18"/>
              </w:rPr>
              <w:t xml:space="preserve">12,512</w:t>
            </w:r>
          </w:p>
        </w:tc>
      </w:tr>
      <w:tr>
        <w:trPr>
          <w:cantSplit/>
        </w:trPr>
        <w:tc>
          <w:tcPr>
            <w:tcW w:type="dxa" w:w="1564"/>
          </w:tcPr>
          <w:p>
            <w:pPr>
              <w:pStyle w:val="Compact"/>
              <w:keepNext w:val="0"/>
              <w:keepLines/>
              <w:spacing w:before="0" w:after="40" w:line="240" w:lineRule="auto"/>
              <w:jc w:val="left"/>
            </w:pPr>
            <w:r>
              <w:rPr>
                <w:sz w:val="18"/>
              </w:rPr>
              <w:t xml:space="preserve">2026</w:t>
            </w:r>
          </w:p>
        </w:tc>
        <w:tc>
          <w:tcPr>
            <w:tcW w:type="dxa" w:w="1877"/>
          </w:tcPr>
          <w:p>
            <w:pPr>
              <w:pStyle w:val="Compact"/>
              <w:keepNext w:val="0"/>
              <w:keepLines/>
              <w:spacing w:before="0" w:after="40" w:line="240" w:lineRule="auto"/>
              <w:jc w:val="center"/>
            </w:pPr>
            <w:r>
              <w:rPr>
                <w:sz w:val="18"/>
              </w:rPr>
              <w:t xml:space="preserve">10</w:t>
            </w:r>
          </w:p>
        </w:tc>
        <w:tc>
          <w:tcPr>
            <w:tcW w:type="dxa" w:w="1721"/>
          </w:tcPr>
          <w:p>
            <w:pPr>
              <w:pStyle w:val="Compact"/>
              <w:keepNext w:val="0"/>
              <w:keepLines/>
              <w:spacing w:before="0" w:after="40" w:line="240" w:lineRule="auto"/>
              <w:jc w:val="center"/>
            </w:pPr>
            <w:r>
              <w:rPr>
                <w:sz w:val="18"/>
              </w:rPr>
              <w:t xml:space="preserve">∞</w:t>
            </w:r>
          </w:p>
        </w:tc>
        <w:tc>
          <w:tcPr>
            <w:tcW w:type="dxa" w:w="2033"/>
          </w:tcPr>
          <w:p>
            <w:pPr>
              <w:pStyle w:val="Compact"/>
              <w:keepNext w:val="0"/>
              <w:keepLines/>
              <w:spacing w:before="0" w:after="40" w:line="240" w:lineRule="auto"/>
              <w:jc w:val="center"/>
            </w:pPr>
            <w:r>
              <w:rPr>
                <w:sz w:val="18"/>
              </w:rPr>
              <w:t xml:space="preserve">no reversal</w:t>
            </w:r>
          </w:p>
        </w:tc>
        <w:tc>
          <w:tcPr>
            <w:tcW w:type="dxa" w:w="1877"/>
          </w:tcPr>
          <w:p>
            <w:pPr>
              <w:pStyle w:val="Compact"/>
              <w:keepNext w:val="0"/>
              <w:keepLines/>
              <w:spacing w:before="0" w:after="40" w:line="240" w:lineRule="auto"/>
              <w:jc w:val="center"/>
            </w:pPr>
            <w:r>
              <w:rPr>
                <w:sz w:val="18"/>
              </w:rPr>
              <w:t xml:space="preserve">no reversal</w:t>
            </w:r>
          </w:p>
        </w:tc>
      </w:tr>
      <w:tr>
        <w:trPr>
          <w:cantSplit/>
        </w:trPr>
        <w:tc>
          <w:tcPr>
            <w:tcW w:type="dxa" w:w="1564"/>
          </w:tcPr>
          <w:p>
            <w:pPr>
              <w:pStyle w:val="Compact"/>
              <w:keepNext w:val="0"/>
              <w:keepLines/>
              <w:spacing w:before="0" w:after="40" w:line="240" w:lineRule="auto"/>
              <w:jc w:val="left"/>
            </w:pPr>
            <w:r>
              <w:rPr>
                <w:sz w:val="18"/>
              </w:rPr>
              <w:t xml:space="preserve">2026</w:t>
            </w:r>
          </w:p>
        </w:tc>
        <w:tc>
          <w:tcPr>
            <w:tcW w:type="dxa" w:w="1877"/>
          </w:tcPr>
          <w:p>
            <w:pPr>
              <w:pStyle w:val="Compact"/>
              <w:keepNext w:val="0"/>
              <w:keepLines/>
              <w:spacing w:before="0" w:after="40" w:line="240" w:lineRule="auto"/>
              <w:jc w:val="center"/>
            </w:pPr>
            <w:r>
              <w:rPr>
                <w:sz w:val="18"/>
              </w:rPr>
              <w:t xml:space="preserve">20</w:t>
            </w:r>
          </w:p>
        </w:tc>
        <w:tc>
          <w:tcPr>
            <w:tcW w:type="dxa" w:w="1721"/>
          </w:tcPr>
          <w:p>
            <w:pPr>
              <w:pStyle w:val="Compact"/>
              <w:keepNext w:val="0"/>
              <w:keepLines/>
              <w:spacing w:before="0" w:after="40" w:line="240" w:lineRule="auto"/>
              <w:jc w:val="center"/>
            </w:pPr>
            <w:r>
              <w:rPr>
                <w:sz w:val="18"/>
              </w:rPr>
              <w:t xml:space="preserve">0.087</w:t>
            </w:r>
          </w:p>
        </w:tc>
        <w:tc>
          <w:tcPr>
            <w:tcW w:type="dxa" w:w="2033"/>
          </w:tcPr>
          <w:p>
            <w:pPr>
              <w:pStyle w:val="Compact"/>
              <w:keepNext w:val="0"/>
              <w:keepLines/>
              <w:spacing w:before="0" w:after="40" w:line="240" w:lineRule="auto"/>
              <w:jc w:val="center"/>
            </w:pPr>
            <w:r>
              <w:rPr>
                <w:sz w:val="18"/>
              </w:rPr>
              <w:t xml:space="preserve">−2 to 24</w:t>
            </w:r>
          </w:p>
        </w:tc>
        <w:tc>
          <w:tcPr>
            <w:tcW w:type="dxa" w:w="1877"/>
          </w:tcPr>
          <w:p>
            <w:pPr>
              <w:pStyle w:val="Compact"/>
              <w:keepNext w:val="0"/>
              <w:keepLines/>
              <w:spacing w:before="0" w:after="40" w:line="240" w:lineRule="auto"/>
              <w:jc w:val="center"/>
            </w:pPr>
            <w:r>
              <w:rPr>
                <w:sz w:val="18"/>
              </w:rPr>
              <w:t xml:space="preserve">69,384</w:t>
            </w:r>
          </w:p>
        </w:tc>
      </w:tr>
    </w:tbl>
    <w:p>
      <w:pPr>
        <w:pStyle w:val="BodyText"/>
        <w:spacing w:line="240" w:lineRule="auto" w:before="80" w:after="120"/>
      </w:pPr>
      <w:r>
        <w:rPr>
          <w:iCs/>
          <w:i/>
          <w:sz w:val="18"/>
        </w:rPr>
        <w:t xml:space="preserve">Notes.</w:t>
      </w:r>
      <w:r>
        <w:rPr>
          <w:sz w:val="18"/>
        </w:rPr>
        <w:t xml:space="preserve"> </w:t>
      </w:r>
      <w:r>
        <w:rPr>
          <w:sz w:val="18"/>
        </w:rPr>
        <w:t xml:space="preserve">Mobility-calibrated movement. s: residents’ early ballots may depart from their neighborhood benchmark (election-day share shifted by the district’s early-vote gap) by their station’s departure plus s; ∞: positive however much they depart; none: not positive even when they depart only as much as their station. First reversing allocation: the one with the lowest slope at s just above that value; movers voted at another station of their zone, stayers at their own; range over price terciles. Last column: among allocations with a non-positive slope, the fewest residents’ conservative early ballots departing from the benchmark (out-of-zone departures and concentration in Online Appendix Table C6). Each reversal is minimal only in its own metric, with other assumptions fixed.</w:t>
      </w:r>
    </w:p>
    <w:p>
      <w:pPr>
        <w:pStyle w:val="BodyText"/>
      </w:pPr>
      <w:r>
        <w:rPr>
          <w:iCs/>
          <w:i/>
        </w:rPr>
        <w:t xml:space="preserve">Compatibility with observed counts.</w:t>
      </w:r>
      <w:r>
        <w:t xml:space="preserve"> </w:t>
      </w:r>
      <w:r>
        <w:t xml:space="preserve">We assess how the result changes when composition tolerances are set relative to the minimum required by each jurisdiction’s counts. Holding calibrated movement and</w:t>
      </w:r>
      <w:r>
        <w:t xml:space="preserve"> </w:t>
      </w:r>
      <m:oMath>
        <m:r>
          <m:t>s</m:t>
        </m:r>
        <m:r>
          <m:rPr>
            <m:sty m:val="p"/>
          </m:rPr>
          <m:t>=</m:t>
        </m:r>
        <m:r>
          <m:t>0.02</m:t>
        </m:r>
      </m:oMath>
      <w:r>
        <w:t xml:space="preserve"> </w:t>
      </w:r>
      <w:r>
        <w:t xml:space="preserve">fixed, the largest jurisdiction-specific minimum feasible out-of-zone band is 0.031, 0.046, 0.061 and 0.073 in 2022, 2024, 2025 and 2026. We therefore replace the constant band by each jurisdiction’s minimum plus a common excess tolerance (Online Appendix Table C27). At an excess of ten points, the 2026 slope remains positive for all Seoul and outside the three districts, with lower bounds 0.040 and 0.012. These jurisdiction-specific bands assess proximity to refutation and are not generally nested with the constant-band main setting (Online Appendix C).</w:t>
      </w:r>
    </w:p>
    <w:p>
      <w:pPr>
        <w:pStyle w:val="BodyText"/>
      </w:pPr>
      <w:r>
        <w:rPr>
          <w:iCs/>
          <w:i/>
        </w:rPr>
        <w:t xml:space="preserve">Alternative specifications.</w:t>
      </w:r>
    </w:p>
    <w:p>
      <w:pPr>
        <w:pStyle w:val="BodyText"/>
      </w:pPr>
      <w:r>
        <w:t xml:space="preserve">The 2025 sign conclusions in columns A, C, D and E also hold when prices are rebuilt from a separately retrieved official transaction snapshot and extended address mapping. Online Appendix B.3 documents the source history and neighborhood-level differences; Table C28 reports the resulting bounds, including comparisons on common geographic support.</w:t>
      </w:r>
    </w:p>
    <w:p>
      <w:pPr>
        <w:pStyle w:val="BodyText"/>
      </w:pPr>
      <w:r>
        <w:t xml:space="preserve">The 2026 conclusion under the main assumptions holds with regressions weighted by</w:t>
      </w:r>
      <w:r>
        <w:t xml:space="preserve"> </w:t>
      </w:r>
      <m:oMath>
        <m:sSub>
          <m:e>
            <m:r>
              <m:t>H</m:t>
            </m:r>
          </m:e>
          <m:sub>
            <m:r>
              <m:t>i</m:t>
            </m:r>
          </m:sub>
        </m:sSub>
      </m:oMath>
      <w:r>
        <w:t xml:space="preserve">, mean prices, without the 43 neighborhoods with fewer than 30 transactions, and without the 5% or 10% most expensive neighborhoods, but it depends on the most expensive neighborhoods: without the top 10% the lower bound falls from 0.054 to 0.008, and with</w:t>
      </w:r>
      <w:r>
        <w:t xml:space="preserve"> </w:t>
      </w:r>
      <m:oMath>
        <m:r>
          <m:t>s</m:t>
        </m:r>
        <m:r>
          <m:rPr>
            <m:sty m:val="p"/>
          </m:rPr>
          <m:t>=</m:t>
        </m:r>
        <m:r>
          <m:t>0.05</m:t>
        </m:r>
      </m:oMath>
      <w:r>
        <w:t xml:space="preserve"> </w:t>
      </w:r>
      <w:r>
        <w:t xml:space="preserve">it turns negative (Online Appendix Table C10); resampling transactions moves the bounds by a few thousandths (Table C13). A benchmark that varies with price within districts, motivated by larger early-vote gaps in higher-price districts in 2024–2026, changes the 2026 result only slightly (Table 2, column F), as does shifting the out-of-zone benchmark by the observed out-of-zone gap (Table C9). Valid-vote shares</w:t>
      </w:r>
      <w:r>
        <w:t xml:space="preserve"> </w:t>
      </w:r>
      <m:oMath>
        <m:r>
          <m:t>y</m:t>
        </m:r>
      </m:oMath>
      <w:r>
        <w:t xml:space="preserve"> </w:t>
      </w:r>
      <w:r>
        <w:t xml:space="preserve">lead to the same conclusions, except that column C does not establish the 2025 slope for them (Table C15), and the council contest’s out-of-zone headcounts change the 2026 ranges by at most 0.003 (Table C2). Adjusting for neighborhood age composition measured in 2026 leaves the election-day slopes almost unchanged and the 2026 range among all residents positive (</w:t>
      </w:r>
      <m:oMath>
        <m:d>
          <m:dPr>
            <m:begChr m:val="["/>
            <m:endChr m:val="]"/>
            <m:sepChr m:val=""/>
            <m:grow/>
          </m:dPr>
          <m:e>
            <m:r>
              <m:t>0.046</m:t>
            </m:r>
            <m:r>
              <m:rPr>
                <m:sty m:val="p"/>
              </m:rPr>
              <m:t>,</m:t>
            </m:r>
            <m:r>
              <m:t>0.160</m:t>
            </m:r>
          </m:e>
        </m:d>
      </m:oMath>
      <w:r>
        <w:t xml:space="preserve">;</w:t>
      </w:r>
      <w:r>
        <w:t xml:space="preserve"> </w:t>
      </w:r>
      <m:oMath>
        <m:d>
          <m:dPr>
            <m:begChr m:val="["/>
            <m:endChr m:val="]"/>
            <m:sepChr m:val=""/>
            <m:grow/>
          </m:dPr>
          <m:e>
            <m:r>
              <m:t>0.024</m:t>
            </m:r>
            <m:r>
              <m:rPr>
                <m:sty m:val="p"/>
              </m:rPr>
              <m:t>,</m:t>
            </m:r>
            <m:r>
              <m:t>0.148</m:t>
            </m:r>
          </m:e>
        </m:d>
      </m:oMath>
      <w:r>
        <w:t xml:space="preserve"> </w:t>
      </w:r>
      <w:r>
        <w:t xml:space="preserve">outside the three districts), but removes the fragile 2024 lower bound (Table C23).</w:t>
      </w:r>
    </w:p>
    <w:bookmarkEnd w:id="43"/>
    <w:bookmarkEnd w:id="44"/>
    <w:bookmarkStart w:id="45" w:name="reporting-reforms"/>
    <w:p>
      <w:pPr>
        <w:pStyle w:val="Heading1"/>
      </w:pPr>
      <w:r>
        <w:t xml:space="preserve">5. Reporting reforms</w:t>
      </w:r>
    </w:p>
    <w:p>
      <w:pPr>
        <w:pStyle w:val="FirstParagraph"/>
      </w:pPr>
      <w:r>
        <w:t xml:space="preserve">The uncertainty is partly a product of what is published, and it could be reduced without publishing any individual vote. Out-of-zone early ballots already arrive at district commissions in individually tracked envelopes.</w:t>
      </w:r>
      <w:r>
        <w:t xml:space="preserve"> </w:t>
      </w:r>
      <w:r>
        <w:rPr>
          <w:iCs/>
          <w:i/>
        </w:rPr>
        <w:t xml:space="preserve">Residence reporting</w:t>
      </w:r>
      <w:r>
        <w:t xml:space="preserve"> </w:t>
      </w:r>
      <w:r>
        <w:t xml:space="preserve">would sort them by the voter’s registered neighborhood before opening and publish aggregate counts by neighborhood. At-home and overseas ballots, which also arrive by mail, could in principle be reported the same way.</w:t>
      </w:r>
      <w:r>
        <w:t xml:space="preserve"> </w:t>
      </w:r>
      <w:r>
        <w:rPr>
          <w:iCs/>
          <w:i/>
        </w:rPr>
        <w:t xml:space="preserve">Headcount reporting</w:t>
      </w:r>
      <w:r>
        <w:t xml:space="preserve"> </w:t>
      </w:r>
      <w:r>
        <w:t xml:space="preserve">would publish how many residents of each neighborhood voted at each early station, with no vote choice.</w:t>
      </w:r>
    </w:p>
    <w:p>
      <w:pPr>
        <w:pStyle w:val="BodyText"/>
      </w:pPr>
      <w:r>
        <w:t xml:space="preserve">Because the true allocation is unknown, we evaluate each change by the uncertainty it is guaranteed to remove: the largest range that could remain whatever the true allocation, computed as the largest difference in the within-district slope between two allocations that the new report could not tell apart. Table 6 reports, under the main assumptions, the current range and the largest range that could remain after each report.</w:t>
      </w:r>
    </w:p>
    <w:p>
      <w:pPr>
        <w:pStyle w:val="TableCaption"/>
        <w:keepNext/>
      </w:pPr>
      <w:r>
        <w:t xml:space="preserve">Table 6. Guaranteed reductions in uncertainty under residence reporting</w:t>
      </w:r>
    </w:p>
    <w:tbl>
      <w:tblPr>
        <w:tblStyle w:val="Table"/>
        <w:tblW w:type="pct" w:w="5000"/>
        <w:tblLayout w:type="fixed"/>
        <w:tblLook w:firstRow="1" w:lastRow="0" w:firstColumn="0" w:lastColumn="0" w:noHBand="0" w:noVBand="0" w:val="0020"/>
        <w:jc w:val="start"/>
        <w:tblCaption w:val="Table 6. Guaranteed reductions in uncertainty under residence reporting"/>
      </w:tblPr>
      <w:tblGrid>
        <w:gridCol w:w="1334"/>
        <w:gridCol w:w="1334"/>
        <w:gridCol w:w="1868"/>
        <w:gridCol w:w="1334"/>
        <w:gridCol w:w="1868"/>
        <w:gridCol w:w="1334"/>
      </w:tblGrid>
      <w:tr>
        <w:trPr>
          <w:tblHeader w:val="true"/>
          <w:cantSplit/>
        </w:trPr>
        <w:tc>
          <w:tcPr>
            <w:tcW w:type="dxa" w:w="1334"/>
          </w:tcPr>
          <w:p>
            <w:pPr>
              <w:pStyle w:val="Compact"/>
              <w:keepNext/>
              <w:keepLines/>
              <w:spacing w:before="0" w:after="40" w:line="240" w:lineRule="auto"/>
              <w:jc w:val="left"/>
            </w:pPr>
            <w:r>
              <w:rPr>
                <w:sz w:val="18"/>
              </w:rPr>
              <w:t xml:space="preserve">Election</w:t>
            </w:r>
          </w:p>
        </w:tc>
        <w:tc>
          <w:tcPr>
            <w:tcW w:type="dxa" w:w="1334"/>
          </w:tcPr>
          <w:p>
            <w:pPr>
              <w:pStyle w:val="Compact"/>
              <w:keepNext/>
              <w:keepLines/>
              <w:spacing w:before="0" w:after="40" w:line="240" w:lineRule="auto"/>
              <w:jc w:val="center"/>
            </w:pPr>
            <w:r>
              <w:rPr>
                <w:sz w:val="18"/>
              </w:rPr>
              <w:t xml:space="preserve">Current range width</w:t>
            </w:r>
          </w:p>
        </w:tc>
        <w:tc>
          <w:tcPr>
            <w:tcW w:type="dxa" w:w="1868"/>
          </w:tcPr>
          <w:p>
            <w:pPr>
              <w:pStyle w:val="Compact"/>
              <w:keepNext/>
              <w:keepLines/>
              <w:spacing w:before="0" w:after="40" w:line="240" w:lineRule="auto"/>
              <w:jc w:val="center"/>
            </w:pPr>
            <w:r>
              <w:rPr>
                <w:sz w:val="18"/>
              </w:rPr>
              <w:t xml:space="preserve">Proposal: out-of-zone early ballots by neighborhood, share removed</w:t>
            </w:r>
          </w:p>
        </w:tc>
        <w:tc>
          <w:tcPr>
            <w:tcW w:type="dxa" w:w="1334"/>
          </w:tcPr>
          <w:p>
            <w:pPr>
              <w:pStyle w:val="Compact"/>
              <w:keepNext/>
              <w:keepLines/>
              <w:spacing w:before="0" w:after="40" w:line="240" w:lineRule="auto"/>
              <w:jc w:val="center"/>
            </w:pPr>
            <w:r>
              <w:rPr>
                <w:sz w:val="18"/>
              </w:rPr>
              <w:t xml:space="preserve">Proposal: maximum remaining width</w:t>
            </w:r>
          </w:p>
        </w:tc>
        <w:tc>
          <w:tcPr>
            <w:tcW w:type="dxa" w:w="1868"/>
          </w:tcPr>
          <w:p>
            <w:pPr>
              <w:pStyle w:val="Compact"/>
              <w:keepNext/>
              <w:keepLines/>
              <w:spacing w:before="0" w:after="40" w:line="240" w:lineRule="auto"/>
              <w:jc w:val="center"/>
            </w:pPr>
            <w:r>
              <w:rPr>
                <w:sz w:val="18"/>
              </w:rPr>
              <w:t xml:space="preserve">All pooled modes by neighborhood, share removed</w:t>
            </w:r>
          </w:p>
        </w:tc>
        <w:tc>
          <w:tcPr>
            <w:tcW w:type="dxa" w:w="1334"/>
          </w:tcPr>
          <w:p>
            <w:pPr>
              <w:pStyle w:val="Compact"/>
              <w:keepNext/>
              <w:keepLines/>
              <w:spacing w:before="0" w:after="40" w:line="240" w:lineRule="auto"/>
              <w:jc w:val="center"/>
            </w:pPr>
            <w:r>
              <w:rPr>
                <w:sz w:val="18"/>
              </w:rPr>
              <w:t xml:space="preserve">All pooled modes: maximum remaining width</w:t>
            </w:r>
          </w:p>
        </w:tc>
      </w:tr>
      <w:tr>
        <w:trPr>
          <w:cantSplit/>
        </w:trPr>
        <w:tc>
          <w:tcPr>
            <w:tcW w:type="dxa" w:w="1334"/>
          </w:tcPr>
          <w:p>
            <w:pPr>
              <w:pStyle w:val="Compact"/>
              <w:keepNext w:val="0"/>
              <w:keepLines/>
              <w:spacing w:before="0" w:after="40" w:line="240" w:lineRule="auto"/>
              <w:jc w:val="left"/>
            </w:pPr>
            <w:r>
              <w:rPr>
                <w:sz w:val="18"/>
              </w:rPr>
              <w:t xml:space="preserve">2022</w:t>
            </w:r>
          </w:p>
        </w:tc>
        <w:tc>
          <w:tcPr>
            <w:tcW w:type="dxa" w:w="1334"/>
          </w:tcPr>
          <w:p>
            <w:pPr>
              <w:pStyle w:val="Compact"/>
              <w:keepNext w:val="0"/>
              <w:keepLines/>
              <w:spacing w:before="0" w:after="40" w:line="240" w:lineRule="auto"/>
              <w:jc w:val="center"/>
            </w:pPr>
            <w:r>
              <w:rPr>
                <w:sz w:val="18"/>
              </w:rPr>
              <w:t xml:space="preserve">0.25</w:t>
            </w:r>
          </w:p>
        </w:tc>
        <w:tc>
          <w:tcPr>
            <w:tcW w:type="dxa" w:w="1868"/>
          </w:tcPr>
          <w:p>
            <w:pPr>
              <w:pStyle w:val="Compact"/>
              <w:keepNext w:val="0"/>
              <w:keepLines/>
              <w:spacing w:before="0" w:after="40" w:line="240" w:lineRule="auto"/>
              <w:jc w:val="center"/>
            </w:pPr>
            <w:r>
              <w:rPr>
                <w:sz w:val="18"/>
              </w:rPr>
              <w:t xml:space="preserve">27%</w:t>
            </w:r>
          </w:p>
        </w:tc>
        <w:tc>
          <w:tcPr>
            <w:tcW w:type="dxa" w:w="1334"/>
          </w:tcPr>
          <w:p>
            <w:pPr>
              <w:pStyle w:val="Compact"/>
              <w:keepNext w:val="0"/>
              <w:keepLines/>
              <w:spacing w:before="0" w:after="40" w:line="240" w:lineRule="auto"/>
              <w:jc w:val="center"/>
            </w:pPr>
            <w:r>
              <w:rPr>
                <w:sz w:val="18"/>
              </w:rPr>
              <w:t xml:space="preserve">0.18</w:t>
            </w:r>
          </w:p>
        </w:tc>
        <w:tc>
          <w:tcPr>
            <w:tcW w:type="dxa" w:w="1868"/>
          </w:tcPr>
          <w:p>
            <w:pPr>
              <w:pStyle w:val="Compact"/>
              <w:keepNext w:val="0"/>
              <w:keepLines/>
              <w:spacing w:before="0" w:after="40" w:line="240" w:lineRule="auto"/>
              <w:jc w:val="center"/>
            </w:pPr>
            <w:r>
              <w:rPr>
                <w:sz w:val="18"/>
              </w:rPr>
              <w:t xml:space="preserve">57%</w:t>
            </w:r>
          </w:p>
        </w:tc>
        <w:tc>
          <w:tcPr>
            <w:tcW w:type="dxa" w:w="1334"/>
          </w:tcPr>
          <w:p>
            <w:pPr>
              <w:pStyle w:val="Compact"/>
              <w:keepNext w:val="0"/>
              <w:keepLines/>
              <w:spacing w:before="0" w:after="40" w:line="240" w:lineRule="auto"/>
              <w:jc w:val="center"/>
            </w:pPr>
            <w:r>
              <w:rPr>
                <w:sz w:val="18"/>
              </w:rPr>
              <w:t xml:space="preserve">0.11</w:t>
            </w:r>
          </w:p>
        </w:tc>
      </w:tr>
      <w:tr>
        <w:trPr>
          <w:cantSplit/>
        </w:trPr>
        <w:tc>
          <w:tcPr>
            <w:tcW w:type="dxa" w:w="1334"/>
          </w:tcPr>
          <w:p>
            <w:pPr>
              <w:pStyle w:val="Compact"/>
              <w:keepNext w:val="0"/>
              <w:keepLines/>
              <w:spacing w:before="0" w:after="40" w:line="240" w:lineRule="auto"/>
              <w:jc w:val="left"/>
            </w:pPr>
            <w:r>
              <w:rPr>
                <w:sz w:val="18"/>
              </w:rPr>
              <w:t xml:space="preserve">2024</w:t>
            </w:r>
          </w:p>
        </w:tc>
        <w:tc>
          <w:tcPr>
            <w:tcW w:type="dxa" w:w="1334"/>
          </w:tcPr>
          <w:p>
            <w:pPr>
              <w:pStyle w:val="Compact"/>
              <w:keepNext w:val="0"/>
              <w:keepLines/>
              <w:spacing w:before="0" w:after="40" w:line="240" w:lineRule="auto"/>
              <w:jc w:val="center"/>
            </w:pPr>
            <w:r>
              <w:rPr>
                <w:sz w:val="18"/>
              </w:rPr>
              <w:t xml:space="preserve">0.20</w:t>
            </w:r>
          </w:p>
        </w:tc>
        <w:tc>
          <w:tcPr>
            <w:tcW w:type="dxa" w:w="1868"/>
          </w:tcPr>
          <w:p>
            <w:pPr>
              <w:pStyle w:val="Compact"/>
              <w:keepNext w:val="0"/>
              <w:keepLines/>
              <w:spacing w:before="0" w:after="40" w:line="240" w:lineRule="auto"/>
              <w:jc w:val="center"/>
            </w:pPr>
            <w:r>
              <w:rPr>
                <w:sz w:val="18"/>
              </w:rPr>
              <w:t xml:space="preserve">30%</w:t>
            </w:r>
          </w:p>
        </w:tc>
        <w:tc>
          <w:tcPr>
            <w:tcW w:type="dxa" w:w="1334"/>
          </w:tcPr>
          <w:p>
            <w:pPr>
              <w:pStyle w:val="Compact"/>
              <w:keepNext w:val="0"/>
              <w:keepLines/>
              <w:spacing w:before="0" w:after="40" w:line="240" w:lineRule="auto"/>
              <w:jc w:val="center"/>
            </w:pPr>
            <w:r>
              <w:rPr>
                <w:sz w:val="18"/>
              </w:rPr>
              <w:t xml:space="preserve">0.14</w:t>
            </w:r>
          </w:p>
        </w:tc>
        <w:tc>
          <w:tcPr>
            <w:tcW w:type="dxa" w:w="1868"/>
          </w:tcPr>
          <w:p>
            <w:pPr>
              <w:pStyle w:val="Compact"/>
              <w:keepNext w:val="0"/>
              <w:keepLines/>
              <w:spacing w:before="0" w:after="40" w:line="240" w:lineRule="auto"/>
              <w:jc w:val="center"/>
            </w:pPr>
            <w:r>
              <w:rPr>
                <w:sz w:val="18"/>
              </w:rPr>
              <w:t xml:space="preserve">49%</w:t>
            </w:r>
          </w:p>
        </w:tc>
        <w:tc>
          <w:tcPr>
            <w:tcW w:type="dxa" w:w="1334"/>
          </w:tcPr>
          <w:p>
            <w:pPr>
              <w:pStyle w:val="Compact"/>
              <w:keepNext w:val="0"/>
              <w:keepLines/>
              <w:spacing w:before="0" w:after="40" w:line="240" w:lineRule="auto"/>
              <w:jc w:val="center"/>
            </w:pPr>
            <w:r>
              <w:rPr>
                <w:sz w:val="18"/>
              </w:rPr>
              <w:t xml:space="preserve">0.11</w:t>
            </w:r>
          </w:p>
        </w:tc>
      </w:tr>
      <w:tr>
        <w:trPr>
          <w:cantSplit/>
        </w:trPr>
        <w:tc>
          <w:tcPr>
            <w:tcW w:type="dxa" w:w="1334"/>
          </w:tcPr>
          <w:p>
            <w:pPr>
              <w:pStyle w:val="Compact"/>
              <w:keepNext w:val="0"/>
              <w:keepLines/>
              <w:spacing w:before="0" w:after="40" w:line="240" w:lineRule="auto"/>
              <w:jc w:val="left"/>
            </w:pPr>
            <w:r>
              <w:rPr>
                <w:sz w:val="18"/>
              </w:rPr>
              <w:t xml:space="preserve">2025</w:t>
            </w:r>
          </w:p>
        </w:tc>
        <w:tc>
          <w:tcPr>
            <w:tcW w:type="dxa" w:w="1334"/>
          </w:tcPr>
          <w:p>
            <w:pPr>
              <w:pStyle w:val="Compact"/>
              <w:keepNext w:val="0"/>
              <w:keepLines/>
              <w:spacing w:before="0" w:after="40" w:line="240" w:lineRule="auto"/>
              <w:jc w:val="center"/>
            </w:pPr>
            <w:r>
              <w:rPr>
                <w:sz w:val="18"/>
              </w:rPr>
              <w:t xml:space="preserve">0.23</w:t>
            </w:r>
          </w:p>
        </w:tc>
        <w:tc>
          <w:tcPr>
            <w:tcW w:type="dxa" w:w="1868"/>
          </w:tcPr>
          <w:p>
            <w:pPr>
              <w:pStyle w:val="Compact"/>
              <w:keepNext w:val="0"/>
              <w:keepLines/>
              <w:spacing w:before="0" w:after="40" w:line="240" w:lineRule="auto"/>
              <w:jc w:val="center"/>
            </w:pPr>
            <w:r>
              <w:rPr>
                <w:sz w:val="18"/>
              </w:rPr>
              <w:t xml:space="preserve">32%</w:t>
            </w:r>
          </w:p>
        </w:tc>
        <w:tc>
          <w:tcPr>
            <w:tcW w:type="dxa" w:w="1334"/>
          </w:tcPr>
          <w:p>
            <w:pPr>
              <w:pStyle w:val="Compact"/>
              <w:keepNext w:val="0"/>
              <w:keepLines/>
              <w:spacing w:before="0" w:after="40" w:line="240" w:lineRule="auto"/>
              <w:jc w:val="center"/>
            </w:pPr>
            <w:r>
              <w:rPr>
                <w:sz w:val="18"/>
              </w:rPr>
              <w:t xml:space="preserve">0.16</w:t>
            </w:r>
          </w:p>
        </w:tc>
        <w:tc>
          <w:tcPr>
            <w:tcW w:type="dxa" w:w="1868"/>
          </w:tcPr>
          <w:p>
            <w:pPr>
              <w:pStyle w:val="Compact"/>
              <w:keepNext w:val="0"/>
              <w:keepLines/>
              <w:spacing w:before="0" w:after="40" w:line="240" w:lineRule="auto"/>
              <w:jc w:val="center"/>
            </w:pPr>
            <w:r>
              <w:rPr>
                <w:sz w:val="18"/>
              </w:rPr>
              <w:t xml:space="preserve">61%</w:t>
            </w:r>
          </w:p>
        </w:tc>
        <w:tc>
          <w:tcPr>
            <w:tcW w:type="dxa" w:w="1334"/>
          </w:tcPr>
          <w:p>
            <w:pPr>
              <w:pStyle w:val="Compact"/>
              <w:keepNext w:val="0"/>
              <w:keepLines/>
              <w:spacing w:before="0" w:after="40" w:line="240" w:lineRule="auto"/>
              <w:jc w:val="center"/>
            </w:pPr>
            <w:r>
              <w:rPr>
                <w:sz w:val="18"/>
              </w:rPr>
              <w:t xml:space="preserve">0.09</w:t>
            </w:r>
          </w:p>
        </w:tc>
      </w:tr>
      <w:tr>
        <w:trPr>
          <w:cantSplit/>
        </w:trPr>
        <w:tc>
          <w:tcPr>
            <w:tcW w:type="dxa" w:w="1334"/>
          </w:tcPr>
          <w:p>
            <w:pPr>
              <w:pStyle w:val="Compact"/>
              <w:keepNext w:val="0"/>
              <w:keepLines/>
              <w:spacing w:before="0" w:after="40" w:line="240" w:lineRule="auto"/>
              <w:jc w:val="left"/>
            </w:pPr>
            <w:r>
              <w:rPr>
                <w:sz w:val="18"/>
              </w:rPr>
              <w:t xml:space="preserve">2026</w:t>
            </w:r>
          </w:p>
        </w:tc>
        <w:tc>
          <w:tcPr>
            <w:tcW w:type="dxa" w:w="1334"/>
          </w:tcPr>
          <w:p>
            <w:pPr>
              <w:pStyle w:val="Compact"/>
              <w:keepNext w:val="0"/>
              <w:keepLines/>
              <w:spacing w:before="0" w:after="40" w:line="240" w:lineRule="auto"/>
              <w:jc w:val="center"/>
            </w:pPr>
            <w:r>
              <w:rPr>
                <w:sz w:val="18"/>
              </w:rPr>
              <w:t xml:space="preserve">0.10</w:t>
            </w:r>
          </w:p>
        </w:tc>
        <w:tc>
          <w:tcPr>
            <w:tcW w:type="dxa" w:w="1868"/>
          </w:tcPr>
          <w:p>
            <w:pPr>
              <w:pStyle w:val="Compact"/>
              <w:keepNext w:val="0"/>
              <w:keepLines/>
              <w:spacing w:before="0" w:after="40" w:line="240" w:lineRule="auto"/>
              <w:jc w:val="center"/>
            </w:pPr>
            <w:r>
              <w:rPr>
                <w:sz w:val="18"/>
              </w:rPr>
              <w:t xml:space="preserve">57%</w:t>
            </w:r>
          </w:p>
        </w:tc>
        <w:tc>
          <w:tcPr>
            <w:tcW w:type="dxa" w:w="1334"/>
          </w:tcPr>
          <w:p>
            <w:pPr>
              <w:pStyle w:val="Compact"/>
              <w:keepNext w:val="0"/>
              <w:keepLines/>
              <w:spacing w:before="0" w:after="40" w:line="240" w:lineRule="auto"/>
              <w:jc w:val="center"/>
            </w:pPr>
            <w:r>
              <w:rPr>
                <w:sz w:val="18"/>
              </w:rPr>
              <w:t xml:space="preserve">0.04</w:t>
            </w:r>
          </w:p>
        </w:tc>
        <w:tc>
          <w:tcPr>
            <w:tcW w:type="dxa" w:w="1868"/>
          </w:tcPr>
          <w:p>
            <w:pPr>
              <w:pStyle w:val="Compact"/>
              <w:keepNext w:val="0"/>
              <w:keepLines/>
              <w:spacing w:before="0" w:after="40" w:line="240" w:lineRule="auto"/>
              <w:jc w:val="center"/>
            </w:pPr>
            <w:r>
              <w:rPr>
                <w:sz w:val="18"/>
              </w:rPr>
              <w:t xml:space="preserve">69%</w:t>
            </w:r>
          </w:p>
        </w:tc>
        <w:tc>
          <w:tcPr>
            <w:tcW w:type="dxa" w:w="1334"/>
          </w:tcPr>
          <w:p>
            <w:pPr>
              <w:pStyle w:val="Compact"/>
              <w:keepNext w:val="0"/>
              <w:keepLines/>
              <w:spacing w:before="0" w:after="40" w:line="240" w:lineRule="auto"/>
              <w:jc w:val="center"/>
            </w:pPr>
            <w:r>
              <w:rPr>
                <w:sz w:val="18"/>
              </w:rPr>
              <w:t xml:space="preserve">0.03</w:t>
            </w:r>
          </w:p>
        </w:tc>
      </w:tr>
    </w:tbl>
    <w:p>
      <w:pPr>
        <w:pStyle w:val="BodyText"/>
        <w:spacing w:line="240" w:lineRule="auto" w:before="80" w:after="120"/>
      </w:pPr>
      <w:r>
        <w:rPr>
          <w:iCs/>
          <w:i/>
          <w:sz w:val="18"/>
        </w:rPr>
        <w:t xml:space="preserve">Notes.</w:t>
      </w:r>
      <w:r>
        <w:rPr>
          <w:sz w:val="18"/>
        </w:rPr>
        <w:t xml:space="preserve"> </w:t>
      </w:r>
      <w:r>
        <w:rPr>
          <w:sz w:val="18"/>
        </w:rPr>
        <w:t xml:space="preserve">All columns describe the width of the within-district slope range or the guaranteed fraction of that width removed. Main assumptions: Table 2, column E. Proposal: out-of-zone early ballots reported as aggregate counts by the voter’s registered neighborhood, at-home and overseas ballots kept pooled. All pooled modes: out-of-zone early, at-home and overseas ballots by neighborhood. Maximum remaining width: the largest difference in the within-district slope between two allocations that the report could not tell apart, which bounds the range left whatever the true allocation. Counts are released exactly, without cell suppression. Suppression sensitivity: Online Appendix Table C26. Other assumptions and headcount reporting: Table C12.</w:t>
      </w:r>
    </w:p>
    <w:p>
      <w:pPr>
        <w:pStyle w:val="BodyText"/>
      </w:pPr>
      <w:r>
        <w:t xml:space="preserve">Residence reporting of out-of-zone early ballots, with at-home and overseas ballots kept pooled, is the version we evaluate most closely. With counts released exactly, it is guaranteed to remove 27%, 30%, 32% and 57% of the current range in 2022, 2024, 2025 and 2026; reporting all pooled modes would remove 49–69% (Online Appendix Table C12). Neither version guarantees that a currently undetermined direction is revealed: in 2022, two allocations with slopes of</w:t>
      </w:r>
      <w:r>
        <w:t xml:space="preserve"> </w:t>
      </w:r>
      <m:oMath>
        <m:r>
          <m:rPr>
            <m:sty m:val="p"/>
          </m:rPr>
          <m:t>−</m:t>
        </m:r>
        <m:r>
          <m:t>0.026</m:t>
        </m:r>
      </m:oMath>
      <w:r>
        <w:t xml:space="preserve"> </w:t>
      </w:r>
      <w:r>
        <w:t xml:space="preserve">and</w:t>
      </w:r>
      <w:r>
        <w:t xml:space="preserve"> </w:t>
      </w:r>
      <m:oMath>
        <m:r>
          <m:rPr>
            <m:sty m:val="p"/>
          </m:rPr>
          <m:t>+</m:t>
        </m:r>
        <m:r>
          <m:t>0.026</m:t>
        </m:r>
      </m:oMath>
      <w:r>
        <w:t xml:space="preserve"> </w:t>
      </w:r>
      <w:r>
        <w:t xml:space="preserve">produce the same exact residence report (Table C16). Headcount reporting alone reveals little about how movers voted, but combined with reporting all pooled modes it removes 63–72% of the range that remains without any movement assumption (Table C12).</w:t>
      </w:r>
    </w:p>
    <w:p>
      <w:pPr>
        <w:pStyle w:val="BodyText"/>
      </w:pPr>
      <w:r>
        <w:t xml:space="preserve">Exact disclosure and a release with small cells suppressed supply different information. As a sensitivity exercise, suppose each out-of-zone neighborhood-by-candidate count below 20 is marked suppressed and every other count is released exactly. A conservative calculation bounds the remaining integer uncertainty and guarantees reductions relative to the current continuous range of at least 23.7%, 26.8%, 29.6% and 49.0% in the four elections (Online Appendix Table C26). The calculation relaxes equality of reports to a necessary condition for two integer allocations to generate the same suppressed report; its bounds need not be sharp. It does not cover complementary suppression of larger counts or certify the privacy of such a release. Those choices require a separate disclosure assessment, and could reduce the information gained further.</w:t>
      </w:r>
    </w:p>
    <w:p>
      <w:pPr>
        <w:pStyle w:val="BodyText"/>
      </w:pPr>
      <w:r>
        <w:t xml:space="preserve">The guaranteed reductions characterize the information supplied by each reporting rule under the stated restrictions. Implementation would require sorting out-of-zone envelopes into neighborhood groups before opening and assessing which aggregate counts could be released safely. A supplementary release after the official count could preserve the timing of official results, but ballot secrecy and operational costs require evaluation. The counts would permit direct neighborhood comparisons of residents’ early and election-day votes, without explaining why those groups differ. Headcount reporting measures movement without adding candidate totals. Each proposal should be judged by both the uncertainty it removes and the disclosure constraints it must meet.</w:t>
      </w:r>
    </w:p>
    <w:bookmarkEnd w:id="45"/>
    <w:bookmarkStart w:id="46" w:name="discussion-and-conclusion"/>
    <w:p>
      <w:pPr>
        <w:pStyle w:val="Heading1"/>
      </w:pPr>
      <w:r>
        <w:t xml:space="preserve">6. Discussion and conclusion</w:t>
      </w:r>
    </w:p>
    <w:p>
      <w:pPr>
        <w:pStyle w:val="FirstParagraph"/>
      </w:pPr>
      <w:r>
        <w:t xml:space="preserve">Housing’s electoral geography has a spatial scope, an electorate and an institutional basis for observation. Across Seoul’s districts, the price–vote association is positive in all six elections, extending Han’s (2024) district-level evidence, although the earlier associations depend heavily on the three southeastern districts. Inside districts, the association extends beyond those three districts among election-day voters in 2012 and the four sampled elections from 2022. For all residents, that extension is established in 2026 under the main assumptions; the 2024 whole-city result is fragile and the 2022 and 2025 signs remain unresolved. Price-group contrasts outside the three districts are borderline even in 2026. Together, these results locate the geographic and electoral reach that accounts of housing interests, residential sorting and place identity must explain.</w:t>
      </w:r>
    </w:p>
    <w:p>
      <w:pPr>
        <w:pStyle w:val="BodyText"/>
      </w:pPr>
      <w:r>
        <w:t xml:space="preserve">The distinction between voting groups changes the substantive account of housing politics. The price gradient among election-day voters is directly observed, while its extension to politically different early voters depends on their unreported residential distribution. Our bounds make that extension testable under explicit restrictions and quantify the departures that change the result. A positive gradient across all compatible allocations establishes alignment throughout the specified uncertainty set; an unresolved sign identifies which additional information or assumptions would settle the question. This makes the reach of the housing–vote relationship an empirical result with an explicit electorate.</w:t>
      </w:r>
    </w:p>
    <w:p>
      <w:pPr>
        <w:pStyle w:val="BodyText"/>
      </w:pPr>
      <w:r>
        <w:t xml:space="preserve">The institutional result shows why electoral reporting belongs in the analysis of political geography. Applying finer zones to the same 2026 returns can establish the sign under weaker assumptions: administrative information changes what can be demonstrated about a fixed electorate. Cross-election comparisons must therefore distinguish political change from changes in what returns reveal. The within-election design isolates the latter contribution.</w:t>
      </w:r>
    </w:p>
    <w:p>
      <w:pPr>
        <w:pStyle w:val="BodyText"/>
      </w:pPr>
      <w:r>
        <w:t xml:space="preserve">These distinctions matter for how neighborhood studies are read. Analyses of published dong returns, including Kim and Kang’s (2022) study of price levels and Yun and Jun’s (2024) study of price changes, face the attribution problem unless they account for pooled ballots and early voters’ movement, although our analysis does not test their estimates directly. Explicit allocations such as Lee’s (2026) make their assumptions visible but yield a single slope even where the sign is undetermined. Neighborhood analyses should report the treatment of unattributed ballots, show which conclusions depend on that treatment, and report the election-day relation, which needs none.</w:t>
      </w:r>
    </w:p>
    <w:p>
      <w:pPr>
        <w:pStyle w:val="BodyText"/>
      </w:pPr>
      <w:r>
        <w:t xml:space="preserve">The attribution problem also arises where ballots cast away from a voter’s assigned polling place are reported at a larger scale. German precinct results omit postal ballots, which were close to half of all ballots in 2021; Australian booth results omit declaration votes (Online Appendix B.5); and many American states report absentee and early ballots only at the county level, requiring precinct datasets to allocate them by assumption (Amos et al. 2017; Baltz et al. 2022). Other systems trade detail against attribution differently (Online Appendix Table B2). Taiwan requires voters to vote at the station of their household registration, so station returns are residence-based. Japan mixes all ballots, including early ballots, at the counting district (開票区), usually a whole municipality or ward, and reports nothing below it: its returns contain no misattribution within that unit but cannot speak to neighborhoods at all. Korea lies between these, publishing neighborhood rows that mix residents’ and neighbors’ early ballots and omit pooled ones. For the spatial claims examined here, such fine but mixed returns support conclusions that exact but coarse returns could not address, provided that their mixing is bounded explicitly. Applying our approach elsewhere requires small-area returns, candidate totals for pooled ballots, and compatible information on registered residents’ use of voting modes. Whether a particular system publishes enough information is an empirical question; where it does, the method can assess the spatial claims its returns support.</w:t>
      </w:r>
    </w:p>
    <w:p>
      <w:pPr>
        <w:pStyle w:val="BodyText"/>
      </w:pPr>
      <w:r>
        <w:t xml:space="preserve">The six-election design also defines a comparative research agenda. Applying the same allocation analysis to earlier local elections would test the reach of the 2026 result across candidates and turnout conditions; separating party and candidate components would extend the 2024 legislative comparison. Historical age profiles and direct information on early-voting movements would further refine the existing sensitivity analyses. The present results concern housing-price differences among registered neighborhoods, with the causal mechanisms behind that alignment remaining a task for complementary research.</w:t>
      </w:r>
    </w:p>
    <w:p>
      <w:pPr>
        <w:pStyle w:val="BodyText"/>
      </w:pPr>
      <w:r>
        <w:t xml:space="preserve">The broader contribution is a standard of evidence for claims about political places: specify the spatial comparison, identify which residents’ votes it represents, and show how the treatment of unattributed ballots affects the conclusion. Residence reporting could reduce the uncertainty materially, with gains depending on the disclosure rule. Together, the empirical results and reporting analysis establish a housing-related gradient beyond Seoul’s southeastern enclave among election-day voters, define the conditions for its extension across the electorate, and quantify the gains from reporting ballots by residence.</w:t>
      </w:r>
    </w:p>
    <w:bookmarkEnd w:id="46"/>
    <w:bookmarkStart w:id="47" w:name="data-availability"/>
    <w:p>
      <w:pPr>
        <w:pStyle w:val="Heading1"/>
      </w:pPr>
      <w:r>
        <w:t xml:space="preserve">Data availability</w:t>
      </w:r>
    </w:p>
    <w:p>
      <w:pPr>
        <w:pStyle w:val="FirstParagraph"/>
      </w:pPr>
      <w:r>
        <w:t xml:space="preserve">An anonymized replication package provides the analysis inputs, available source snapshots, code and commands for regenerating the tables and figures and checking the headline calculations; it will be deposited publicly upon acceptance. For 2025 prices, it includes the archived summary and a separately documented reconstruction from a new transaction snapshot. The original summary-generation materials are unavailable; Online Appendix B.3 documents this distinction and Table C28 reports the sensitivity comparison.</w:t>
      </w:r>
    </w:p>
    <w:bookmarkEnd w:id="47"/>
    <w:bookmarkStart w:id="101" w:name="references"/>
    <w:p>
      <w:pPr>
        <w:pStyle w:val="Heading1"/>
      </w:pPr>
      <w:r>
        <w:t xml:space="preserve">References</w:t>
      </w:r>
    </w:p>
    <w:p>
      <w:pPr>
        <w:pStyle w:val="FirstParagraph"/>
      </w:pPr>
      <w:r>
        <w:t xml:space="preserve">Abadie, Alberto, Athey, Susan, Imbens, Guido W. and Wooldridge, Jeffrey M. (2020) Sampling-based versus design-based uncertainty in regression analysis.</w:t>
      </w:r>
      <w:r>
        <w:t xml:space="preserve"> </w:t>
      </w:r>
      <w:r>
        <w:rPr>
          <w:iCs/>
          <w:i/>
        </w:rPr>
        <w:t xml:space="preserve">Econometrica</w:t>
      </w:r>
      <w:r>
        <w:t xml:space="preserve"> </w:t>
      </w:r>
      <w:r>
        <w:t xml:space="preserve">88(1), 265-296.</w:t>
      </w:r>
      <w:r>
        <w:t xml:space="preserve"> </w:t>
      </w:r>
      <w:hyperlink r:id="rId48">
        <w:r>
          <w:rPr>
            <w:rStyle w:val="Hyperlink"/>
          </w:rPr>
          <w:t xml:space="preserve">https://doi.org/10.3982/ECTA12675</w:t>
        </w:r>
      </w:hyperlink>
    </w:p>
    <w:p>
      <w:pPr>
        <w:pStyle w:val="BodyText"/>
      </w:pPr>
      <w:r>
        <w:t xml:space="preserve">Adler, David and Ansell, Ben (2020) Housing and populism.</w:t>
      </w:r>
      <w:r>
        <w:t xml:space="preserve"> </w:t>
      </w:r>
      <w:r>
        <w:rPr>
          <w:iCs/>
          <w:i/>
        </w:rPr>
        <w:t xml:space="preserve">West European Politics</w:t>
      </w:r>
      <w:r>
        <w:t xml:space="preserve"> </w:t>
      </w:r>
      <w:r>
        <w:t xml:space="preserve">43(2), 344-365.</w:t>
      </w:r>
      <w:r>
        <w:t xml:space="preserve"> </w:t>
      </w:r>
      <w:hyperlink r:id="rId49">
        <w:r>
          <w:rPr>
            <w:rStyle w:val="Hyperlink"/>
          </w:rPr>
          <w:t xml:space="preserve">https://doi.org/10.1080/01402382.2019.1615322</w:t>
        </w:r>
      </w:hyperlink>
    </w:p>
    <w:p>
      <w:pPr>
        <w:pStyle w:val="BodyText"/>
      </w:pPr>
      <w:r>
        <w:t xml:space="preserve">Amos, Brian, McDonald, Michael P. and Watkins, Russell (2017) When boundaries collide: Constructing a national database of demographic and voting statistics.</w:t>
      </w:r>
      <w:r>
        <w:t xml:space="preserve"> </w:t>
      </w:r>
      <w:r>
        <w:rPr>
          <w:iCs/>
          <w:i/>
        </w:rPr>
        <w:t xml:space="preserve">Public Opinion Quarterly</w:t>
      </w:r>
      <w:r>
        <w:t xml:space="preserve"> </w:t>
      </w:r>
      <w:r>
        <w:t xml:space="preserve">81(S1), 385-400.</w:t>
      </w:r>
      <w:r>
        <w:t xml:space="preserve"> </w:t>
      </w:r>
      <w:hyperlink r:id="rId50">
        <w:r>
          <w:rPr>
            <w:rStyle w:val="Hyperlink"/>
          </w:rPr>
          <w:t xml:space="preserve">https://doi.org/10.1093/poq/nfx001</w:t>
        </w:r>
      </w:hyperlink>
    </w:p>
    <w:p>
      <w:pPr>
        <w:pStyle w:val="BodyText"/>
      </w:pPr>
      <w:r>
        <w:t xml:space="preserve">Ansell, Ben W. (2014) The political economy of ownership: Housing markets and the welfare state.</w:t>
      </w:r>
      <w:r>
        <w:t xml:space="preserve"> </w:t>
      </w:r>
      <w:r>
        <w:rPr>
          <w:iCs/>
          <w:i/>
        </w:rPr>
        <w:t xml:space="preserve">American Political Science Review</w:t>
      </w:r>
      <w:r>
        <w:t xml:space="preserve"> </w:t>
      </w:r>
      <w:r>
        <w:t xml:space="preserve">108(2), 383-402.</w:t>
      </w:r>
      <w:r>
        <w:t xml:space="preserve"> </w:t>
      </w:r>
      <w:hyperlink r:id="rId51">
        <w:r>
          <w:rPr>
            <w:rStyle w:val="Hyperlink"/>
          </w:rPr>
          <w:t xml:space="preserve">https://doi.org/10.1017/S0003055414000045</w:t>
        </w:r>
      </w:hyperlink>
    </w:p>
    <w:p>
      <w:pPr>
        <w:pStyle w:val="BodyText"/>
      </w:pPr>
      <w:r>
        <w:t xml:space="preserve">Ansell, Ben W. (2019) The politics of housing.</w:t>
      </w:r>
      <w:r>
        <w:t xml:space="preserve"> </w:t>
      </w:r>
      <w:r>
        <w:rPr>
          <w:iCs/>
          <w:i/>
        </w:rPr>
        <w:t xml:space="preserve">Annual Review of Political Science</w:t>
      </w:r>
      <w:r>
        <w:t xml:space="preserve"> </w:t>
      </w:r>
      <w:r>
        <w:t xml:space="preserve">22, 165-185.</w:t>
      </w:r>
      <w:r>
        <w:t xml:space="preserve"> </w:t>
      </w:r>
      <w:hyperlink r:id="rId52">
        <w:r>
          <w:rPr>
            <w:rStyle w:val="Hyperlink"/>
          </w:rPr>
          <w:t xml:space="preserve">https://doi.org/10.1146/annurev-polisci-050317-071146</w:t>
        </w:r>
      </w:hyperlink>
    </w:p>
    <w:p>
      <w:pPr>
        <w:pStyle w:val="BodyText"/>
      </w:pPr>
      <w:r>
        <w:t xml:space="preserve">Ansell, Ben W., Hjorth, Frederik, Nyrup, Jacob and Larsen, Martin Vinæs (2022) Sheltering populists? House prices and the support for populist parties.</w:t>
      </w:r>
      <w:r>
        <w:t xml:space="preserve"> </w:t>
      </w:r>
      <w:r>
        <w:rPr>
          <w:iCs/>
          <w:i/>
        </w:rPr>
        <w:t xml:space="preserve">Journal of Politics</w:t>
      </w:r>
      <w:r>
        <w:t xml:space="preserve"> </w:t>
      </w:r>
      <w:r>
        <w:t xml:space="preserve">84(3), 1420-1436.</w:t>
      </w:r>
      <w:r>
        <w:t xml:space="preserve"> </w:t>
      </w:r>
      <w:hyperlink r:id="rId53">
        <w:r>
          <w:rPr>
            <w:rStyle w:val="Hyperlink"/>
          </w:rPr>
          <w:t xml:space="preserve">https://doi.org/10.1086/718354</w:t>
        </w:r>
      </w:hyperlink>
    </w:p>
    <w:p>
      <w:pPr>
        <w:pStyle w:val="BodyText"/>
      </w:pPr>
      <w:r>
        <w:t xml:space="preserve">Bae, Yooil and Joo, Yu-Min (2020) The making of Gangnam: Social construction and identity of urban place in South Korea.</w:t>
      </w:r>
      <w:r>
        <w:t xml:space="preserve"> </w:t>
      </w:r>
      <w:r>
        <w:rPr>
          <w:iCs/>
          <w:i/>
        </w:rPr>
        <w:t xml:space="preserve">Urban Affairs Review</w:t>
      </w:r>
      <w:r>
        <w:t xml:space="preserve"> </w:t>
      </w:r>
      <w:r>
        <w:t xml:space="preserve">56(3), 726-757.</w:t>
      </w:r>
      <w:r>
        <w:t xml:space="preserve"> </w:t>
      </w:r>
      <w:hyperlink r:id="rId54">
        <w:r>
          <w:rPr>
            <w:rStyle w:val="Hyperlink"/>
          </w:rPr>
          <w:t xml:space="preserve">https://doi.org/10.1177/1078087419827645</w:t>
        </w:r>
      </w:hyperlink>
    </w:p>
    <w:p>
      <w:pPr>
        <w:pStyle w:val="BodyText"/>
      </w:pPr>
      <w:r>
        <w:t xml:space="preserve">Baltz, Samuel, Agadjanian, Alexander, Chin, Declan, Curiel, John, DeLuca, Kevin, Dunham, James, Miranda, Jennifer, Phillips, Connor Halloran, Uhlman, Annabel, Wimpy, Cameron, Zárate, Marcos and Stewart III, Charles (2022) American election results at the precinct level.</w:t>
      </w:r>
      <w:r>
        <w:t xml:space="preserve"> </w:t>
      </w:r>
      <w:r>
        <w:rPr>
          <w:iCs/>
          <w:i/>
        </w:rPr>
        <w:t xml:space="preserve">Scientific Data</w:t>
      </w:r>
      <w:r>
        <w:t xml:space="preserve"> </w:t>
      </w:r>
      <w:r>
        <w:t xml:space="preserve">9, 651.</w:t>
      </w:r>
      <w:r>
        <w:t xml:space="preserve"> </w:t>
      </w:r>
      <w:hyperlink r:id="rId55">
        <w:r>
          <w:rPr>
            <w:rStyle w:val="Hyperlink"/>
          </w:rPr>
          <w:t xml:space="preserve">https://doi.org/10.1038/s41597-022-01745-0</w:t>
        </w:r>
      </w:hyperlink>
    </w:p>
    <w:p>
      <w:pPr>
        <w:pStyle w:val="BodyText"/>
      </w:pPr>
      <w:r>
        <w:t xml:space="preserve">Cho, Wendy Tam and Manski, Charles F. (2008) Cross-level/ecological inference. In Box-Steffensmeier, Janet M., Brady, Henry E. and Collier, David (eds),</w:t>
      </w:r>
      <w:r>
        <w:t xml:space="preserve"> </w:t>
      </w:r>
      <w:r>
        <w:rPr>
          <w:iCs/>
          <w:i/>
        </w:rPr>
        <w:t xml:space="preserve">The Oxford Handbook of Political Methodology</w:t>
      </w:r>
      <w:r>
        <w:t xml:space="preserve">. Oxford: Oxford University Press, pp. 547-569.</w:t>
      </w:r>
      <w:r>
        <w:t xml:space="preserve"> </w:t>
      </w:r>
      <w:hyperlink r:id="rId56">
        <w:r>
          <w:rPr>
            <w:rStyle w:val="Hyperlink"/>
          </w:rPr>
          <w:t xml:space="preserve">https://doi.org/10.1093/oxfordhb/9780199286546.003.0024</w:t>
        </w:r>
      </w:hyperlink>
    </w:p>
    <w:p>
      <w:pPr>
        <w:pStyle w:val="BodyText"/>
      </w:pPr>
      <w:r>
        <w:t xml:space="preserve">Cross, Philip J. and Manski, Charles F. (2002) Regressions, short and long.</w:t>
      </w:r>
      <w:r>
        <w:t xml:space="preserve"> </w:t>
      </w:r>
      <w:r>
        <w:rPr>
          <w:iCs/>
          <w:i/>
        </w:rPr>
        <w:t xml:space="preserve">Econometrica</w:t>
      </w:r>
      <w:r>
        <w:t xml:space="preserve"> </w:t>
      </w:r>
      <w:r>
        <w:t xml:space="preserve">70(1), 357-368.</w:t>
      </w:r>
      <w:r>
        <w:t xml:space="preserve"> </w:t>
      </w:r>
      <w:hyperlink r:id="rId57">
        <w:r>
          <w:rPr>
            <w:rStyle w:val="Hyperlink"/>
          </w:rPr>
          <w:t xml:space="preserve">https://doi.org/10.1111/1468-0262.00279</w:t>
        </w:r>
      </w:hyperlink>
    </w:p>
    <w:p>
      <w:pPr>
        <w:pStyle w:val="BodyText"/>
      </w:pPr>
      <w:r>
        <w:t xml:space="preserve">Duncan, Otis Dudley and Davis, Beverly (1953) An alternative to ecological correlation.</w:t>
      </w:r>
      <w:r>
        <w:t xml:space="preserve"> </w:t>
      </w:r>
      <w:r>
        <w:rPr>
          <w:iCs/>
          <w:i/>
        </w:rPr>
        <w:t xml:space="preserve">American Sociological Review</w:t>
      </w:r>
      <w:r>
        <w:t xml:space="preserve"> </w:t>
      </w:r>
      <w:r>
        <w:t xml:space="preserve">18(6), 665-666.</w:t>
      </w:r>
      <w:r>
        <w:t xml:space="preserve"> </w:t>
      </w:r>
      <w:hyperlink r:id="rId58">
        <w:r>
          <w:rPr>
            <w:rStyle w:val="Hyperlink"/>
          </w:rPr>
          <w:t xml:space="preserve">https://doi.org/10.2307/2088122</w:t>
        </w:r>
      </w:hyperlink>
    </w:p>
    <w:p>
      <w:pPr>
        <w:pStyle w:val="BodyText"/>
      </w:pPr>
      <w:r>
        <w:t xml:space="preserve">Elzayn, Hadi, Goldin, Jacob, Guage, Cameron, Ho, Daniel and Morton, Claire (2026) Monotone ecological inference.</w:t>
      </w:r>
      <w:r>
        <w:t xml:space="preserve"> </w:t>
      </w:r>
      <w:r>
        <w:rPr>
          <w:iCs/>
          <w:i/>
        </w:rPr>
        <w:t xml:space="preserve">Political Analysis</w:t>
      </w:r>
      <w:r>
        <w:t xml:space="preserve">, published online 10 July 2026.</w:t>
      </w:r>
      <w:r>
        <w:t xml:space="preserve"> </w:t>
      </w:r>
      <w:hyperlink r:id="rId59">
        <w:r>
          <w:rPr>
            <w:rStyle w:val="Hyperlink"/>
          </w:rPr>
          <w:t xml:space="preserve">https://doi.org/10.1017/pan.2026.10048</w:t>
        </w:r>
      </w:hyperlink>
    </w:p>
    <w:p>
      <w:pPr>
        <w:pStyle w:val="BodyText"/>
      </w:pPr>
      <w:r>
        <w:t xml:space="preserve">Fang, Zheng and Santos, Andres (2019) Inference on directionally differentiable functions.</w:t>
      </w:r>
      <w:r>
        <w:t xml:space="preserve"> </w:t>
      </w:r>
      <w:r>
        <w:rPr>
          <w:iCs/>
          <w:i/>
        </w:rPr>
        <w:t xml:space="preserve">Review of Economic Studies</w:t>
      </w:r>
      <w:r>
        <w:t xml:space="preserve"> </w:t>
      </w:r>
      <w:r>
        <w:t xml:space="preserve">86(1), 377-412.</w:t>
      </w:r>
      <w:r>
        <w:t xml:space="preserve"> </w:t>
      </w:r>
      <w:hyperlink r:id="rId60">
        <w:r>
          <w:rPr>
            <w:rStyle w:val="Hyperlink"/>
          </w:rPr>
          <w:t xml:space="preserve">https://doi.org/10.1093/restud/rdy049</w:t>
        </w:r>
      </w:hyperlink>
    </w:p>
    <w:p>
      <w:pPr>
        <w:pStyle w:val="BodyText"/>
      </w:pPr>
      <w:r>
        <w:t xml:space="preserve">Fang, Zheng, Santos, Andres, Shaikh, Azeem M. and Torgovitsky, Alexander (2023) Inference for large-scale linear systems with known coefficients.</w:t>
      </w:r>
      <w:r>
        <w:t xml:space="preserve"> </w:t>
      </w:r>
      <w:r>
        <w:rPr>
          <w:iCs/>
          <w:i/>
        </w:rPr>
        <w:t xml:space="preserve">Econometrica</w:t>
      </w:r>
      <w:r>
        <w:t xml:space="preserve"> </w:t>
      </w:r>
      <w:r>
        <w:t xml:space="preserve">91(1), 299-327.</w:t>
      </w:r>
      <w:r>
        <w:t xml:space="preserve"> </w:t>
      </w:r>
      <w:hyperlink r:id="rId61">
        <w:r>
          <w:rPr>
            <w:rStyle w:val="Hyperlink"/>
          </w:rPr>
          <w:t xml:space="preserve">https://doi.org/10.3982/ECTA18979</w:t>
        </w:r>
      </w:hyperlink>
    </w:p>
    <w:p>
      <w:pPr>
        <w:pStyle w:val="BodyText"/>
      </w:pPr>
      <w:r>
        <w:t xml:space="preserve">Fischel, William A. (2001)</w:t>
      </w:r>
      <w:r>
        <w:t xml:space="preserve"> </w:t>
      </w:r>
      <w:r>
        <w:rPr>
          <w:iCs/>
          <w:i/>
        </w:rPr>
        <w:t xml:space="preserve">The Homevoter Hypothesis: How Home Values Influence Local Government Taxation, School Finance, and Land-Use Policies</w:t>
      </w:r>
      <w:r>
        <w:t xml:space="preserve">. Cambridge, MA: Harvard University Press.</w:t>
      </w:r>
    </w:p>
    <w:p>
      <w:pPr>
        <w:pStyle w:val="BodyText"/>
      </w:pPr>
      <w:r>
        <w:t xml:space="preserve">Greiner, D. James and Quinn, Kevin M. (2009) R×C ecological inference: Bounds, correlations, flexibility and transparency of assumptions.</w:t>
      </w:r>
      <w:r>
        <w:t xml:space="preserve"> </w:t>
      </w:r>
      <w:r>
        <w:rPr>
          <w:iCs/>
          <w:i/>
        </w:rPr>
        <w:t xml:space="preserve">Journal of the Royal Statistical Society: Series A</w:t>
      </w:r>
      <w:r>
        <w:t xml:space="preserve"> </w:t>
      </w:r>
      <w:r>
        <w:t xml:space="preserve">172(1), 67-81.</w:t>
      </w:r>
      <w:r>
        <w:t xml:space="preserve"> </w:t>
      </w:r>
      <w:hyperlink r:id="rId62">
        <w:r>
          <w:rPr>
            <w:rStyle w:val="Hyperlink"/>
          </w:rPr>
          <w:t xml:space="preserve">https://doi.org/10.1111/j.1467-985X.2008.00551.x</w:t>
        </w:r>
      </w:hyperlink>
    </w:p>
    <w:p>
      <w:pPr>
        <w:pStyle w:val="BodyText"/>
      </w:pPr>
      <w:r>
        <w:t xml:space="preserve">Gronke, Paul, Galanes-Rosenbaum, Eva, Miller, Peter A. and Toffey, Daniel (2008) Convenience voting.</w:t>
      </w:r>
      <w:r>
        <w:t xml:space="preserve"> </w:t>
      </w:r>
      <w:r>
        <w:rPr>
          <w:iCs/>
          <w:i/>
        </w:rPr>
        <w:t xml:space="preserve">Annual Review of Political Science</w:t>
      </w:r>
      <w:r>
        <w:t xml:space="preserve"> </w:t>
      </w:r>
      <w:r>
        <w:t xml:space="preserve">11, 437-455.</w:t>
      </w:r>
      <w:r>
        <w:t xml:space="preserve"> </w:t>
      </w:r>
      <w:hyperlink r:id="rId63">
        <w:r>
          <w:rPr>
            <w:rStyle w:val="Hyperlink"/>
          </w:rPr>
          <w:t xml:space="preserve">https://doi.org/10.1146/annurev.polisci.11.053006.190912</w:t>
        </w:r>
      </w:hyperlink>
    </w:p>
    <w:p>
      <w:pPr>
        <w:pStyle w:val="BodyText"/>
      </w:pPr>
      <w:r>
        <w:t xml:space="preserve">Hall, Andrew B. and Yoder, Jesse (2022) Does homeownership influence political behavior? Evidence from administrative data.</w:t>
      </w:r>
      <w:r>
        <w:t xml:space="preserve"> </w:t>
      </w:r>
      <w:r>
        <w:rPr>
          <w:iCs/>
          <w:i/>
        </w:rPr>
        <w:t xml:space="preserve">Journal of Politics</w:t>
      </w:r>
      <w:r>
        <w:t xml:space="preserve"> </w:t>
      </w:r>
      <w:r>
        <w:t xml:space="preserve">84(1), 351-366.</w:t>
      </w:r>
      <w:r>
        <w:t xml:space="preserve"> </w:t>
      </w:r>
      <w:hyperlink r:id="rId64">
        <w:r>
          <w:rPr>
            <w:rStyle w:val="Hyperlink"/>
          </w:rPr>
          <w:t xml:space="preserve">https://doi.org/10.1086/714932</w:t>
        </w:r>
      </w:hyperlink>
    </w:p>
    <w:p>
      <w:pPr>
        <w:pStyle w:val="BodyText"/>
      </w:pPr>
      <w:r>
        <w:t xml:space="preserve">Han, Seungwoo (2024) Housing wealth and political outcomes: A multi-dimensional analysis at the local level in South Korea.</w:t>
      </w:r>
      <w:r>
        <w:t xml:space="preserve"> </w:t>
      </w:r>
      <w:r>
        <w:rPr>
          <w:iCs/>
          <w:i/>
        </w:rPr>
        <w:t xml:space="preserve">Japanese Journal of Political Science</w:t>
      </w:r>
      <w:r>
        <w:t xml:space="preserve"> </w:t>
      </w:r>
      <w:r>
        <w:t xml:space="preserve">25(2), 75-101.</w:t>
      </w:r>
      <w:r>
        <w:t xml:space="preserve"> </w:t>
      </w:r>
      <w:hyperlink r:id="rId65">
        <w:r>
          <w:rPr>
            <w:rStyle w:val="Hyperlink"/>
          </w:rPr>
          <w:t xml:space="preserve">https://doi.org/10.1017/S146810992400001X</w:t>
        </w:r>
      </w:hyperlink>
    </w:p>
    <w:p>
      <w:pPr>
        <w:pStyle w:val="BodyText"/>
      </w:pPr>
      <w:r>
        <w:t xml:space="preserve">Han, Seungwoo (2026) Between the ladder and the mirror: Subjective class consciousness and voting under inequality in South Korea.</w:t>
      </w:r>
      <w:r>
        <w:t xml:space="preserve"> </w:t>
      </w:r>
      <w:r>
        <w:rPr>
          <w:iCs/>
          <w:i/>
        </w:rPr>
        <w:t xml:space="preserve">Japanese Journal of Political Science</w:t>
      </w:r>
      <w:r>
        <w:t xml:space="preserve"> </w:t>
      </w:r>
      <w:r>
        <w:t xml:space="preserve">27(1), 79-98.</w:t>
      </w:r>
      <w:r>
        <w:t xml:space="preserve"> </w:t>
      </w:r>
      <w:hyperlink r:id="rId66">
        <w:r>
          <w:rPr>
            <w:rStyle w:val="Hyperlink"/>
          </w:rPr>
          <w:t xml:space="preserve">https://doi.org/10.1017/S1468109925100224</w:t>
        </w:r>
      </w:hyperlink>
    </w:p>
    <w:p>
      <w:pPr>
        <w:pStyle w:val="BodyText"/>
      </w:pPr>
      <w:r>
        <w:t xml:space="preserve">Hankinson, Michael (2018) When do renters behave like homeowners? High rent, price anxiety, and NIMBYism.</w:t>
      </w:r>
      <w:r>
        <w:t xml:space="preserve"> </w:t>
      </w:r>
      <w:r>
        <w:rPr>
          <w:iCs/>
          <w:i/>
        </w:rPr>
        <w:t xml:space="preserve">American Political Science Review</w:t>
      </w:r>
      <w:r>
        <w:t xml:space="preserve"> </w:t>
      </w:r>
      <w:r>
        <w:t xml:space="preserve">112(3), 473-493.</w:t>
      </w:r>
      <w:r>
        <w:t xml:space="preserve"> </w:t>
      </w:r>
      <w:hyperlink r:id="rId67">
        <w:r>
          <w:rPr>
            <w:rStyle w:val="Hyperlink"/>
          </w:rPr>
          <w:t xml:space="preserve">https://doi.org/10.1017/S0003055418000035</w:t>
        </w:r>
      </w:hyperlink>
    </w:p>
    <w:p>
      <w:pPr>
        <w:pStyle w:val="BodyText"/>
      </w:pPr>
      <w:r>
        <w:t xml:space="preserve">Harada, Masataka, Ito, Gaku and Smith, Daniel M. (2025) Using cell-phone mobility data to study voter turnout.</w:t>
      </w:r>
      <w:r>
        <w:t xml:space="preserve"> </w:t>
      </w:r>
      <w:r>
        <w:rPr>
          <w:iCs/>
          <w:i/>
        </w:rPr>
        <w:t xml:space="preserve">Political Behavior</w:t>
      </w:r>
      <w:r>
        <w:t xml:space="preserve"> </w:t>
      </w:r>
      <w:r>
        <w:t xml:space="preserve">47(3), 991-1014.</w:t>
      </w:r>
      <w:r>
        <w:t xml:space="preserve"> </w:t>
      </w:r>
      <w:hyperlink r:id="rId68">
        <w:r>
          <w:rPr>
            <w:rStyle w:val="Hyperlink"/>
          </w:rPr>
          <w:t xml:space="preserve">https://doi.org/10.1007/s11109-024-09975-1</w:t>
        </w:r>
      </w:hyperlink>
    </w:p>
    <w:p>
      <w:pPr>
        <w:pStyle w:val="BodyText"/>
      </w:pPr>
      <w:r>
        <w:t xml:space="preserve">Imai, Kosuke, Lu, Ying and Strauss, Aaron (2008) Bayesian and likelihood inference for 2 × 2 ecological tables: An incomplete-data approach.</w:t>
      </w:r>
      <w:r>
        <w:t xml:space="preserve"> </w:t>
      </w:r>
      <w:r>
        <w:rPr>
          <w:iCs/>
          <w:i/>
        </w:rPr>
        <w:t xml:space="preserve">Political Analysis</w:t>
      </w:r>
      <w:r>
        <w:t xml:space="preserve"> </w:t>
      </w:r>
      <w:r>
        <w:t xml:space="preserve">16(1), 41-69.</w:t>
      </w:r>
      <w:r>
        <w:t xml:space="preserve"> </w:t>
      </w:r>
      <w:hyperlink r:id="rId69">
        <w:r>
          <w:rPr>
            <w:rStyle w:val="Hyperlink"/>
          </w:rPr>
          <w:t xml:space="preserve">https://doi.org/10.1093/pan/mpm017</w:t>
        </w:r>
      </w:hyperlink>
    </w:p>
    <w:p>
      <w:pPr>
        <w:pStyle w:val="BodyText"/>
      </w:pPr>
      <w:r>
        <w:t xml:space="preserve">Imbens, Guido W. and Manski, Charles F. (2004) Confidence intervals for partially identified parameters.</w:t>
      </w:r>
      <w:r>
        <w:t xml:space="preserve"> </w:t>
      </w:r>
      <w:r>
        <w:rPr>
          <w:iCs/>
          <w:i/>
        </w:rPr>
        <w:t xml:space="preserve">Econometrica</w:t>
      </w:r>
      <w:r>
        <w:t xml:space="preserve"> </w:t>
      </w:r>
      <w:r>
        <w:t xml:space="preserve">72(6), 1845-1857.</w:t>
      </w:r>
      <w:r>
        <w:t xml:space="preserve"> </w:t>
      </w:r>
      <w:hyperlink r:id="rId70">
        <w:r>
          <w:rPr>
            <w:rStyle w:val="Hyperlink"/>
          </w:rPr>
          <w:t xml:space="preserve">https://doi.org/10.1111/j.1468-0262.2004.00555.x</w:t>
        </w:r>
      </w:hyperlink>
    </w:p>
    <w:p>
      <w:pPr>
        <w:pStyle w:val="BodyText"/>
      </w:pPr>
      <w:r>
        <w:t xml:space="preserve">Jiang, Wenxin, King, Gary, Schmaltz, Allen and Tanner, Martin A. (2020) Ecological regression with partial identification.</w:t>
      </w:r>
      <w:r>
        <w:t xml:space="preserve"> </w:t>
      </w:r>
      <w:r>
        <w:rPr>
          <w:iCs/>
          <w:i/>
        </w:rPr>
        <w:t xml:space="preserve">Political Analysis</w:t>
      </w:r>
      <w:r>
        <w:t xml:space="preserve"> </w:t>
      </w:r>
      <w:r>
        <w:t xml:space="preserve">28(1), 65-86.</w:t>
      </w:r>
      <w:r>
        <w:t xml:space="preserve"> </w:t>
      </w:r>
      <w:hyperlink r:id="rId71">
        <w:r>
          <w:rPr>
            <w:rStyle w:val="Hyperlink"/>
          </w:rPr>
          <w:t xml:space="preserve">https://doi.org/10.1017/pan.2019.19</w:t>
        </w:r>
      </w:hyperlink>
    </w:p>
    <w:p>
      <w:pPr>
        <w:pStyle w:val="BodyText"/>
      </w:pPr>
      <w:r>
        <w:t xml:space="preserve">Ka, Sangjoon (2021) 2020nyeon gukhoeuiwonseongeoeseo sajeontupyo yugwonjaui teukjinggwa tupyoseontaek (Characteristics of early voters and their voting choices in the 2020 general election).</w:t>
      </w:r>
      <w:r>
        <w:t xml:space="preserve"> </w:t>
      </w:r>
      <w:r>
        <w:rPr>
          <w:iCs/>
          <w:i/>
        </w:rPr>
        <w:t xml:space="preserve">Korean Political Science Review</w:t>
      </w:r>
      <w:r>
        <w:t xml:space="preserve"> </w:t>
      </w:r>
      <w:r>
        <w:t xml:space="preserve">55(2), 89-108 [in Korean].</w:t>
      </w:r>
      <w:r>
        <w:t xml:space="preserve"> </w:t>
      </w:r>
      <w:hyperlink r:id="rId72">
        <w:r>
          <w:rPr>
            <w:rStyle w:val="Hyperlink"/>
          </w:rPr>
          <w:t xml:space="preserve">https://doi.org/10.18854/kpsr.2021.55.2.004</w:t>
        </w:r>
      </w:hyperlink>
    </w:p>
    <w:p>
      <w:pPr>
        <w:pStyle w:val="BodyText"/>
      </w:pPr>
      <w:r>
        <w:t xml:space="preserve">Kaplan, Ethan and Yuan, Haishan (2020) Early voting laws, voter turnout, and partisan vote composition: Evidence from Ohio.</w:t>
      </w:r>
      <w:r>
        <w:t xml:space="preserve"> </w:t>
      </w:r>
      <w:r>
        <w:rPr>
          <w:iCs/>
          <w:i/>
        </w:rPr>
        <w:t xml:space="preserve">American Economic Journal: Applied Economics</w:t>
      </w:r>
      <w:r>
        <w:t xml:space="preserve"> </w:t>
      </w:r>
      <w:r>
        <w:t xml:space="preserve">12(1), 32-60.</w:t>
      </w:r>
      <w:r>
        <w:t xml:space="preserve"> </w:t>
      </w:r>
      <w:hyperlink r:id="rId73">
        <w:r>
          <w:rPr>
            <w:rStyle w:val="Hyperlink"/>
          </w:rPr>
          <w:t xml:space="preserve">https://doi.org/10.1257/app.20180192</w:t>
        </w:r>
      </w:hyperlink>
    </w:p>
    <w:p>
      <w:pPr>
        <w:pStyle w:val="BodyText"/>
      </w:pPr>
      <w:r>
        <w:t xml:space="preserve">Kim, Suin and Kang, Won-Taek (2022) Jasangwa tupyo seontaek: sudogwon jiyeok yugwonjareul jungsimeuro (Wealth and voting in South Korea: Analyzing voting choices in Seoul and the metropolitan areas).</w:t>
      </w:r>
      <w:r>
        <w:t xml:space="preserve"> </w:t>
      </w:r>
      <w:r>
        <w:rPr>
          <w:iCs/>
          <w:i/>
        </w:rPr>
        <w:t xml:space="preserve">Korean Political Science Review</w:t>
      </w:r>
      <w:r>
        <w:t xml:space="preserve"> </w:t>
      </w:r>
      <w:r>
        <w:t xml:space="preserve">56(1), 187-215 [in Korean].</w:t>
      </w:r>
      <w:r>
        <w:t xml:space="preserve"> </w:t>
      </w:r>
      <w:hyperlink r:id="rId74">
        <w:r>
          <w:rPr>
            <w:rStyle w:val="Hyperlink"/>
          </w:rPr>
          <w:t xml:space="preserve">https://doi.org/10.18854/kpsr.2022.56.1.007</w:t>
        </w:r>
      </w:hyperlink>
    </w:p>
    <w:p>
      <w:pPr>
        <w:pStyle w:val="BodyText"/>
      </w:pPr>
      <w:r>
        <w:t xml:space="preserve">King, Gary (1997)</w:t>
      </w:r>
      <w:r>
        <w:t xml:space="preserve"> </w:t>
      </w:r>
      <w:r>
        <w:rPr>
          <w:iCs/>
          <w:i/>
        </w:rPr>
        <w:t xml:space="preserve">A Solution to the Ecological Inference Problem: Reconstructing Individual Behavior from Aggregate Data</w:t>
      </w:r>
      <w:r>
        <w:t xml:space="preserve">. Princeton, NJ: Princeton University Press.</w:t>
      </w:r>
    </w:p>
    <w:p>
      <w:pPr>
        <w:pStyle w:val="BodyText"/>
      </w:pPr>
      <w:r>
        <w:t xml:space="preserve">Knox, Dean, Lowe, Will and Mummolo, Jonathan (2020) Administrative records mask racially biased policing.</w:t>
      </w:r>
      <w:r>
        <w:t xml:space="preserve"> </w:t>
      </w:r>
      <w:r>
        <w:rPr>
          <w:iCs/>
          <w:i/>
        </w:rPr>
        <w:t xml:space="preserve">American Political Science Review</w:t>
      </w:r>
      <w:r>
        <w:t xml:space="preserve"> </w:t>
      </w:r>
      <w:r>
        <w:t xml:space="preserve">114(3), 619-637.</w:t>
      </w:r>
      <w:r>
        <w:t xml:space="preserve"> </w:t>
      </w:r>
      <w:hyperlink r:id="rId75">
        <w:r>
          <w:rPr>
            <w:rStyle w:val="Hyperlink"/>
          </w:rPr>
          <w:t xml:space="preserve">https://doi.org/10.1017/S0003055420000039</w:t>
        </w:r>
      </w:hyperlink>
    </w:p>
    <w:p>
      <w:pPr>
        <w:pStyle w:val="BodyText"/>
      </w:pPr>
      <w:r>
        <w:t xml:space="preserve">Korea (n.d.) Public Official Election Act, Articles 158, 176 and 178, in the versions in force at each election studied. Korean Law Information Center [in Korean]. Available at:</w:t>
      </w:r>
      <w:r>
        <w:t xml:space="preserve"> </w:t>
      </w:r>
      <w:hyperlink r:id="rId76">
        <w:r>
          <w:rPr>
            <w:rStyle w:val="Hyperlink"/>
          </w:rPr>
          <w:t xml:space="preserve">https://www.law.go.kr/%EB%B2%95%EB%A0%B9/%EA%B3%B5%EC%A7%81%EC%84%A0%EA%B1%B0%EB%B2%95</w:t>
        </w:r>
      </w:hyperlink>
      <w:r>
        <w:t xml:space="preserve"> </w:t>
      </w:r>
      <w:r>
        <w:t xml:space="preserve">(accessed 12 October 2026).</w:t>
      </w:r>
    </w:p>
    <w:p>
      <w:pPr>
        <w:pStyle w:val="BodyText"/>
      </w:pPr>
      <w:r>
        <w:t xml:space="preserve">Larsen, Martin Vinæs, Hjorth, Frederik, Dinesen, Peter Thisted and Sønderskov, Kim Mannemar (2019) When do citizens respond politically to the local economy? Evidence from registry data on local housing markets.</w:t>
      </w:r>
      <w:r>
        <w:t xml:space="preserve"> </w:t>
      </w:r>
      <w:r>
        <w:rPr>
          <w:iCs/>
          <w:i/>
        </w:rPr>
        <w:t xml:space="preserve">American Political Science Review</w:t>
      </w:r>
      <w:r>
        <w:t xml:space="preserve"> </w:t>
      </w:r>
      <w:r>
        <w:t xml:space="preserve">113(2), 499-516.</w:t>
      </w:r>
      <w:r>
        <w:t xml:space="preserve"> </w:t>
      </w:r>
      <w:hyperlink r:id="rId77">
        <w:r>
          <w:rPr>
            <w:rStyle w:val="Hyperlink"/>
          </w:rPr>
          <w:t xml:space="preserve">https://doi.org/10.1017/S0003055419000029</w:t>
        </w:r>
      </w:hyperlink>
    </w:p>
    <w:p>
      <w:pPr>
        <w:pStyle w:val="BodyText"/>
      </w:pPr>
      <w:r>
        <w:t xml:space="preserve">Lee, Dong-han (2026) [9hoe jiseon teukjip] budongsangwa sudogwon eummyeondong pyosim bunseok (Ninth local elections: Real estate and voting patterns in the capital region’s eups, myeons and dongs).</w:t>
      </w:r>
      <w:r>
        <w:t xml:space="preserve"> </w:t>
      </w:r>
      <w:r>
        <w:rPr>
          <w:iCs/>
          <w:i/>
        </w:rPr>
        <w:t xml:space="preserve">Hankook Research: Public Opinion within Public Opinion</w:t>
      </w:r>
      <w:r>
        <w:t xml:space="preserve">, 10 June. Research note [in Korean]. Available at:</w:t>
      </w:r>
      <w:r>
        <w:t xml:space="preserve"> </w:t>
      </w:r>
      <w:hyperlink r:id="rId78">
        <w:r>
          <w:rPr>
            <w:rStyle w:val="Hyperlink"/>
          </w:rPr>
          <w:t xml:space="preserve">https://hrcopinion.co.kr/archives/36779</w:t>
        </w:r>
      </w:hyperlink>
      <w:r>
        <w:t xml:space="preserve"> </w:t>
      </w:r>
      <w:r>
        <w:t xml:space="preserve">(accessed 10 October 2026).</w:t>
      </w:r>
    </w:p>
    <w:p>
      <w:pPr>
        <w:pStyle w:val="BodyText"/>
      </w:pPr>
      <w:r>
        <w:t xml:space="preserve">Lee, Dong Wook, Rogers, Melissa and Soifer, Hillel David (2025) The modifiable areal unit problem in political science.</w:t>
      </w:r>
      <w:r>
        <w:t xml:space="preserve"> </w:t>
      </w:r>
      <w:r>
        <w:rPr>
          <w:iCs/>
          <w:i/>
        </w:rPr>
        <w:t xml:space="preserve">Political Analysis</w:t>
      </w:r>
      <w:r>
        <w:t xml:space="preserve"> </w:t>
      </w:r>
      <w:r>
        <w:t xml:space="preserve">33(4), 412-424.</w:t>
      </w:r>
      <w:r>
        <w:t xml:space="preserve"> </w:t>
      </w:r>
      <w:hyperlink r:id="rId79">
        <w:r>
          <w:rPr>
            <w:rStyle w:val="Hyperlink"/>
          </w:rPr>
          <w:t xml:space="preserve">https://doi.org/10.1017/pan.2025.2</w:t>
        </w:r>
      </w:hyperlink>
    </w:p>
    <w:p>
      <w:pPr>
        <w:pStyle w:val="BodyText"/>
      </w:pPr>
      <w:r>
        <w:t xml:space="preserve">Lee, Jaewook and Kwon, Hyeok Yong (2019) Jutaek soyuwa tupyoseontaek: hangugui seongeo, 2007-2012 (House ownership and voting behavior in South Korea, 2007-2012).</w:t>
      </w:r>
      <w:r>
        <w:t xml:space="preserve"> </w:t>
      </w:r>
      <w:r>
        <w:rPr>
          <w:iCs/>
          <w:i/>
        </w:rPr>
        <w:t xml:space="preserve">Oughtopia</w:t>
      </w:r>
      <w:r>
        <w:t xml:space="preserve"> </w:t>
      </w:r>
      <w:r>
        <w:t xml:space="preserve">34(2), 121-155 [in Korean].</w:t>
      </w:r>
      <w:r>
        <w:t xml:space="preserve"> </w:t>
      </w:r>
      <w:hyperlink r:id="rId80">
        <w:r>
          <w:rPr>
            <w:rStyle w:val="Hyperlink"/>
          </w:rPr>
          <w:t xml:space="preserve">https://doi.org/10.32355/OUGHTOPIA.2019.08.34.2.121</w:t>
        </w:r>
      </w:hyperlink>
    </w:p>
    <w:p>
      <w:pPr>
        <w:pStyle w:val="BodyText"/>
      </w:pPr>
      <w:r>
        <w:t xml:space="preserve">Manski, Charles F. (2003)</w:t>
      </w:r>
      <w:r>
        <w:t xml:space="preserve"> </w:t>
      </w:r>
      <w:r>
        <w:rPr>
          <w:iCs/>
          <w:i/>
        </w:rPr>
        <w:t xml:space="preserve">Partial Identification of Probability Distributions</w:t>
      </w:r>
      <w:r>
        <w:t xml:space="preserve">. New York: Springer.</w:t>
      </w:r>
    </w:p>
    <w:p>
      <w:pPr>
        <w:pStyle w:val="BodyText"/>
      </w:pPr>
      <w:r>
        <w:t xml:space="preserve">Manski, Charles F. and Pepper, John V. (2018) How do right-to-carry laws affect crime rates? Coping with ambiguity using bounded-variation assumptions.</w:t>
      </w:r>
      <w:r>
        <w:t xml:space="preserve"> </w:t>
      </w:r>
      <w:r>
        <w:rPr>
          <w:iCs/>
          <w:i/>
        </w:rPr>
        <w:t xml:space="preserve">Review of Economics and Statistics</w:t>
      </w:r>
      <w:r>
        <w:t xml:space="preserve"> </w:t>
      </w:r>
      <w:r>
        <w:t xml:space="preserve">100(2), 232-244.</w:t>
      </w:r>
      <w:r>
        <w:t xml:space="preserve"> </w:t>
      </w:r>
      <w:hyperlink r:id="rId81">
        <w:r>
          <w:rPr>
            <w:rStyle w:val="Hyperlink"/>
          </w:rPr>
          <w:t xml:space="preserve">https://doi.org/10.1162/REST_a_00689</w:t>
        </w:r>
      </w:hyperlink>
    </w:p>
    <w:p>
      <w:pPr>
        <w:pStyle w:val="BodyText"/>
      </w:pPr>
      <w:r>
        <w:t xml:space="preserve">Marble, William and Nall, Clayton (2021) Where self-interest trumps ideology: Liberal homeowners and local opposition to housing development.</w:t>
      </w:r>
      <w:r>
        <w:t xml:space="preserve"> </w:t>
      </w:r>
      <w:r>
        <w:rPr>
          <w:iCs/>
          <w:i/>
        </w:rPr>
        <w:t xml:space="preserve">Journal of Politics</w:t>
      </w:r>
      <w:r>
        <w:t xml:space="preserve"> </w:t>
      </w:r>
      <w:r>
        <w:t xml:space="preserve">83(4), 1747-1763.</w:t>
      </w:r>
      <w:r>
        <w:t xml:space="preserve"> </w:t>
      </w:r>
      <w:hyperlink r:id="rId82">
        <w:r>
          <w:rPr>
            <w:rStyle w:val="Hyperlink"/>
          </w:rPr>
          <w:t xml:space="preserve">https://doi.org/10.1086/711717</w:t>
        </w:r>
      </w:hyperlink>
    </w:p>
    <w:p>
      <w:pPr>
        <w:pStyle w:val="BodyText"/>
      </w:pPr>
      <w:r>
        <w:t xml:space="preserve">Masten, Matthew A. and Poirier, Alexandre (2020) Inference on breakdown frontiers.</w:t>
      </w:r>
      <w:r>
        <w:t xml:space="preserve"> </w:t>
      </w:r>
      <w:r>
        <w:rPr>
          <w:iCs/>
          <w:i/>
        </w:rPr>
        <w:t xml:space="preserve">Quantitative Economics</w:t>
      </w:r>
      <w:r>
        <w:t xml:space="preserve"> </w:t>
      </w:r>
      <w:r>
        <w:t xml:space="preserve">11(1), 41-111.</w:t>
      </w:r>
      <w:r>
        <w:t xml:space="preserve"> </w:t>
      </w:r>
      <w:hyperlink r:id="rId83">
        <w:r>
          <w:rPr>
            <w:rStyle w:val="Hyperlink"/>
          </w:rPr>
          <w:t xml:space="preserve">https://doi.org/10.3982/QE1288</w:t>
        </w:r>
      </w:hyperlink>
    </w:p>
    <w:p>
      <w:pPr>
        <w:pStyle w:val="BodyText"/>
      </w:pPr>
      <w:r>
        <w:t xml:space="preserve">Ministry of Land, Infrastructure and Transport (2026) Apartment sale transactions, detailed records (RTMSDataSvcAptTradeDev), monthly records for Seoul in the twelve months before each election studied (December 2011 to May 2026). Public Data Portal [in Korean]. Available at:</w:t>
      </w:r>
      <w:r>
        <w:t xml:space="preserve"> </w:t>
      </w:r>
      <w:hyperlink r:id="rId84">
        <w:r>
          <w:rPr>
            <w:rStyle w:val="Hyperlink"/>
          </w:rPr>
          <w:t xml:space="preserve">https://www.data.go.kr/</w:t>
        </w:r>
      </w:hyperlink>
      <w:r>
        <w:t xml:space="preserve"> </w:t>
      </w:r>
      <w:r>
        <w:t xml:space="preserve">(accessed 10 October 2026).</w:t>
      </w:r>
    </w:p>
    <w:p>
      <w:pPr>
        <w:pStyle w:val="BodyText"/>
      </w:pPr>
      <w:r>
        <w:t xml:space="preserve">Molinari, Francesca and Peski, Marcin (2006) Generalization of a result on</w:t>
      </w:r>
      <w:r>
        <w:t xml:space="preserve"> </w:t>
      </w:r>
      <w:r>
        <w:t xml:space="preserve">“</w:t>
      </w:r>
      <w:r>
        <w:t xml:space="preserve">Regressions, short and long</w:t>
      </w:r>
      <w:r>
        <w:t xml:space="preserve">”</w:t>
      </w:r>
      <w:r>
        <w:t xml:space="preserve">.</w:t>
      </w:r>
      <w:r>
        <w:t xml:space="preserve"> </w:t>
      </w:r>
      <w:r>
        <w:rPr>
          <w:iCs/>
          <w:i/>
        </w:rPr>
        <w:t xml:space="preserve">Econometric Theory</w:t>
      </w:r>
      <w:r>
        <w:t xml:space="preserve"> </w:t>
      </w:r>
      <w:r>
        <w:t xml:space="preserve">22(1), 159-163.</w:t>
      </w:r>
      <w:r>
        <w:t xml:space="preserve"> </w:t>
      </w:r>
      <w:hyperlink r:id="rId85">
        <w:r>
          <w:rPr>
            <w:rStyle w:val="Hyperlink"/>
          </w:rPr>
          <w:t xml:space="preserve">https://doi.org/10.1017/S0266466606060063</w:t>
        </w:r>
      </w:hyperlink>
    </w:p>
    <w:p>
      <w:pPr>
        <w:pStyle w:val="BodyText"/>
      </w:pPr>
      <w:r>
        <w:t xml:space="preserve">National Election Commission (2022a) Questions and answers on voting in the 8th nationwide local elections (web page) [in Korean], 29 April. Available at:</w:t>
      </w:r>
      <w:r>
        <w:t xml:space="preserve"> </w:t>
      </w:r>
      <w:hyperlink r:id="rId86">
        <w:r>
          <w:rPr>
            <w:rStyle w:val="Hyperlink"/>
          </w:rPr>
          <w:t xml:space="preserve">https://www.nec.go.kr/site/lvt/ex/bbs/View.do?cbIdx=1507&amp;bcIdx=178093</w:t>
        </w:r>
      </w:hyperlink>
      <w:r>
        <w:t xml:space="preserve"> </w:t>
      </w:r>
      <w:r>
        <w:t xml:space="preserve">(accessed 11 October 2026).</w:t>
      </w:r>
    </w:p>
    <w:p>
      <w:pPr>
        <w:pStyle w:val="BodyText"/>
      </w:pPr>
      <w:r>
        <w:t xml:space="preserve">National Election Commission (2022b) [Sasireun ireoseumnida 10pyeon] gwanoesajeontupyo, gaepyo paekteuchekeu jipjung yoyak (The facts, part 10: Out-of-zone early voting and vote counting, a fact-check summary) (web page) [in Korean], 20 February. Available at:</w:t>
      </w:r>
      <w:r>
        <w:t xml:space="preserve"> </w:t>
      </w:r>
      <w:hyperlink r:id="rId87">
        <w:r>
          <w:rPr>
            <w:rStyle w:val="Hyperlink"/>
          </w:rPr>
          <w:t xml:space="preserve">https://nec.go.kr/site/nec/ex/bbs/View.do?cbIdx=1147&amp;bcIdx=162661</w:t>
        </w:r>
      </w:hyperlink>
      <w:r>
        <w:t xml:space="preserve"> </w:t>
      </w:r>
      <w:r>
        <w:t xml:space="preserve">(accessed 11 October 2026).</w:t>
      </w:r>
    </w:p>
    <w:p>
      <w:pPr>
        <w:pStyle w:val="BodyText"/>
      </w:pPr>
      <w:r>
        <w:t xml:space="preserve">National Election Commission (2026) Official counting-unit returns, certified electorates by dong, and the 2026 table of constituencies and dongs and district-council returns, for the elections of 2012–2026.</w:t>
      </w:r>
      <w:r>
        <w:t xml:space="preserve"> </w:t>
      </w:r>
      <w:r>
        <w:rPr>
          <w:iCs/>
          <w:i/>
        </w:rPr>
        <w:t xml:space="preserve">Election Statistics System</w:t>
      </w:r>
      <w:r>
        <w:t xml:space="preserve"> </w:t>
      </w:r>
      <w:r>
        <w:t xml:space="preserve">and</w:t>
      </w:r>
      <w:r>
        <w:t xml:space="preserve"> </w:t>
      </w:r>
      <w:r>
        <w:rPr>
          <w:iCs/>
          <w:i/>
        </w:rPr>
        <w:t xml:space="preserve">Public Data Portal</w:t>
      </w:r>
      <w:r>
        <w:t xml:space="preserve"> </w:t>
      </w:r>
      <w:r>
        <w:t xml:space="preserve">(files listed in Online Appendix B.1). Available at:</w:t>
      </w:r>
      <w:r>
        <w:t xml:space="preserve"> </w:t>
      </w:r>
      <w:hyperlink r:id="rId88">
        <w:r>
          <w:rPr>
            <w:rStyle w:val="Hyperlink"/>
          </w:rPr>
          <w:t xml:space="preserve">https://info.nec.go.kr/</w:t>
        </w:r>
      </w:hyperlink>
      <w:r>
        <w:t xml:space="preserve"> </w:t>
      </w:r>
      <w:r>
        <w:t xml:space="preserve">and</w:t>
      </w:r>
      <w:r>
        <w:t xml:space="preserve"> </w:t>
      </w:r>
      <w:hyperlink r:id="rId84">
        <w:r>
          <w:rPr>
            <w:rStyle w:val="Hyperlink"/>
          </w:rPr>
          <w:t xml:space="preserve">https://www.data.go.kr/</w:t>
        </w:r>
      </w:hyperlink>
      <w:r>
        <w:t xml:space="preserve"> </w:t>
      </w:r>
      <w:r>
        <w:t xml:space="preserve">(accessed 11 October 2026).</w:t>
      </w:r>
    </w:p>
    <w:p>
      <w:pPr>
        <w:pStyle w:val="BodyText"/>
      </w:pPr>
      <w:r>
        <w:t xml:space="preserve">National Election Commission (n.d.) Regulations on Public Official Elections, Articles 16-2, 86(3) and 133(3), in the versions in force at each election studied; Article 86(3) as amended 24 December 2015 and Article 133(3) as amended 9 March 2018. Korean Law Information Center [in Korean]. Available at:</w:t>
      </w:r>
      <w:r>
        <w:t xml:space="preserve"> </w:t>
      </w:r>
      <w:hyperlink r:id="rId89">
        <w:r>
          <w:rPr>
            <w:rStyle w:val="Hyperlink"/>
          </w:rPr>
          <w:t xml:space="preserve">https://www.law.go.kr/%EB%B2%95%EB%A0%B9/%EA%B3%B5%EC%A7%81%EC%84%A0%EA%B1%B0%EA%B4%80%EB%A6%AC%EA%B7%9C%EC%B9%99</w:t>
        </w:r>
      </w:hyperlink>
      <w:r>
        <w:t xml:space="preserve"> </w:t>
      </w:r>
      <w:r>
        <w:t xml:space="preserve">(accessed 12 October 2026).</w:t>
      </w:r>
    </w:p>
    <w:p>
      <w:pPr>
        <w:pStyle w:val="BodyText"/>
      </w:pPr>
      <w:r>
        <w:t xml:space="preserve">Oh, Seongtaek and Park, Iseok (2013) Yugwonjaui jaesansangtae(apateusise)ga huboja deukpyoe michineun yeonghyange gwanhan yeongu: je19dae gukhoeuiwonseongeo seoulteukbyeolsireul jungsimeuro (A study on the influence of voters’ financial status (the market price of apartments) to the votes received of candidates: Focused on the 19th National Assembly election of Seoul district).</w:t>
      </w:r>
      <w:r>
        <w:t xml:space="preserve"> </w:t>
      </w:r>
      <w:r>
        <w:rPr>
          <w:iCs/>
          <w:i/>
        </w:rPr>
        <w:t xml:space="preserve">Journal of Policy Development</w:t>
      </w:r>
      <w:r>
        <w:t xml:space="preserve"> </w:t>
      </w:r>
      <w:r>
        <w:t xml:space="preserve">13(1), 171-193 [in Korean].</w:t>
      </w:r>
      <w:r>
        <w:t xml:space="preserve"> </w:t>
      </w:r>
      <w:hyperlink r:id="rId90">
        <w:r>
          <w:rPr>
            <w:rStyle w:val="Hyperlink"/>
          </w:rPr>
          <w:t xml:space="preserve">https://doi.org/10.35224/kapd.2013.13.1.007</w:t>
        </w:r>
      </w:hyperlink>
    </w:p>
    <w:p>
      <w:pPr>
        <w:pStyle w:val="BodyText"/>
      </w:pPr>
      <w:r>
        <w:t xml:space="preserve">Rambachan, Ashesh and Roth, Jonathan (2023) A more credible approach to parallel trends.</w:t>
      </w:r>
      <w:r>
        <w:t xml:space="preserve"> </w:t>
      </w:r>
      <w:r>
        <w:rPr>
          <w:iCs/>
          <w:i/>
        </w:rPr>
        <w:t xml:space="preserve">Review of Economic Studies</w:t>
      </w:r>
      <w:r>
        <w:t xml:space="preserve"> </w:t>
      </w:r>
      <w:r>
        <w:t xml:space="preserve">90(5), 2555-2591.</w:t>
      </w:r>
      <w:r>
        <w:t xml:space="preserve"> </w:t>
      </w:r>
      <w:hyperlink r:id="rId91">
        <w:r>
          <w:rPr>
            <w:rStyle w:val="Hyperlink"/>
          </w:rPr>
          <w:t xml:space="preserve">https://doi.org/10.1093/restud/rdad018</w:t>
        </w:r>
      </w:hyperlink>
    </w:p>
    <w:p>
      <w:pPr>
        <w:pStyle w:val="BodyText"/>
      </w:pPr>
      <w:r>
        <w:t xml:space="preserve">Ridder, Geert and Moffitt, Robert (2007) The econometrics of data combination. In Heckman, James J. and Leamer, Edward E. (eds),</w:t>
      </w:r>
      <w:r>
        <w:t xml:space="preserve"> </w:t>
      </w:r>
      <w:r>
        <w:rPr>
          <w:iCs/>
          <w:i/>
        </w:rPr>
        <w:t xml:space="preserve">Handbook of Econometrics</w:t>
      </w:r>
      <w:r>
        <w:t xml:space="preserve">, vol. 6B. Amsterdam: Elsevier, pp. 5469-5547.</w:t>
      </w:r>
      <w:r>
        <w:t xml:space="preserve"> </w:t>
      </w:r>
      <w:hyperlink r:id="rId92">
        <w:r>
          <w:rPr>
            <w:rStyle w:val="Hyperlink"/>
          </w:rPr>
          <w:t xml:space="preserve">https://doi.org/10.1016/S1573-4412(07)06075-8</w:t>
        </w:r>
      </w:hyperlink>
    </w:p>
    <w:p>
      <w:pPr>
        <w:pStyle w:val="BodyText"/>
      </w:pPr>
      <w:r>
        <w:t xml:space="preserve">Rodden, Jonathan A. (2019)</w:t>
      </w:r>
      <w:r>
        <w:t xml:space="preserve"> </w:t>
      </w:r>
      <w:r>
        <w:rPr>
          <w:iCs/>
          <w:i/>
        </w:rPr>
        <w:t xml:space="preserve">Why Cities Lose: The Deep Roots of the Urban-Rural Political Divide</w:t>
      </w:r>
      <w:r>
        <w:t xml:space="preserve">. New York: Basic Books.</w:t>
      </w:r>
    </w:p>
    <w:p>
      <w:pPr>
        <w:pStyle w:val="BodyText"/>
      </w:pPr>
      <w:r>
        <w:t xml:space="preserve">Seoul Metropolitan Government and KT (2026)</w:t>
      </w:r>
      <w:r>
        <w:t xml:space="preserve"> </w:t>
      </w:r>
      <w:r>
        <w:rPr>
          <w:iCs/>
          <w:i/>
        </w:rPr>
        <w:t xml:space="preserve">Seoul Living Mobility: Administrative-dong data</w:t>
      </w:r>
      <w:r>
        <w:t xml:space="preserve">. Monthly files for March 2022, April 2024, May 2025 and May 2026. Seoul Open Data Plaza [in Korean]. Available at:</w:t>
      </w:r>
      <w:r>
        <w:t xml:space="preserve"> </w:t>
      </w:r>
      <w:hyperlink r:id="rId93">
        <w:r>
          <w:rPr>
            <w:rStyle w:val="Hyperlink"/>
          </w:rPr>
          <w:t xml:space="preserve">https://data.seoul.go.kr/dataVisual/seoul/seoulLivingMigration.do</w:t>
        </w:r>
      </w:hyperlink>
      <w:r>
        <w:t xml:space="preserve"> </w:t>
      </w:r>
      <w:r>
        <w:t xml:space="preserve">(accessed 10 October 2026).</w:t>
      </w:r>
    </w:p>
    <w:p>
      <w:pPr>
        <w:pStyle w:val="BodyText"/>
      </w:pPr>
      <w:r>
        <w:t xml:space="preserve">Shin, Jungsub (2022) Je20dae daetongnyeong seongeoeseo natanan jutaeksoyuwa tupyoseontaek: hoegotupyo vs. jasantupyo (The effects of homeownership on vote choice in the 20th Korean presidential election: Retrospective voting vs. patrimonial voting).</w:t>
      </w:r>
      <w:r>
        <w:t xml:space="preserve"> </w:t>
      </w:r>
      <w:r>
        <w:rPr>
          <w:iCs/>
          <w:i/>
        </w:rPr>
        <w:t xml:space="preserve">Journal of Contemporary Politics</w:t>
      </w:r>
      <w:r>
        <w:t xml:space="preserve"> </w:t>
      </w:r>
      <w:r>
        <w:t xml:space="preserve">15(3), 5-33 [in Korean].</w:t>
      </w:r>
      <w:r>
        <w:t xml:space="preserve"> </w:t>
      </w:r>
      <w:hyperlink r:id="rId94">
        <w:r>
          <w:rPr>
            <w:rStyle w:val="Hyperlink"/>
          </w:rPr>
          <w:t xml:space="preserve">https://doi.org/10.52594/jcp.2022.12.15.3.5</w:t>
        </w:r>
      </w:hyperlink>
    </w:p>
    <w:p>
      <w:pPr>
        <w:pStyle w:val="BodyText"/>
      </w:pPr>
      <w:r>
        <w:t xml:space="preserve">Son, Nakgu (2008)</w:t>
      </w:r>
      <w:r>
        <w:t xml:space="preserve"> </w:t>
      </w:r>
      <w:r>
        <w:rPr>
          <w:iCs/>
          <w:i/>
        </w:rPr>
        <w:t xml:space="preserve">Budongsan gyegeupsahoe (Real Estate Class Society)</w:t>
      </w:r>
      <w:r>
        <w:t xml:space="preserve">. Seoul: Humanitas [in Korean].</w:t>
      </w:r>
    </w:p>
    <w:p>
      <w:pPr>
        <w:pStyle w:val="BodyText"/>
      </w:pPr>
      <w:r>
        <w:t xml:space="preserve">Son, Nakgu (2010)</w:t>
      </w:r>
      <w:r>
        <w:t xml:space="preserve"> </w:t>
      </w:r>
      <w:r>
        <w:rPr>
          <w:iCs/>
          <w:i/>
        </w:rPr>
        <w:t xml:space="preserve">Daehanminguk jeongchisahoejido: sudogwonpyeon (A Political-Social Atlas of Korea: The Capital Region)</w:t>
      </w:r>
      <w:r>
        <w:t xml:space="preserve">. Seoul: Humanitas [in Korean].</w:t>
      </w:r>
    </w:p>
    <w:p>
      <w:pPr>
        <w:pStyle w:val="BodyText"/>
      </w:pPr>
      <w:r>
        <w:t xml:space="preserve">Song, B. K. and Kang, Woo Chang (2025) Inequality, local wealth, and electoral politics.</w:t>
      </w:r>
      <w:r>
        <w:t xml:space="preserve"> </w:t>
      </w:r>
      <w:r>
        <w:rPr>
          <w:iCs/>
          <w:i/>
        </w:rPr>
        <w:t xml:space="preserve">European Journal of Political Economy</w:t>
      </w:r>
      <w:r>
        <w:t xml:space="preserve"> </w:t>
      </w:r>
      <w:r>
        <w:t xml:space="preserve">86, 102617.</w:t>
      </w:r>
      <w:r>
        <w:t xml:space="preserve"> </w:t>
      </w:r>
      <w:hyperlink r:id="rId95">
        <w:r>
          <w:rPr>
            <w:rStyle w:val="Hyperlink"/>
          </w:rPr>
          <w:t xml:space="preserve">https://doi.org/10.1016/j.ejpoleco.2024.102617</w:t>
        </w:r>
      </w:hyperlink>
    </w:p>
    <w:p>
      <w:pPr>
        <w:pStyle w:val="BodyText"/>
      </w:pPr>
      <w:r>
        <w:t xml:space="preserve">Stoye, Jörg (2009) More on confidence intervals for partially identified parameters.</w:t>
      </w:r>
      <w:r>
        <w:t xml:space="preserve"> </w:t>
      </w:r>
      <w:r>
        <w:rPr>
          <w:iCs/>
          <w:i/>
        </w:rPr>
        <w:t xml:space="preserve">Econometrica</w:t>
      </w:r>
      <w:r>
        <w:t xml:space="preserve"> </w:t>
      </w:r>
      <w:r>
        <w:t xml:space="preserve">77(4), 1299-1315.</w:t>
      </w:r>
      <w:r>
        <w:t xml:space="preserve"> </w:t>
      </w:r>
      <w:hyperlink r:id="rId96">
        <w:r>
          <w:rPr>
            <w:rStyle w:val="Hyperlink"/>
          </w:rPr>
          <w:t xml:space="preserve">https://doi.org/10.3982/ECTA7347</w:t>
        </w:r>
      </w:hyperlink>
    </w:p>
    <w:p>
      <w:pPr>
        <w:pStyle w:val="BodyText"/>
      </w:pPr>
      <w:r>
        <w:t xml:space="preserve">Tamer, Elie (2010) Partial identification in econometrics.</w:t>
      </w:r>
      <w:r>
        <w:t xml:space="preserve"> </w:t>
      </w:r>
      <w:r>
        <w:rPr>
          <w:iCs/>
          <w:i/>
        </w:rPr>
        <w:t xml:space="preserve">Annual Review of Economics</w:t>
      </w:r>
      <w:r>
        <w:t xml:space="preserve"> </w:t>
      </w:r>
      <w:r>
        <w:t xml:space="preserve">2, 167-195.</w:t>
      </w:r>
      <w:r>
        <w:t xml:space="preserve"> </w:t>
      </w:r>
      <w:hyperlink r:id="rId97">
        <w:r>
          <w:rPr>
            <w:rStyle w:val="Hyperlink"/>
          </w:rPr>
          <w:t xml:space="preserve">https://doi.org/10.1146/annurev.economics.050708.143401</w:t>
        </w:r>
      </w:hyperlink>
    </w:p>
    <w:p>
      <w:pPr>
        <w:pStyle w:val="BodyText"/>
      </w:pPr>
      <w:r>
        <w:t xml:space="preserve">vuski (2026)</w:t>
      </w:r>
      <w:r>
        <w:t xml:space="preserve"> </w:t>
      </w:r>
      <w:r>
        <w:rPr>
          <w:iCs/>
          <w:i/>
        </w:rPr>
        <w:t xml:space="preserve">admdongkor: Administrative-dong boundaries of the Republic of Korea</w:t>
      </w:r>
      <w:r>
        <w:t xml:space="preserve">, version 20260401. Available at:</w:t>
      </w:r>
      <w:r>
        <w:t xml:space="preserve"> </w:t>
      </w:r>
      <w:hyperlink r:id="rId98">
        <w:r>
          <w:rPr>
            <w:rStyle w:val="Hyperlink"/>
          </w:rPr>
          <w:t xml:space="preserve">https://github.com/vuski/admdongkor</w:t>
        </w:r>
      </w:hyperlink>
      <w:r>
        <w:t xml:space="preserve"> </w:t>
      </w:r>
      <w:r>
        <w:t xml:space="preserve">(accessed 10 October 2026).</w:t>
      </w:r>
    </w:p>
    <w:p>
      <w:pPr>
        <w:pStyle w:val="BodyText"/>
      </w:pPr>
      <w:r>
        <w:t xml:space="preserve">Wakefield, Jon (2004) Ecological inference for 2 × 2 tables.</w:t>
      </w:r>
      <w:r>
        <w:t xml:space="preserve"> </w:t>
      </w:r>
      <w:r>
        <w:rPr>
          <w:iCs/>
          <w:i/>
        </w:rPr>
        <w:t xml:space="preserve">Journal of the Royal Statistical Society: Series A</w:t>
      </w:r>
      <w:r>
        <w:t xml:space="preserve"> </w:t>
      </w:r>
      <w:r>
        <w:t xml:space="preserve">167(3), 385-425.</w:t>
      </w:r>
      <w:r>
        <w:t xml:space="preserve"> </w:t>
      </w:r>
      <w:hyperlink r:id="rId99">
        <w:r>
          <w:rPr>
            <w:rStyle w:val="Hyperlink"/>
          </w:rPr>
          <w:t xml:space="preserve">https://doi.org/10.1111/j.1467-985x.2004.02046_1.x</w:t>
        </w:r>
      </w:hyperlink>
    </w:p>
    <w:p>
      <w:pPr>
        <w:pStyle w:val="BodyText"/>
      </w:pPr>
      <w:r>
        <w:t xml:space="preserve">Yun, Miyoung and Jun, Myung-Jin (2024) Jutaekgagyeok byeondongi 20dae daetongnyeong seongeo jiji jeongdang hubo byeonhwae michineun yeonghyang bunseok: jeonguk haengjeongdong danwi tupyogyeolgwareul jungsimeuro (The impact of housing price changes on swing voters in the 20th presidential election: Focused on national voting results by administrative districts).</w:t>
      </w:r>
      <w:r>
        <w:t xml:space="preserve"> </w:t>
      </w:r>
      <w:r>
        <w:rPr>
          <w:iCs/>
          <w:i/>
        </w:rPr>
        <w:t xml:space="preserve">Journal of Korea Planning Association</w:t>
      </w:r>
      <w:r>
        <w:t xml:space="preserve"> </w:t>
      </w:r>
      <w:r>
        <w:t xml:space="preserve">59(2), 121-132 [in Korean].</w:t>
      </w:r>
      <w:r>
        <w:t xml:space="preserve"> </w:t>
      </w:r>
      <w:hyperlink r:id="rId100">
        <w:r>
          <w:rPr>
            <w:rStyle w:val="Hyperlink"/>
          </w:rPr>
          <w:t xml:space="preserve">https://doi.org/10.17208/jkpa.2024.04.59.2.121</w:t>
        </w:r>
      </w:hyperlink>
    </w:p>
    <w:bookmarkEnd w:id="101"/>
    <w:sectPr>
      <w:pgMar w:top="1417" w:bottom="1417" w:left="1417" w:right="1417"/>
      <w:pgSz w:w="11906" w:h="16838" w:orient="portrait"/>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Batang"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57"/>
        <w:bottom w:type="dxa" w:w="0"/>
        <w:right w:type="dxa" w:w="57"/>
      </w:tblCellMar>
    </w:tblPr>
    <w:rPr>
      <w:sz w:val="18"/>
      <w:szCs w:val="18"/>
    </w:r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0" Type="http://schemas.openxmlformats.org/officeDocument/2006/relationships/image" Target="media/rId30.png"/><Relationship Id="rId34" Type="http://schemas.openxmlformats.org/officeDocument/2006/relationships/image" Target="media/rId34.png"/><Relationship Id="rId40" Type="http://schemas.openxmlformats.org/officeDocument/2006/relationships/image" Target="media/rId40.png"/><Relationship Id="rId93" Type="http://schemas.openxmlformats.org/officeDocument/2006/relationships/hyperlink" Target="https://data.seoul.go.kr/dataVisual/seoul/seoulLivingMigration.do" TargetMode="External"/><Relationship Id="rId68" Type="http://schemas.openxmlformats.org/officeDocument/2006/relationships/hyperlink" Target="https://doi.org/10.1007/s11109-024-09975-1" TargetMode="External"/><Relationship Id="rId92" Type="http://schemas.openxmlformats.org/officeDocument/2006/relationships/hyperlink" Target="https://doi.org/10.1016/S1573-4412(07)06075-8" TargetMode="External"/><Relationship Id="rId95" Type="http://schemas.openxmlformats.org/officeDocument/2006/relationships/hyperlink" Target="https://doi.org/10.1016/j.ejpoleco.2024.102617" TargetMode="External"/><Relationship Id="rId51" Type="http://schemas.openxmlformats.org/officeDocument/2006/relationships/hyperlink" Target="https://doi.org/10.1017/S0003055414000045" TargetMode="External"/><Relationship Id="rId67" Type="http://schemas.openxmlformats.org/officeDocument/2006/relationships/hyperlink" Target="https://doi.org/10.1017/S0003055418000035" TargetMode="External"/><Relationship Id="rId77" Type="http://schemas.openxmlformats.org/officeDocument/2006/relationships/hyperlink" Target="https://doi.org/10.1017/S0003055419000029" TargetMode="External"/><Relationship Id="rId75" Type="http://schemas.openxmlformats.org/officeDocument/2006/relationships/hyperlink" Target="https://doi.org/10.1017/S0003055420000039" TargetMode="External"/><Relationship Id="rId85" Type="http://schemas.openxmlformats.org/officeDocument/2006/relationships/hyperlink" Target="https://doi.org/10.1017/S0266466606060063" TargetMode="External"/><Relationship Id="rId65" Type="http://schemas.openxmlformats.org/officeDocument/2006/relationships/hyperlink" Target="https://doi.org/10.1017/S146810992400001X" TargetMode="External"/><Relationship Id="rId66" Type="http://schemas.openxmlformats.org/officeDocument/2006/relationships/hyperlink" Target="https://doi.org/10.1017/S1468109925100224" TargetMode="External"/><Relationship Id="rId71" Type="http://schemas.openxmlformats.org/officeDocument/2006/relationships/hyperlink" Target="https://doi.org/10.1017/pan.2019.19" TargetMode="External"/><Relationship Id="rId79" Type="http://schemas.openxmlformats.org/officeDocument/2006/relationships/hyperlink" Target="https://doi.org/10.1017/pan.2025.2" TargetMode="External"/><Relationship Id="rId59" Type="http://schemas.openxmlformats.org/officeDocument/2006/relationships/hyperlink" Target="https://doi.org/10.1017/pan.2026.10048" TargetMode="External"/><Relationship Id="rId55" Type="http://schemas.openxmlformats.org/officeDocument/2006/relationships/hyperlink" Target="https://doi.org/10.1038/s41597-022-01745-0" TargetMode="External"/><Relationship Id="rId49" Type="http://schemas.openxmlformats.org/officeDocument/2006/relationships/hyperlink" Target="https://doi.org/10.1080/01402382.2019.1615322" TargetMode="External"/><Relationship Id="rId82" Type="http://schemas.openxmlformats.org/officeDocument/2006/relationships/hyperlink" Target="https://doi.org/10.1086/711717" TargetMode="External"/><Relationship Id="rId64" Type="http://schemas.openxmlformats.org/officeDocument/2006/relationships/hyperlink" Target="https://doi.org/10.1086/714932" TargetMode="External"/><Relationship Id="rId53" Type="http://schemas.openxmlformats.org/officeDocument/2006/relationships/hyperlink" Target="https://doi.org/10.1086/718354" TargetMode="External"/><Relationship Id="rId56" Type="http://schemas.openxmlformats.org/officeDocument/2006/relationships/hyperlink" Target="https://doi.org/10.1093/oxfordhb/9780199286546.003.0024" TargetMode="External"/><Relationship Id="rId69" Type="http://schemas.openxmlformats.org/officeDocument/2006/relationships/hyperlink" Target="https://doi.org/10.1093/pan/mpm017" TargetMode="External"/><Relationship Id="rId50" Type="http://schemas.openxmlformats.org/officeDocument/2006/relationships/hyperlink" Target="https://doi.org/10.1093/poq/nfx001" TargetMode="External"/><Relationship Id="rId91" Type="http://schemas.openxmlformats.org/officeDocument/2006/relationships/hyperlink" Target="https://doi.org/10.1093/restud/rdad018" TargetMode="External"/><Relationship Id="rId60" Type="http://schemas.openxmlformats.org/officeDocument/2006/relationships/hyperlink" Target="https://doi.org/10.1093/restud/rdy049" TargetMode="External"/><Relationship Id="rId57" Type="http://schemas.openxmlformats.org/officeDocument/2006/relationships/hyperlink" Target="https://doi.org/10.1111/1468-0262.00279" TargetMode="External"/><Relationship Id="rId62" Type="http://schemas.openxmlformats.org/officeDocument/2006/relationships/hyperlink" Target="https://doi.org/10.1111/j.1467-985X.2008.00551.x" TargetMode="External"/><Relationship Id="rId99" Type="http://schemas.openxmlformats.org/officeDocument/2006/relationships/hyperlink" Target="https://doi.org/10.1111/j.1467-985x.2004.02046_1.x" TargetMode="External"/><Relationship Id="rId70" Type="http://schemas.openxmlformats.org/officeDocument/2006/relationships/hyperlink" Target="https://doi.org/10.1111/j.1468-0262.2004.00555.x" TargetMode="External"/><Relationship Id="rId52" Type="http://schemas.openxmlformats.org/officeDocument/2006/relationships/hyperlink" Target="https://doi.org/10.1146/annurev-polisci-050317-071146" TargetMode="External"/><Relationship Id="rId97" Type="http://schemas.openxmlformats.org/officeDocument/2006/relationships/hyperlink" Target="https://doi.org/10.1146/annurev.economics.050708.143401" TargetMode="External"/><Relationship Id="rId63" Type="http://schemas.openxmlformats.org/officeDocument/2006/relationships/hyperlink" Target="https://doi.org/10.1146/annurev.polisci.11.053006.190912" TargetMode="External"/><Relationship Id="rId81" Type="http://schemas.openxmlformats.org/officeDocument/2006/relationships/hyperlink" Target="https://doi.org/10.1162/REST_a_00689" TargetMode="External"/><Relationship Id="rId54" Type="http://schemas.openxmlformats.org/officeDocument/2006/relationships/hyperlink" Target="https://doi.org/10.1177/1078087419827645" TargetMode="External"/><Relationship Id="rId73" Type="http://schemas.openxmlformats.org/officeDocument/2006/relationships/hyperlink" Target="https://doi.org/10.1257/app.20180192" TargetMode="External"/><Relationship Id="rId100" Type="http://schemas.openxmlformats.org/officeDocument/2006/relationships/hyperlink" Target="https://doi.org/10.17208/jkpa.2024.04.59.2.121" TargetMode="External"/><Relationship Id="rId72" Type="http://schemas.openxmlformats.org/officeDocument/2006/relationships/hyperlink" Target="https://doi.org/10.18854/kpsr.2021.55.2.004" TargetMode="External"/><Relationship Id="rId74" Type="http://schemas.openxmlformats.org/officeDocument/2006/relationships/hyperlink" Target="https://doi.org/10.18854/kpsr.2022.56.1.007" TargetMode="External"/><Relationship Id="rId58" Type="http://schemas.openxmlformats.org/officeDocument/2006/relationships/hyperlink" Target="https://doi.org/10.2307/2088122" TargetMode="External"/><Relationship Id="rId80" Type="http://schemas.openxmlformats.org/officeDocument/2006/relationships/hyperlink" Target="https://doi.org/10.32355/OUGHTOPIA.2019.08.34.2.121" TargetMode="External"/><Relationship Id="rId90" Type="http://schemas.openxmlformats.org/officeDocument/2006/relationships/hyperlink" Target="https://doi.org/10.35224/kapd.2013.13.1.007" TargetMode="External"/><Relationship Id="rId48" Type="http://schemas.openxmlformats.org/officeDocument/2006/relationships/hyperlink" Target="https://doi.org/10.3982/ECTA12675" TargetMode="External"/><Relationship Id="rId61" Type="http://schemas.openxmlformats.org/officeDocument/2006/relationships/hyperlink" Target="https://doi.org/10.3982/ECTA18979" TargetMode="External"/><Relationship Id="rId96" Type="http://schemas.openxmlformats.org/officeDocument/2006/relationships/hyperlink" Target="https://doi.org/10.3982/ECTA7347" TargetMode="External"/><Relationship Id="rId83" Type="http://schemas.openxmlformats.org/officeDocument/2006/relationships/hyperlink" Target="https://doi.org/10.3982/QE1288" TargetMode="External"/><Relationship Id="rId94" Type="http://schemas.openxmlformats.org/officeDocument/2006/relationships/hyperlink" Target="https://doi.org/10.52594/jcp.2022.12.15.3.5" TargetMode="External"/><Relationship Id="rId98" Type="http://schemas.openxmlformats.org/officeDocument/2006/relationships/hyperlink" Target="https://github.com/vuski/admdongkor" TargetMode="External"/><Relationship Id="rId78" Type="http://schemas.openxmlformats.org/officeDocument/2006/relationships/hyperlink" Target="https://hrcopinion.co.kr/archives/36779" TargetMode="External"/><Relationship Id="rId88" Type="http://schemas.openxmlformats.org/officeDocument/2006/relationships/hyperlink" Target="https://info.nec.go.kr/" TargetMode="External"/><Relationship Id="rId87" Type="http://schemas.openxmlformats.org/officeDocument/2006/relationships/hyperlink" Target="https://nec.go.kr/site/nec/ex/bbs/View.do?cbIdx=1147&amp;bcIdx=162661" TargetMode="External"/><Relationship Id="rId84" Type="http://schemas.openxmlformats.org/officeDocument/2006/relationships/hyperlink" Target="https://www.data.go.kr/" TargetMode="External"/><Relationship Id="rId89" Type="http://schemas.openxmlformats.org/officeDocument/2006/relationships/hyperlink" Target="https://www.law.go.kr/%EB%B2%95%EB%A0%B9/%EA%B3%B5%EC%A7%81%EC%84%A0%EA%B1%B0%EA%B4%80%EB%A6%AC%EA%B7%9C%EC%B9%99" TargetMode="External"/><Relationship Id="rId76" Type="http://schemas.openxmlformats.org/officeDocument/2006/relationships/hyperlink" Target="https://www.law.go.kr/%EB%B2%95%EB%A0%B9/%EA%B3%B5%EC%A7%81%EC%84%A0%EA%B1%B0%EB%B2%95" TargetMode="External"/><Relationship Id="rId86" Type="http://schemas.openxmlformats.org/officeDocument/2006/relationships/hyperlink" Target="https://www.nec.go.kr/site/lvt/ex/bbs/View.do?cbIdx=1507&amp;bcIdx=178093" TargetMode="External"/></Relationships>
</file>

<file path=word/_rels/footnotes.xml.rels><?xml version='1.0' encoding='UTF-8' standalone='yes'?>
<Relationships xmlns="http://schemas.openxmlformats.org/package/2006/relationships"><Relationship Id="rId93" Type="http://schemas.openxmlformats.org/officeDocument/2006/relationships/hyperlink" Target="https://data.seoul.go.kr/dataVisual/seoul/seoulLivingMigration.do" TargetMode="External"/><Relationship Id="rId68" Type="http://schemas.openxmlformats.org/officeDocument/2006/relationships/hyperlink" Target="https://doi.org/10.1007/s11109-024-09975-1" TargetMode="External"/><Relationship Id="rId92" Type="http://schemas.openxmlformats.org/officeDocument/2006/relationships/hyperlink" Target="https://doi.org/10.1016/S1573-4412(07)06075-8" TargetMode="External"/><Relationship Id="rId95" Type="http://schemas.openxmlformats.org/officeDocument/2006/relationships/hyperlink" Target="https://doi.org/10.1016/j.ejpoleco.2024.102617" TargetMode="External"/><Relationship Id="rId51" Type="http://schemas.openxmlformats.org/officeDocument/2006/relationships/hyperlink" Target="https://doi.org/10.1017/S0003055414000045" TargetMode="External"/><Relationship Id="rId67" Type="http://schemas.openxmlformats.org/officeDocument/2006/relationships/hyperlink" Target="https://doi.org/10.1017/S0003055418000035" TargetMode="External"/><Relationship Id="rId77" Type="http://schemas.openxmlformats.org/officeDocument/2006/relationships/hyperlink" Target="https://doi.org/10.1017/S0003055419000029" TargetMode="External"/><Relationship Id="rId75" Type="http://schemas.openxmlformats.org/officeDocument/2006/relationships/hyperlink" Target="https://doi.org/10.1017/S0003055420000039" TargetMode="External"/><Relationship Id="rId85" Type="http://schemas.openxmlformats.org/officeDocument/2006/relationships/hyperlink" Target="https://doi.org/10.1017/S0266466606060063" TargetMode="External"/><Relationship Id="rId65" Type="http://schemas.openxmlformats.org/officeDocument/2006/relationships/hyperlink" Target="https://doi.org/10.1017/S146810992400001X" TargetMode="External"/><Relationship Id="rId66" Type="http://schemas.openxmlformats.org/officeDocument/2006/relationships/hyperlink" Target="https://doi.org/10.1017/S1468109925100224" TargetMode="External"/><Relationship Id="rId71" Type="http://schemas.openxmlformats.org/officeDocument/2006/relationships/hyperlink" Target="https://doi.org/10.1017/pan.2019.19" TargetMode="External"/><Relationship Id="rId79" Type="http://schemas.openxmlformats.org/officeDocument/2006/relationships/hyperlink" Target="https://doi.org/10.1017/pan.2025.2" TargetMode="External"/><Relationship Id="rId59" Type="http://schemas.openxmlformats.org/officeDocument/2006/relationships/hyperlink" Target="https://doi.org/10.1017/pan.2026.10048" TargetMode="External"/><Relationship Id="rId55" Type="http://schemas.openxmlformats.org/officeDocument/2006/relationships/hyperlink" Target="https://doi.org/10.1038/s41597-022-01745-0" TargetMode="External"/><Relationship Id="rId49" Type="http://schemas.openxmlformats.org/officeDocument/2006/relationships/hyperlink" Target="https://doi.org/10.1080/01402382.2019.1615322" TargetMode="External"/><Relationship Id="rId82" Type="http://schemas.openxmlformats.org/officeDocument/2006/relationships/hyperlink" Target="https://doi.org/10.1086/711717" TargetMode="External"/><Relationship Id="rId64" Type="http://schemas.openxmlformats.org/officeDocument/2006/relationships/hyperlink" Target="https://doi.org/10.1086/714932" TargetMode="External"/><Relationship Id="rId53" Type="http://schemas.openxmlformats.org/officeDocument/2006/relationships/hyperlink" Target="https://doi.org/10.1086/718354" TargetMode="External"/><Relationship Id="rId56" Type="http://schemas.openxmlformats.org/officeDocument/2006/relationships/hyperlink" Target="https://doi.org/10.1093/oxfordhb/9780199286546.003.0024" TargetMode="External"/><Relationship Id="rId69" Type="http://schemas.openxmlformats.org/officeDocument/2006/relationships/hyperlink" Target="https://doi.org/10.1093/pan/mpm017" TargetMode="External"/><Relationship Id="rId50" Type="http://schemas.openxmlformats.org/officeDocument/2006/relationships/hyperlink" Target="https://doi.org/10.1093/poq/nfx001" TargetMode="External"/><Relationship Id="rId91" Type="http://schemas.openxmlformats.org/officeDocument/2006/relationships/hyperlink" Target="https://doi.org/10.1093/restud/rdad018" TargetMode="External"/><Relationship Id="rId60" Type="http://schemas.openxmlformats.org/officeDocument/2006/relationships/hyperlink" Target="https://doi.org/10.1093/restud/rdy049" TargetMode="External"/><Relationship Id="rId57" Type="http://schemas.openxmlformats.org/officeDocument/2006/relationships/hyperlink" Target="https://doi.org/10.1111/1468-0262.00279" TargetMode="External"/><Relationship Id="rId62" Type="http://schemas.openxmlformats.org/officeDocument/2006/relationships/hyperlink" Target="https://doi.org/10.1111/j.1467-985X.2008.00551.x" TargetMode="External"/><Relationship Id="rId99" Type="http://schemas.openxmlformats.org/officeDocument/2006/relationships/hyperlink" Target="https://doi.org/10.1111/j.1467-985x.2004.02046_1.x" TargetMode="External"/><Relationship Id="rId70" Type="http://schemas.openxmlformats.org/officeDocument/2006/relationships/hyperlink" Target="https://doi.org/10.1111/j.1468-0262.2004.00555.x" TargetMode="External"/><Relationship Id="rId52" Type="http://schemas.openxmlformats.org/officeDocument/2006/relationships/hyperlink" Target="https://doi.org/10.1146/annurev-polisci-050317-071146" TargetMode="External"/><Relationship Id="rId97" Type="http://schemas.openxmlformats.org/officeDocument/2006/relationships/hyperlink" Target="https://doi.org/10.1146/annurev.economics.050708.143401" TargetMode="External"/><Relationship Id="rId63" Type="http://schemas.openxmlformats.org/officeDocument/2006/relationships/hyperlink" Target="https://doi.org/10.1146/annurev.polisci.11.053006.190912" TargetMode="External"/><Relationship Id="rId81" Type="http://schemas.openxmlformats.org/officeDocument/2006/relationships/hyperlink" Target="https://doi.org/10.1162/REST_a_00689" TargetMode="External"/><Relationship Id="rId54" Type="http://schemas.openxmlformats.org/officeDocument/2006/relationships/hyperlink" Target="https://doi.org/10.1177/1078087419827645" TargetMode="External"/><Relationship Id="rId73" Type="http://schemas.openxmlformats.org/officeDocument/2006/relationships/hyperlink" Target="https://doi.org/10.1257/app.20180192" TargetMode="External"/><Relationship Id="rId100" Type="http://schemas.openxmlformats.org/officeDocument/2006/relationships/hyperlink" Target="https://doi.org/10.17208/jkpa.2024.04.59.2.121" TargetMode="External"/><Relationship Id="rId72" Type="http://schemas.openxmlformats.org/officeDocument/2006/relationships/hyperlink" Target="https://doi.org/10.18854/kpsr.2021.55.2.004" TargetMode="External"/><Relationship Id="rId74" Type="http://schemas.openxmlformats.org/officeDocument/2006/relationships/hyperlink" Target="https://doi.org/10.18854/kpsr.2022.56.1.007" TargetMode="External"/><Relationship Id="rId58" Type="http://schemas.openxmlformats.org/officeDocument/2006/relationships/hyperlink" Target="https://doi.org/10.2307/2088122" TargetMode="External"/><Relationship Id="rId80" Type="http://schemas.openxmlformats.org/officeDocument/2006/relationships/hyperlink" Target="https://doi.org/10.32355/OUGHTOPIA.2019.08.34.2.121" TargetMode="External"/><Relationship Id="rId90" Type="http://schemas.openxmlformats.org/officeDocument/2006/relationships/hyperlink" Target="https://doi.org/10.35224/kapd.2013.13.1.007" TargetMode="External"/><Relationship Id="rId48" Type="http://schemas.openxmlformats.org/officeDocument/2006/relationships/hyperlink" Target="https://doi.org/10.3982/ECTA12675" TargetMode="External"/><Relationship Id="rId61" Type="http://schemas.openxmlformats.org/officeDocument/2006/relationships/hyperlink" Target="https://doi.org/10.3982/ECTA18979" TargetMode="External"/><Relationship Id="rId96" Type="http://schemas.openxmlformats.org/officeDocument/2006/relationships/hyperlink" Target="https://doi.org/10.3982/ECTA7347" TargetMode="External"/><Relationship Id="rId83" Type="http://schemas.openxmlformats.org/officeDocument/2006/relationships/hyperlink" Target="https://doi.org/10.3982/QE1288" TargetMode="External"/><Relationship Id="rId94" Type="http://schemas.openxmlformats.org/officeDocument/2006/relationships/hyperlink" Target="https://doi.org/10.52594/jcp.2022.12.15.3.5" TargetMode="External"/><Relationship Id="rId98" Type="http://schemas.openxmlformats.org/officeDocument/2006/relationships/hyperlink" Target="https://github.com/vuski/admdongkor" TargetMode="External"/><Relationship Id="rId78" Type="http://schemas.openxmlformats.org/officeDocument/2006/relationships/hyperlink" Target="https://hrcopinion.co.kr/archives/36779" TargetMode="External"/><Relationship Id="rId88" Type="http://schemas.openxmlformats.org/officeDocument/2006/relationships/hyperlink" Target="https://info.nec.go.kr/" TargetMode="External"/><Relationship Id="rId87" Type="http://schemas.openxmlformats.org/officeDocument/2006/relationships/hyperlink" Target="https://nec.go.kr/site/nec/ex/bbs/View.do?cbIdx=1147&amp;bcIdx=162661" TargetMode="External"/><Relationship Id="rId84" Type="http://schemas.openxmlformats.org/officeDocument/2006/relationships/hyperlink" Target="https://www.data.go.kr/" TargetMode="External"/><Relationship Id="rId89" Type="http://schemas.openxmlformats.org/officeDocument/2006/relationships/hyperlink" Target="https://www.law.go.kr/%EB%B2%95%EB%A0%B9/%EA%B3%B5%EC%A7%81%EC%84%A0%EA%B1%B0%EA%B4%80%EB%A6%AC%EA%B7%9C%EC%B9%99" TargetMode="External"/><Relationship Id="rId76" Type="http://schemas.openxmlformats.org/officeDocument/2006/relationships/hyperlink" Target="https://www.law.go.kr/%EB%B2%95%EB%A0%B9/%EA%B3%B5%EC%A7%81%EC%84%A0%EA%B1%B0%EB%B2%95" TargetMode="External"/><Relationship Id="rId86" Type="http://schemas.openxmlformats.org/officeDocument/2006/relationships/hyperlink" Target="https://www.nec.go.kr/site/lvt/ex/bbs/View.do?cbIdx=1507&amp;bcIdx=1780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Votes Without Neighborhoods: Housing Prices and the Geography of Conservative Voting in Seoul</dc:title>
  <dc:creator/>
  <cp:keywords/>
  <dcterms:created xsi:type="dcterms:W3CDTF">2026-10-14T06:44:25Z</dcterms:created>
  <dcterms:modified xsi:type="dcterms:W3CDTF">2026-10-14T06:44:25Z</dcterms:modified>
  <cp:lastModifiedBy/>
</cp:coreProperties>
</file>

<file path=docProps/custom.xml><?xml version="1.0" encoding="utf-8"?>
<Properties xmlns="http://schemas.openxmlformats.org/officeDocument/2006/custom-properties" xmlns:vt="http://schemas.openxmlformats.org/officeDocument/2006/docPropsVTypes"/>
</file>