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Votes</w:t>
      </w:r>
      <w:r>
        <w:t xml:space="preserve"> </w:t>
      </w:r>
      <w:r>
        <w:t xml:space="preserve">Without</w:t>
      </w:r>
      <w:r>
        <w:t xml:space="preserve"> </w:t>
      </w:r>
      <w:r>
        <w:t xml:space="preserve">Neighborhoods:</w:t>
      </w:r>
      <w:r>
        <w:t xml:space="preserve"> </w:t>
      </w:r>
      <w:r>
        <w:t xml:space="preserve">Housing</w:t>
      </w:r>
      <w:r>
        <w:t xml:space="preserve"> </w:t>
      </w:r>
      <w:r>
        <w:t xml:space="preserve">Prices</w:t>
      </w:r>
      <w:r>
        <w:t xml:space="preserve"> </w:t>
      </w:r>
      <w:r>
        <w:t xml:space="preserve">and</w:t>
      </w:r>
      <w:r>
        <w:t xml:space="preserve"> </w:t>
      </w:r>
      <w:r>
        <w:t xml:space="preserve">the</w:t>
      </w:r>
      <w:r>
        <w:t xml:space="preserve"> </w:t>
      </w:r>
      <w:r>
        <w:t xml:space="preserve">Geography</w:t>
      </w:r>
      <w:r>
        <w:t xml:space="preserve"> </w:t>
      </w:r>
      <w:r>
        <w:t xml:space="preserve">of</w:t>
      </w:r>
      <w:r>
        <w:t xml:space="preserve"> </w:t>
      </w:r>
      <w:r>
        <w:t xml:space="preserve">Conservative</w:t>
      </w:r>
      <w:r>
        <w:t xml:space="preserve"> </w:t>
      </w:r>
      <w:r>
        <w:t xml:space="preserve">Voting</w:t>
      </w:r>
      <w:r>
        <w:t xml:space="preserve"> </w:t>
      </w:r>
      <w:r>
        <w:t xml:space="preserve">in</w:t>
      </w:r>
      <w:r>
        <w:t xml:space="preserve"> </w:t>
      </w:r>
      <w:r>
        <w:t xml:space="preserve">Seoul</w:t>
      </w:r>
    </w:p>
    <w:p>
      <w:pPr>
        <w:pStyle w:val="FirstParagraph"/>
      </w:pPr>
      <w:r>
        <w:rPr>
          <w:bCs/>
          <w:b/>
        </w:rPr>
        <w:t xml:space="preserve">Abstract.</w:t>
      </w:r>
      <w:r>
        <w:t xml:space="preserve"> </w:t>
      </w:r>
      <w:r>
        <w:t xml:space="preserve">Neighborhood election returns can combine residents’ votes with ballots cast by people who live elsewhere. We examine how this reporting problem affects the association between housing prices and conservative voting in six Seoul elections, 2012–2026. The positive within-district gradient among election-day voters extends beyond Gangnam, Seocho and Songpa in 2012 and the four sampled elections from 2022. For residents across voting modes, allocation bounds give a different conclusion: returns alone leave the sign unresolved in every sampled election with nationwide early voting. Under reference restrictions on movement and composition, the gradient is positive in 2026, fragile in 2024, and unresolved in 2022 and 2025. The 2026 extension beyond the three districts remains sensitive to out-of-zone composition and the highest-price neighborhoods. Holding votes fixed, finer statutory zones can establish the sign under weaker restrictions. Exact reporting of out-of-zone ballots by registered neighborhood would guarantee reductions of 27–57% in the remaining range across the four recent elections under the reference restrictions. The findings distinguish the observed geography of housing-related voting from its conditional extension across voters, and quantify how reporting institutions shape the evidence for that extension.</w:t>
      </w:r>
    </w:p>
    <w:p>
      <w:pPr>
        <w:pStyle w:val="BodyText"/>
      </w:pPr>
      <w:r>
        <w:rPr>
          <w:bCs/>
          <w:b/>
        </w:rPr>
        <w:t xml:space="preserve">Keywords:</w:t>
      </w:r>
      <w:r>
        <w:t xml:space="preserve"> </w:t>
      </w:r>
      <w:r>
        <w:t xml:space="preserve">electoral geography; housing politics; Gangnam; early voting; election administration; South Korea</w:t>
      </w:r>
    </w:p>
    <w:bookmarkStart w:id="20" w:name="introduction"/>
    <w:p>
      <w:pPr>
        <w:pStyle w:val="Heading1"/>
      </w:pPr>
      <w:r>
        <w:t xml:space="preserve">1. Introduction</w:t>
      </w:r>
    </w:p>
    <w:p>
      <w:pPr>
        <w:pStyle w:val="FirstParagraph"/>
      </w:pPr>
      <w:r>
        <w:t xml:space="preserve">Housing prices and conservative voting are closely associated in Seoul, but the geographic reach of that relationship is less clear. Gangnam, Seocho and Songpa occupy a distinctive position in the city’s housing market and political geography (Son 2008, 2010; Bae and Joo 2020). A citywide association could reflect their contrast with the rest of Seoul, differences among neighborhoods within districts, or both. Establishing a broader pattern also requires identifying whose votes it represents. Early voters differ politically from election-day voters, and their ballots are not always reported where they live (Lee and Kwon 2019; Ka 2021; Han 2024).</w:t>
      </w:r>
    </w:p>
    <w:p>
      <w:pPr>
        <w:pStyle w:val="BodyText"/>
      </w:pPr>
      <w:r>
        <w:t xml:space="preserve">The June 2026 mayoral election illustrates the problem. A polling firm’s research note reported a correlation of 0.84 between apartment prices and Oh Se-hoon’s vote share across 424 administrative neighborhoods (</w:t>
      </w:r>
      <w:r>
        <w:rPr>
          <w:iCs/>
          <w:i/>
        </w:rPr>
        <w:t xml:space="preserve">dong</w:t>
      </w:r>
      <w:r>
        <w:t xml:space="preserve">), and 0.71 within districts (</w:t>
      </w:r>
      <w:r>
        <w:rPr>
          <w:iCs/>
          <w:i/>
        </w:rPr>
        <w:t xml:space="preserve">gu</w:t>
      </w:r>
      <w:r>
        <w:t xml:space="preserve">) (Lee 2026). The fine geographic detail suggests a precise account of local voting. Yet a neighborhood’s published total combines votes cast by some of its residents with votes cast there by residents of other neighborhoods, and omits ballots reported only at a larger scale.</w:t>
      </w:r>
    </w:p>
    <w:p>
      <w:pPr>
        <w:pStyle w:val="BodyText"/>
      </w:pPr>
      <w:r>
        <w:t xml:space="preserve">Since nationwide early voting began in 2014, a substantial share of Seoul’s ballots has been affected. In recent elections, 22–35% were cast early inside the voter’s statutory zone and counted at the station’s neighborhood. Another 12–15% were out-of-zone, at-home or overseas ballots reported only for a district or constituency. Only election-day ballots are attributed exactly to residential neighborhoods. Conservative support among in-zone early voters averaged 4 percentage points below the election-day share in the same counting jurisdiction (district, or constituency in 2024) in 2017, and 10, 12, 28 and 26 points below it in 2022, 2024, 2025 and 2026 (Online Appendix Table C5). Korean and comparative research documents political selection and participation differences under early and convenience voting (Ka 2021; Gronke et al. 2008; Kaplan and Yuan 2020). Assuming that these voters share election-day voters’ neighborhood pattern can therefore change the substantive conclusion.</w:t>
      </w:r>
    </w:p>
    <w:p>
      <w:pPr>
        <w:pStyle w:val="BodyText"/>
      </w:pPr>
      <w:r>
        <w:t xml:space="preserve">We examine six Seoul elections from 2012 to 2026. We distinguish associations across districts from those among neighborhoods within a district, then repeat the comparisons without Gangnam, Seocho and Songpa. For residents across all voting modes, we calculate the smallest and largest price–vote slopes consistent with published candidate counts, electoral rolls and statutory voting zones. These bounds show what the returns establish and how further restrictions on early-voter movement and composition change the answer.</w:t>
      </w:r>
    </w:p>
    <w:p>
      <w:pPr>
        <w:pStyle w:val="BodyText"/>
      </w:pPr>
      <w:r>
        <w:t xml:space="preserve">The price–vote association across districts is positive in all six elections. Within districts, the election-day gradient is positive in 2012 and the four sampled elections from 2022, including outside the three southeastern districts, and nearly flat in 2017. Extending that result across voting modes produces a different picture. Returns alone do not establish the sign after nationwide early voting began. Under our main assumptions, the slope is positive in 2026, narrowly positive and sensitive to specification in 2024, and unresolved in 2022 and 2025. Outside the three districts in 2026, a doubling of neighborhood prices corresponds to a fitted conservative roll-based share 2.0 to 9.6 points higher. This extension is more sensitive to out-of-zone composition and high-price neighborhoods than the whole-city result.</w:t>
      </w:r>
    </w:p>
    <w:p>
      <w:pPr>
        <w:pStyle w:val="BodyText"/>
      </w:pPr>
      <w:r>
        <w:t xml:space="preserve">Reporting rules help explain what can be learned from these returns. Applying the finer statutory zones to the same 2026 votes narrows the main range by about a quarter and can establish its sign under weaker restrictions. Reporting out-of-zone votes by residential neighborhood would guarantee a reduction of 27–57% in the remaining range across the four recent elections under the main assumptions. These are information gains from fixed votes, so they separate what administration reveals from changes in political behavior.</w:t>
      </w:r>
    </w:p>
    <w:p>
      <w:pPr>
        <w:pStyle w:val="BodyText"/>
      </w:pPr>
      <w:r>
        <w:t xml:space="preserve">The housing-politics contribution is to distinguish three claims that a single price–vote correlation can obscure: a contrast between the southeastern enclave and the rest of Seoul, a gradient among neighborhoods outside that enclave, and an association among residents across voting modes. Our results support these claims to different degrees. The 2026 gradient beyond the three districts remains sensitive to the highest-price neighborhoods, while the median-split contrast includes zero; an association outside Gangnam therefore need not describe a broad divide across the price distribution. The reporting analysis then measures which additional information could establish stronger residential comparisons. This is a measurement problem distinct from changing the size or boundaries of spatial units (Lee et al. 2025): ballots can be attributed to the wrong neighborhood even when boundaries remain fixed. Related problems arise for German postal ballots, Australian declaration votes and American precinct datasets that allocate absentee votes (Online Appendix B.5; Amos et al. 2017; Baltz et al. 2022). Explicit allocation bounds allow those residential claims to be assessed without selecting a single unobserved distribution of votes.</w:t>
      </w:r>
    </w:p>
    <w:bookmarkEnd w:id="20"/>
    <w:bookmarkStart w:id="21" w:name="housing-and-conservative-voting-in-seoul"/>
    <w:p>
      <w:pPr>
        <w:pStyle w:val="Heading1"/>
      </w:pPr>
      <w:r>
        <w:t xml:space="preserve">2. Housing and conservative voting in Seoul</w:t>
      </w:r>
    </w:p>
    <w:p>
      <w:pPr>
        <w:pStyle w:val="FirstParagraph"/>
      </w:pPr>
      <w:r>
        <w:t xml:space="preserve">Housing is a central axis of Korean political conflict. Son’s (2008, 2010) work on Seoul and the capital region found that homeownership, apartment residence and housing values tracked conservative voting across neighborhoods, a</w:t>
      </w:r>
      <w:r>
        <w:t xml:space="preserve"> </w:t>
      </w:r>
      <w:r>
        <w:t xml:space="preserve">“</w:t>
      </w:r>
      <w:r>
        <w:t xml:space="preserve">real-estate class society</w:t>
      </w:r>
      <w:r>
        <w:t xml:space="preserve">”</w:t>
      </w:r>
      <w:r>
        <w:t xml:space="preserve">. Survey research relates homeownership to vote choice (Lee and Kwon 2019; Shin 2022) and subjective class position to conservative support (Han 2026), and studies of administrative units relate housing values to conservative support across municipalities, districts and constituencies (Oh and Park 2013; Han 2024; Song and Kang 2025). In the transactions we use, the median neighborhood’s price per square meter roughly doubled between the twelve months before the 2017 and the 2022 presidential elections, and the conservative opposition won the 2021 Seoul mayoral by-election and the 2022 presidential election. Comparative work links housing wealth and local housing markets to political preferences and populist support (Ansell 2014, 2019; Larsen et al. 2019; Adler and Ansell 2020; Ansell et al. 2022), and in the United States buying a home increases turnout in local elections (Hall and Yoder 2022).</w:t>
      </w:r>
    </w:p>
    <w:p>
      <w:pPr>
        <w:pStyle w:val="BodyText"/>
      </w:pPr>
      <w:r>
        <w:t xml:space="preserve">Existing studies address different spatial scales. Han (2024) relates conservative support to average apartment prices across districts, treating housing wealth as a regional characteristic. Bae and Joo (2020) explain Gangnam’s conservatism through the construction of place identity: residents’ efforts to preserve the area’s exclusivity and transmit it to their children. Their account raises the question of how much a citywide price gradient depends on this distinctive area. Dong-level studies examine finer spatial differences, relating price levels or price changes to electoral outcomes (Kim and Kang 2022; Yun and Jun 2024; Lee 2026). Such studies address related but distinct quantities; an association involving price changes does not directly test the price-level gradient examined here. Substantial variation within districts makes the latter question relevant: in our 2026 transaction data, median apartment prices per square meter differ by a median of 24% between adjacent neighborhoods in the same district, and 39% of the variance of log neighborhood prices lies within districts.</w:t>
      </w:r>
    </w:p>
    <w:p>
      <w:pPr>
        <w:pStyle w:val="BodyText"/>
      </w:pPr>
      <w:r>
        <w:t xml:space="preserve">Owners’ economic interests (Fischel 2001; Marble and Nall 2021), residential sorting (Rodden 2019) and place identity offer different explanations for the observed relationship. Neighborhood prices may reflect the households that select into an area, their shared policy interests, or the identity attached to living there. These mechanisms can also operate outside wealthy enclaves and vary with local conditions (Hankinson 2018). Finding a price gradient beyond Gangnam would therefore extend the geography to be explained, without choosing among these mechanisms.</w:t>
      </w:r>
    </w:p>
    <w:p>
      <w:pPr>
        <w:pStyle w:val="BodyText"/>
      </w:pPr>
      <w:r>
        <w:t xml:space="preserve">The comparisons answer progressively narrower empirical questions. District-level estimates describe differences across Seoul; district fixed effects ask whether more expensive neighborhoods also vote more conservatively than other neighborhoods in the same district. Excluding Gangnam, Seocho and Songpa tests how much that relation depends on the southeastern enclave. Finally, comparing election-day voters with residents across all voting modes tests whether the pattern extends to politically different early voters. Income, age and residential selection remain possible explanations of the neighborhood association. The analysis identifies its geographic and electoral reach, not a causal effect of housing wealth. The distinction between excluding a named enclave and excluding the price distribution’s upper tail is substantively useful: it asks whether the pattern is confined to one place or remains concentrated among expensive places elsewhere. Neither comparison identifies owners’ interests, sorting or place identity as the mechanism.</w:t>
      </w:r>
    </w:p>
    <w:p>
      <w:pPr>
        <w:pStyle w:val="BodyText"/>
      </w:pPr>
      <w:r>
        <w:t xml:space="preserve">The primary estimand is the</w:t>
      </w:r>
      <w:r>
        <w:t xml:space="preserve"> </w:t>
      </w:r>
      <w:r>
        <w:rPr>
          <w:iCs/>
          <w:i/>
        </w:rPr>
        <w:t xml:space="preserve">gradient</w:t>
      </w:r>
      <w:r>
        <w:t xml:space="preserve">: the slope of the conservative share on log apartment price, with a separate intercept for each district and equal weight for each priced neighborhood. It measures the price–vote relation within districts. A slope of 0.1 corresponds to a fitted share about 6.9 percentage points higher when prices double. Neighborhoods far from their district’s mean log price contribute more to the slope, so Section 4.5 examines the influence of the most expensive neighborhoods. Secondary</w:t>
      </w:r>
      <w:r>
        <w:t xml:space="preserve"> </w:t>
      </w:r>
      <w:r>
        <w:rPr>
          <w:iCs/>
          <w:i/>
        </w:rPr>
        <w:t xml:space="preserve">contrasts</w:t>
      </w:r>
      <w:r>
        <w:t xml:space="preserve"> </w:t>
      </w:r>
      <w:r>
        <w:t xml:space="preserve">compare higher- and lower-price groups within each district, using the median split and top versus bottom third, then average those differences with weights proportional to each district’s number of priced neighborhoods. The slope and contrasts summarize different features of the same association and can yield different sign conclusions.</w:t>
      </w:r>
    </w:p>
    <w:bookmarkEnd w:id="21"/>
    <w:bookmarkStart w:id="29" w:name="Xf1c0e19a1bc97595d85ee581cabc4cf69508e9a"/>
    <w:p>
      <w:pPr>
        <w:pStyle w:val="Heading1"/>
      </w:pPr>
      <w:r>
        <w:t xml:space="preserve">3. Electoral reporting, data and identification</w:t>
      </w:r>
    </w:p>
    <w:bookmarkStart w:id="25" w:name="electoral-reporting-rules"/>
    <w:p>
      <w:pPr>
        <w:pStyle w:val="Heading2"/>
      </w:pPr>
      <w:r>
        <w:t xml:space="preserve">3.1 Electoral reporting rules</w:t>
      </w:r>
    </w:p>
    <w:p>
      <w:pPr>
        <w:pStyle w:val="FirstParagraph"/>
      </w:pPr>
      <w:r>
        <w:t xml:space="preserve">Korea reports election results by voting district and therefore by administrative neighborhood, a unit with about 19,500 electors in Seoul. Box 1 and Figure 1 summarize where each kind of ballot is counted. Election-day ballots are counted in the voter’s own voting district. Since the April 2013 by-elections and nationwide since 2014, any voter can also vote early at any station in the country. In-zone early voters cast a ballot within their designated zone, placing it directly in the station’s ballot box; it is then counted for the station’s neighborhood. The statutory zone coincides with the district only in some elections; the terms in-zone and out-of-zone refer to that election-specific boundary. Out-of-zone early voters seal their ballot in an envelope that is mailed to their district commission and counted only for the district, as are at-home and overseas ballots. Before 2014, voters who could not vote on election day registered as absentees and their ballots were likewise reported only for the district; only 3.4% of Seoul ballots were pooled in 2012.</w:t>
      </w:r>
    </w:p>
    <w:p>
      <w:pPr>
        <w:pStyle w:val="BodyText"/>
      </w:pPr>
      <w:r>
        <w:t xml:space="preserve">The early-voting zone is decisive for our question, because a voter can be misattributed to another neighborhood only inside it. In presidential elections the zone is the whole district, about 17 neighborhoods; in National Assembly elections it is the constituency where a district holds two or more (Regulations, Art. 86(3)). In the 2026 local elections it was the district-council constituency (Regulations, Art. 133(3); National Election Commission 2022a): 155 constituencies in Seoul, with 2.8 neighborhoods on average. The council returns are consistent with this restriction: at all 320 early-voting stations in contested constituencies, the number of early voters in the council contest equals the number in the mayoral contest.</w:t>
      </w:r>
    </w:p>
    <w:p>
      <w:pPr>
        <w:pStyle w:val="BodyText"/>
      </w:pPr>
      <w:r>
        <w:t xml:space="preserve">Two features of the published data make inference possible. The election-day roll is printed after early voting with early voters marked, so the difference between each neighborhood’s electorate and its election-day roll counts the residents removed from that roll: those who voted early or were registered to vote at home or abroad, some of whom cast no counted ballot. And pooled-ballot totals are published by candidate for each counting jurisdiction. With each station’s count, these numbers constrain how the unattributed ballots can have been distributed.</w:t>
      </w:r>
    </w:p>
    <w:p>
      <w:pPr>
        <w:pStyle w:val="BodyText"/>
        <w:keepNext/>
      </w:pPr>
      <w:r>
        <w:rPr>
          <w:bCs/>
          <w:b/>
        </w:rPr>
        <w:t xml:space="preserve">Box 1. Where Korean ballots are reported</w:t>
      </w:r>
    </w:p>
    <w:p>
      <w:pPr>
        <w:pStyle w:val="BodyText"/>
        <w:keepNext/>
      </w:pPr>
      <w:r>
        <w:rPr>
          <w:iCs/>
          <w:i/>
        </w:rPr>
        <w:t xml:space="preserve">Legal sources:</w:t>
      </w:r>
      <w:r>
        <w:t xml:space="preserve"> </w:t>
      </w:r>
      <w:r>
        <w:t xml:space="preserve">Public Official Election Act (Act; Korea n.d.) and Regulations on Public Official Elections (Regulations; National Election Commission n.d.), in the versions in force at each election.</w:t>
      </w:r>
    </w:p>
    <w:tbl>
      <w:tblPr>
        <w:tblStyle w:val="Table"/>
        <w:tblW w:type="pct" w:w="5000"/>
        <w:tblLayout w:type="fixed"/>
        <w:tblLook w:firstRow="1" w:lastRow="0" w:firstColumn="0" w:lastColumn="0" w:noHBand="0" w:noVBand="0" w:val="0020"/>
        <w:jc w:val="start"/>
      </w:tblPr>
      <w:tblGrid>
        <w:gridCol w:w="3024"/>
        <w:gridCol w:w="3024"/>
        <w:gridCol w:w="3024"/>
      </w:tblGrid>
      <w:tr>
        <w:trPr>
          <w:tblHeader w:val="true"/>
          <w:cantSplit/>
        </w:trPr>
        <w:tc>
          <w:tcPr>
            <w:tcW w:type="dxa" w:w="3024"/>
          </w:tcPr>
          <w:p>
            <w:pPr>
              <w:pStyle w:val="Compact"/>
              <w:keepNext/>
              <w:keepLines/>
              <w:spacing w:before="0" w:after="40" w:line="240" w:lineRule="auto"/>
              <w:jc w:val="left"/>
            </w:pPr>
            <w:r>
              <w:rPr>
                <w:sz w:val="18"/>
              </w:rPr>
              <w:t xml:space="preserve">Ballot</w:t>
            </w:r>
          </w:p>
        </w:tc>
        <w:tc>
          <w:tcPr>
            <w:tcW w:type="dxa" w:w="3024"/>
          </w:tcPr>
          <w:p>
            <w:pPr>
              <w:pStyle w:val="Compact"/>
              <w:keepNext/>
              <w:keepLines/>
              <w:spacing w:before="0" w:after="40" w:line="240" w:lineRule="auto"/>
              <w:jc w:val="center"/>
            </w:pPr>
            <w:r>
              <w:rPr>
                <w:sz w:val="18"/>
              </w:rPr>
              <w:t xml:space="preserve">Rule</w:t>
            </w:r>
          </w:p>
        </w:tc>
        <w:tc>
          <w:tcPr>
            <w:tcW w:type="dxa" w:w="3024"/>
          </w:tcPr>
          <w:p>
            <w:pPr>
              <w:pStyle w:val="Compact"/>
              <w:keepNext/>
              <w:keepLines/>
              <w:spacing w:before="0" w:after="40" w:line="240" w:lineRule="auto"/>
              <w:jc w:val="center"/>
            </w:pPr>
            <w:r>
              <w:rPr>
                <w:sz w:val="18"/>
              </w:rPr>
              <w:t xml:space="preserve">Where reported</w:t>
            </w:r>
          </w:p>
        </w:tc>
      </w:tr>
      <w:tr>
        <w:trPr>
          <w:cantSplit/>
        </w:trPr>
        <w:tc>
          <w:tcPr>
            <w:tcW w:type="dxa" w:w="3024"/>
          </w:tcPr>
          <w:p>
            <w:pPr>
              <w:pStyle w:val="Compact"/>
              <w:keepNext/>
              <w:keepLines/>
              <w:spacing w:before="0" w:after="40" w:line="240" w:lineRule="auto"/>
              <w:jc w:val="left"/>
            </w:pPr>
            <w:r>
              <w:rPr>
                <w:sz w:val="18"/>
              </w:rPr>
              <w:t xml:space="preserve">Election day</w:t>
            </w:r>
          </w:p>
        </w:tc>
        <w:tc>
          <w:tcPr>
            <w:tcW w:type="dxa" w:w="3024"/>
          </w:tcPr>
          <w:p>
            <w:pPr>
              <w:pStyle w:val="Compact"/>
              <w:keepNext/>
              <w:keepLines/>
              <w:spacing w:before="0" w:after="40" w:line="240" w:lineRule="auto"/>
              <w:jc w:val="center"/>
            </w:pPr>
            <w:r>
              <w:rPr>
                <w:sz w:val="18"/>
              </w:rPr>
              <w:t xml:space="preserve">Counted and published by voting district (Act, Art. 178)</w:t>
            </w:r>
          </w:p>
        </w:tc>
        <w:tc>
          <w:tcPr>
            <w:tcW w:type="dxa" w:w="3024"/>
          </w:tcPr>
          <w:p>
            <w:pPr>
              <w:pStyle w:val="Compact"/>
              <w:keepNext/>
              <w:keepLines/>
              <w:spacing w:before="0" w:after="40" w:line="240" w:lineRule="auto"/>
              <w:jc w:val="center"/>
            </w:pPr>
            <w:r>
              <w:rPr>
                <w:sz w:val="18"/>
              </w:rPr>
              <w:t xml:space="preserve">Voting district, hence neighborhood</w:t>
            </w:r>
          </w:p>
        </w:tc>
      </w:tr>
      <w:tr>
        <w:trPr>
          <w:cantSplit/>
        </w:trPr>
        <w:tc>
          <w:tcPr>
            <w:tcW w:type="dxa" w:w="3024"/>
          </w:tcPr>
          <w:p>
            <w:pPr>
              <w:pStyle w:val="Compact"/>
              <w:keepNext/>
              <w:keepLines/>
              <w:spacing w:before="0" w:after="40" w:line="240" w:lineRule="auto"/>
              <w:jc w:val="left"/>
            </w:pPr>
            <w:r>
              <w:rPr>
                <w:sz w:val="18"/>
              </w:rPr>
              <w:t xml:space="preserve">In-zone early</w:t>
            </w:r>
          </w:p>
        </w:tc>
        <w:tc>
          <w:tcPr>
            <w:tcW w:type="dxa" w:w="3024"/>
          </w:tcPr>
          <w:p>
            <w:pPr>
              <w:pStyle w:val="Compact"/>
              <w:keepNext/>
              <w:keepLines/>
              <w:spacing w:before="0" w:after="40" w:line="240" w:lineRule="auto"/>
              <w:jc w:val="center"/>
            </w:pPr>
            <w:r>
              <w:rPr>
                <w:sz w:val="18"/>
              </w:rPr>
              <w:t xml:space="preserve">No envelope inside the zone (Act, Art. 158(5); zone: Regulations, Arts. 86(3), 133(3)); each station’s box is counted separately</w:t>
            </w:r>
          </w:p>
        </w:tc>
        <w:tc>
          <w:tcPr>
            <w:tcW w:type="dxa" w:w="3024"/>
          </w:tcPr>
          <w:p>
            <w:pPr>
              <w:pStyle w:val="Compact"/>
              <w:keepNext/>
              <w:keepLines/>
              <w:spacing w:before="0" w:after="40" w:line="240" w:lineRule="auto"/>
              <w:jc w:val="center"/>
            </w:pPr>
            <w:r>
              <w:rPr>
                <w:sz w:val="18"/>
              </w:rPr>
              <w:t xml:space="preserve">Station’s neighborhood</w:t>
            </w:r>
          </w:p>
        </w:tc>
      </w:tr>
      <w:tr>
        <w:trPr>
          <w:cantSplit/>
        </w:trPr>
        <w:tc>
          <w:tcPr>
            <w:tcW w:type="dxa" w:w="3024"/>
          </w:tcPr>
          <w:p>
            <w:pPr>
              <w:pStyle w:val="Compact"/>
              <w:keepNext/>
              <w:keepLines/>
              <w:spacing w:before="0" w:after="40" w:line="240" w:lineRule="auto"/>
              <w:jc w:val="left"/>
            </w:pPr>
            <w:r>
              <w:rPr>
                <w:sz w:val="18"/>
              </w:rPr>
              <w:t xml:space="preserve">Out-of-zone early</w:t>
            </w:r>
          </w:p>
        </w:tc>
        <w:tc>
          <w:tcPr>
            <w:tcW w:type="dxa" w:w="3024"/>
          </w:tcPr>
          <w:p>
            <w:pPr>
              <w:pStyle w:val="Compact"/>
              <w:keepNext/>
              <w:keepLines/>
              <w:spacing w:before="0" w:after="40" w:line="240" w:lineRule="auto"/>
              <w:jc w:val="center"/>
            </w:pPr>
            <w:r>
              <w:rPr>
                <w:sz w:val="18"/>
              </w:rPr>
              <w:t xml:space="preserve">Envelope mailed to the voter’s district commission (Act, Arts. 158, 176)</w:t>
            </w:r>
          </w:p>
        </w:tc>
        <w:tc>
          <w:tcPr>
            <w:tcW w:type="dxa" w:w="3024"/>
          </w:tcPr>
          <w:p>
            <w:pPr>
              <w:pStyle w:val="Compact"/>
              <w:keepNext/>
              <w:keepLines/>
              <w:spacing w:before="0" w:after="40" w:line="240" w:lineRule="auto"/>
              <w:jc w:val="center"/>
            </w:pPr>
            <w:r>
              <w:rPr>
                <w:sz w:val="18"/>
              </w:rPr>
              <w:t xml:space="preserve">District or constituency</w:t>
            </w:r>
          </w:p>
        </w:tc>
      </w:tr>
      <w:tr>
        <w:trPr>
          <w:cantSplit/>
        </w:trPr>
        <w:tc>
          <w:tcPr>
            <w:tcW w:type="dxa" w:w="3024"/>
          </w:tcPr>
          <w:p>
            <w:pPr>
              <w:pStyle w:val="Compact"/>
              <w:keepNext/>
              <w:keepLines/>
              <w:spacing w:before="0" w:after="40" w:line="240" w:lineRule="auto"/>
              <w:jc w:val="left"/>
            </w:pPr>
            <w:r>
              <w:rPr>
                <w:sz w:val="18"/>
              </w:rPr>
              <w:t xml:space="preserve">At-home, shipboard, overseas</w:t>
            </w:r>
          </w:p>
        </w:tc>
        <w:tc>
          <w:tcPr>
            <w:tcW w:type="dxa" w:w="3024"/>
          </w:tcPr>
          <w:p>
            <w:pPr>
              <w:pStyle w:val="Compact"/>
              <w:keepNext/>
              <w:keepLines/>
              <w:spacing w:before="0" w:after="40" w:line="240" w:lineRule="auto"/>
              <w:jc w:val="center"/>
            </w:pPr>
            <w:r>
              <w:rPr>
                <w:sz w:val="18"/>
              </w:rPr>
              <w:t xml:space="preserve">Registered in advance; mailed to the district commission</w:t>
            </w:r>
          </w:p>
        </w:tc>
        <w:tc>
          <w:tcPr>
            <w:tcW w:type="dxa" w:w="3024"/>
          </w:tcPr>
          <w:p>
            <w:pPr>
              <w:pStyle w:val="Compact"/>
              <w:keepNext/>
              <w:keepLines/>
              <w:spacing w:before="0" w:after="40" w:line="240" w:lineRule="auto"/>
              <w:jc w:val="center"/>
            </w:pPr>
            <w:r>
              <w:rPr>
                <w:sz w:val="18"/>
              </w:rPr>
              <w:t xml:space="preserve">District or constituency</w:t>
            </w:r>
          </w:p>
        </w:tc>
      </w:tr>
      <w:tr>
        <w:trPr>
          <w:cantSplit/>
        </w:trPr>
        <w:tc>
          <w:tcPr>
            <w:tcW w:type="dxa" w:w="3024"/>
          </w:tcPr>
          <w:p>
            <w:pPr>
              <w:pStyle w:val="Compact"/>
              <w:keepNext w:val="0"/>
              <w:keepLines/>
              <w:spacing w:before="0" w:after="40" w:line="240" w:lineRule="auto"/>
              <w:jc w:val="left"/>
            </w:pPr>
            <w:r>
              <w:rPr>
                <w:sz w:val="18"/>
              </w:rPr>
              <w:t xml:space="preserve">Election-day roll</w:t>
            </w:r>
          </w:p>
        </w:tc>
        <w:tc>
          <w:tcPr>
            <w:tcW w:type="dxa" w:w="3024"/>
          </w:tcPr>
          <w:p>
            <w:pPr>
              <w:pStyle w:val="Compact"/>
              <w:keepNext w:val="0"/>
              <w:keepLines/>
              <w:spacing w:before="0" w:after="40" w:line="240" w:lineRule="auto"/>
              <w:jc w:val="center"/>
            </w:pPr>
            <w:r>
              <w:rPr>
                <w:sz w:val="18"/>
              </w:rPr>
              <w:t xml:space="preserve">Printed after early voting, early voters marked (Regulations, Art. 16-2)</w:t>
            </w:r>
          </w:p>
        </w:tc>
        <w:tc>
          <w:tcPr>
            <w:tcW w:type="dxa" w:w="3024"/>
          </w:tcPr>
          <w:p>
            <w:pPr>
              <w:pStyle w:val="Compact"/>
              <w:keepNext w:val="0"/>
              <w:keepLines/>
              <w:spacing w:before="0" w:after="40" w:line="240" w:lineRule="auto"/>
              <w:jc w:val="center"/>
            </w:pPr>
            <w:r>
              <w:rPr>
                <w:sz w:val="18"/>
              </w:rPr>
              <w:t xml:space="preserve">Residents removed from the roll</w:t>
            </w:r>
          </w:p>
        </w:tc>
      </w:tr>
    </w:tbl>
    <w:p>
      <w:pPr>
        <w:pStyle w:val="CaptionedFigure"/>
        <w:keepNext/>
      </w:pPr>
      <w:r>
        <w:drawing>
          <wp:inline>
            <wp:extent cx="4800600" cy="2275716"/>
            <wp:effectExtent b="0" l="0" r="0" t="0"/>
            <wp:docPr descr="Figure 1. Where a Seoul resident’s ballot is reported, by voting mode, since 2014. The zone is the district; in National Assembly elections, the constituency where a district holds two or more; in local elections, the district-council constituency." title="" id="23" name="Picture"/>
            <a:graphic>
              <a:graphicData uri="http://schemas.openxmlformats.org/drawingml/2006/picture">
                <pic:pic>
                  <pic:nvPicPr>
                    <pic:cNvPr descr="figures/fig1_flow.png" id="24" name="Picture"/>
                    <pic:cNvPicPr>
                      <a:picLocks noChangeArrowheads="1" noChangeAspect="1"/>
                    </pic:cNvPicPr>
                  </pic:nvPicPr>
                  <pic:blipFill>
                    <a:blip r:embed="rId22"/>
                    <a:stretch>
                      <a:fillRect/>
                    </a:stretch>
                  </pic:blipFill>
                  <pic:spPr bwMode="auto">
                    <a:xfrm>
                      <a:off x="0" y="0"/>
                      <a:ext cx="4800600" cy="2275716"/>
                    </a:xfrm>
                    <a:prstGeom prst="rect">
                      <a:avLst/>
                    </a:prstGeom>
                    <a:noFill/>
                    <a:ln w="9525">
                      <a:noFill/>
                      <a:headEnd/>
                      <a:tailEnd/>
                    </a:ln>
                  </pic:spPr>
                </pic:pic>
              </a:graphicData>
            </a:graphic>
          </wp:inline>
        </w:drawing>
      </w:r>
    </w:p>
    <w:p>
      <w:pPr>
        <w:pStyle w:val="ImageCaption"/>
      </w:pPr>
      <w:r>
        <w:t xml:space="preserve">Figure 1. Where a Seoul resident’s ballot is reported, by voting mode, since 2014. The zone is the district; in National Assembly elections, the constituency where a district holds two or more; in local elections, the district-council constituency.</w:t>
      </w:r>
    </w:p>
    <w:bookmarkEnd w:id="25"/>
    <w:bookmarkStart w:id="26" w:name="data"/>
    <w:p>
      <w:pPr>
        <w:sectPr>
          <w:pgMar w:top="1417" w:bottom="1417" w:left="1417" w:right="1417"/>
          <w:pgSz w:w="11906" w:h="16838" w:orient="portrait"/>
          <w:type w:val="nextPage"/>
        </w:sectPr>
      </w:pPr>
    </w:p>
    <w:p>
      <w:pPr>
        <w:pStyle w:val="Heading2"/>
      </w:pPr>
      <w:r>
        <w:t xml:space="preserve">3.2 Data</w:t>
      </w:r>
    </w:p>
    <w:p>
      <w:pPr>
        <w:pStyle w:val="FirstParagraph"/>
      </w:pPr>
      <w:r>
        <w:t xml:space="preserve">We study the presidential elections of 2012, 2017, 2022 and 2025, the 2024 National Assembly election and the 2026 election of the mayor of Seoul (Table 1). The four presidential contests permit same-office comparisons. The legislative and mayoral contests provide different early-voting zones: parliamentary constituencies in 2024 and smaller district-council constituencies in 2026. The dataset covers these six contests; the cross-election comparisons do not estimate a continuous trend (Online Appendix B.1).</w:t>
      </w:r>
    </w:p>
    <w:p>
      <w:pPr>
        <w:pStyle w:val="BodyText"/>
      </w:pPr>
      <w:r>
        <w:t xml:space="preserve">Returns and electorates are the National Election Commission’s official counting-unit files and electorate records (National Election Commission 2026). The 2026 zones come from its official table of council constituencies and neighborhoods. We measure support for the main conservative candidate: Park Geun-hye (2012), Hong Joon-pyo (2017), Yoon Suk Yeol (2022), the People Power Party’s constituency candidates (2024), Kim Moon-soo (2025) and Oh Se-hoon (2026). In 2017 the conservative vote was split. Combining Hong with Yoo Seung-min also leaves the within-district sign unresolved under returns alone and minimal movement (Online Appendix Table C26).</w:t>
      </w:r>
    </w:p>
    <w:p>
      <w:pPr>
        <w:pStyle w:val="TableCaption"/>
        <w:keepNext/>
      </w:pPr>
      <w:r>
        <w:t xml:space="preserve">Table 1. Elections, reporting units and ballot coverage</w:t>
      </w:r>
    </w:p>
    <w:tbl>
      <w:tblPr>
        <w:tblStyle w:val="Table"/>
        <w:tblW w:type="pct" w:w="5000"/>
        <w:tblLayout w:type="fixed"/>
        <w:tblLook w:firstRow="1" w:lastRow="0" w:firstColumn="0" w:lastColumn="0" w:noHBand="0" w:noVBand="0" w:val="0020"/>
        <w:jc w:val="start"/>
        <w:tblCaption w:val="Table 1. Elections, reporting units and ballot coverage"/>
      </w:tblPr>
      <w:tblGrid>
        <w:gridCol w:w="1305"/>
        <w:gridCol w:w="2136"/>
        <w:gridCol w:w="3205"/>
        <w:gridCol w:w="1187"/>
        <w:gridCol w:w="1187"/>
        <w:gridCol w:w="1187"/>
        <w:gridCol w:w="1187"/>
        <w:gridCol w:w="1424"/>
        <w:gridCol w:w="1187"/>
      </w:tblGrid>
      <w:tr>
        <w:trPr>
          <w:tblHeader w:val="true"/>
          <w:cantSplit/>
        </w:trPr>
        <w:tc>
          <w:tcPr>
            <w:tcW w:type="dxa" w:w="1305"/>
          </w:tcPr>
          <w:p>
            <w:pPr>
              <w:pStyle w:val="Compact"/>
              <w:keepNext/>
              <w:keepLines/>
              <w:spacing w:before="0" w:after="40" w:line="240" w:lineRule="auto"/>
              <w:jc w:val="left"/>
            </w:pPr>
            <w:r>
              <w:rPr>
                <w:sz w:val="18"/>
              </w:rPr>
              <w:t xml:space="preserve">Election</w:t>
            </w:r>
          </w:p>
        </w:tc>
        <w:tc>
          <w:tcPr>
            <w:tcW w:type="dxa" w:w="2136"/>
          </w:tcPr>
          <w:p>
            <w:pPr>
              <w:pStyle w:val="Compact"/>
              <w:keepNext/>
              <w:keepLines/>
              <w:spacing w:before="0" w:after="40" w:line="240" w:lineRule="auto"/>
              <w:jc w:val="center"/>
            </w:pPr>
            <w:r>
              <w:rPr>
                <w:sz w:val="18"/>
              </w:rPr>
              <w:t xml:space="preserve">Pooled ballots reported for</w:t>
            </w:r>
          </w:p>
        </w:tc>
        <w:tc>
          <w:tcPr>
            <w:tcW w:type="dxa" w:w="3205"/>
          </w:tcPr>
          <w:p>
            <w:pPr>
              <w:pStyle w:val="Compact"/>
              <w:keepNext/>
              <w:keepLines/>
              <w:spacing w:before="0" w:after="40" w:line="240" w:lineRule="auto"/>
              <w:jc w:val="center"/>
            </w:pPr>
            <w:r>
              <w:rPr>
                <w:sz w:val="18"/>
              </w:rPr>
              <w:t xml:space="preserve">In-zone early zone</w:t>
            </w:r>
          </w:p>
        </w:tc>
        <w:tc>
          <w:tcPr>
            <w:tcW w:type="dxa" w:w="1187"/>
          </w:tcPr>
          <w:p>
            <w:pPr>
              <w:pStyle w:val="Compact"/>
              <w:keepNext/>
              <w:keepLines/>
              <w:spacing w:before="0" w:after="40" w:line="240" w:lineRule="auto"/>
              <w:jc w:val="center"/>
            </w:pPr>
            <w:r>
              <w:rPr>
                <w:sz w:val="18"/>
              </w:rPr>
              <w:t xml:space="preserve">Dongs</w:t>
            </w:r>
          </w:p>
        </w:tc>
        <w:tc>
          <w:tcPr>
            <w:tcW w:type="dxa" w:w="1187"/>
          </w:tcPr>
          <w:p>
            <w:pPr>
              <w:pStyle w:val="Compact"/>
              <w:keepNext/>
              <w:keepLines/>
              <w:spacing w:before="0" w:after="40" w:line="240" w:lineRule="auto"/>
              <w:jc w:val="center"/>
            </w:pPr>
            <w:r>
              <w:rPr>
                <w:sz w:val="18"/>
              </w:rPr>
              <w:t xml:space="preserve">Dongs with price</w:t>
            </w:r>
          </w:p>
        </w:tc>
        <w:tc>
          <w:tcPr>
            <w:tcW w:type="dxa" w:w="1187"/>
          </w:tcPr>
          <w:p>
            <w:pPr>
              <w:pStyle w:val="Compact"/>
              <w:keepNext/>
              <w:keepLines/>
              <w:spacing w:before="0" w:after="40" w:line="240" w:lineRule="auto"/>
              <w:jc w:val="center"/>
            </w:pPr>
            <w:r>
              <w:rPr>
                <w:sz w:val="18"/>
              </w:rPr>
              <w:t xml:space="preserve">Pooled share</w:t>
            </w:r>
          </w:p>
        </w:tc>
        <w:tc>
          <w:tcPr>
            <w:tcW w:type="dxa" w:w="1187"/>
          </w:tcPr>
          <w:p>
            <w:pPr>
              <w:pStyle w:val="Compact"/>
              <w:keepNext/>
              <w:keepLines/>
              <w:spacing w:before="0" w:after="40" w:line="240" w:lineRule="auto"/>
              <w:jc w:val="center"/>
            </w:pPr>
            <w:r>
              <w:rPr>
                <w:sz w:val="18"/>
              </w:rPr>
              <w:t xml:space="preserve">In-zone early share</w:t>
            </w:r>
          </w:p>
        </w:tc>
        <w:tc>
          <w:tcPr>
            <w:tcW w:type="dxa" w:w="1424"/>
          </w:tcPr>
          <w:p>
            <w:pPr>
              <w:pStyle w:val="Compact"/>
              <w:keepNext/>
              <w:keepLines/>
              <w:spacing w:before="0" w:after="40" w:line="240" w:lineRule="auto"/>
              <w:jc w:val="center"/>
            </w:pPr>
            <w:r>
              <w:rPr>
                <w:sz w:val="18"/>
              </w:rPr>
              <w:t xml:space="preserve">Out-of-zone share of early ballots</w:t>
            </w:r>
          </w:p>
        </w:tc>
        <w:tc>
          <w:tcPr>
            <w:tcW w:type="dxa" w:w="1187"/>
          </w:tcPr>
          <w:p>
            <w:pPr>
              <w:pStyle w:val="Compact"/>
              <w:keepNext/>
              <w:keepLines/>
              <w:spacing w:before="0" w:after="40" w:line="240" w:lineRule="auto"/>
              <w:jc w:val="center"/>
            </w:pPr>
            <w:r>
              <w:rPr>
                <w:sz w:val="18"/>
              </w:rPr>
              <w:t xml:space="preserve">Stations with forced movement</w:t>
            </w:r>
          </w:p>
        </w:tc>
      </w:tr>
      <w:tr>
        <w:trPr>
          <w:cantSplit/>
        </w:trPr>
        <w:tc>
          <w:tcPr>
            <w:tcW w:type="dxa" w:w="1305"/>
          </w:tcPr>
          <w:p>
            <w:pPr>
              <w:pStyle w:val="Compact"/>
              <w:keepNext/>
              <w:keepLines/>
              <w:spacing w:before="0" w:after="40" w:line="240" w:lineRule="auto"/>
              <w:jc w:val="left"/>
            </w:pPr>
            <w:r>
              <w:rPr>
                <w:sz w:val="18"/>
              </w:rPr>
              <w:t xml:space="preserve">2012 pres.</w:t>
            </w:r>
          </w:p>
        </w:tc>
        <w:tc>
          <w:tcPr>
            <w:tcW w:type="dxa" w:w="2136"/>
          </w:tcPr>
          <w:p>
            <w:pPr>
              <w:pStyle w:val="Compact"/>
              <w:keepNext/>
              <w:keepLines/>
              <w:spacing w:before="0" w:after="40" w:line="240" w:lineRule="auto"/>
              <w:jc w:val="center"/>
            </w:pPr>
            <w:r>
              <w:rPr>
                <w:sz w:val="18"/>
              </w:rPr>
              <w:t xml:space="preserve">25 gu</w:t>
            </w:r>
          </w:p>
        </w:tc>
        <w:tc>
          <w:tcPr>
            <w:tcW w:type="dxa" w:w="3205"/>
          </w:tcPr>
          <w:p>
            <w:pPr>
              <w:pStyle w:val="Compact"/>
              <w:keepNext/>
              <w:keepLines/>
              <w:spacing w:before="0" w:after="40" w:line="240" w:lineRule="auto"/>
              <w:jc w:val="center"/>
            </w:pPr>
            <w:r>
              <w:rPr>
                <w:sz w:val="18"/>
              </w:rPr>
              <w:t xml:space="preserve">–</w:t>
            </w:r>
          </w:p>
        </w:tc>
        <w:tc>
          <w:tcPr>
            <w:tcW w:type="dxa" w:w="1187"/>
          </w:tcPr>
          <w:p>
            <w:pPr>
              <w:pStyle w:val="Compact"/>
              <w:keepNext/>
              <w:keepLines/>
              <w:spacing w:before="0" w:after="40" w:line="240" w:lineRule="auto"/>
              <w:jc w:val="center"/>
            </w:pPr>
            <w:r>
              <w:rPr>
                <w:sz w:val="18"/>
              </w:rPr>
              <w:t xml:space="preserve">423</w:t>
            </w:r>
          </w:p>
        </w:tc>
        <w:tc>
          <w:tcPr>
            <w:tcW w:type="dxa" w:w="1187"/>
          </w:tcPr>
          <w:p>
            <w:pPr>
              <w:pStyle w:val="Compact"/>
              <w:keepNext/>
              <w:keepLines/>
              <w:spacing w:before="0" w:after="40" w:line="240" w:lineRule="auto"/>
              <w:jc w:val="center"/>
            </w:pPr>
            <w:r>
              <w:rPr>
                <w:sz w:val="18"/>
              </w:rPr>
              <w:t xml:space="preserve">414</w:t>
            </w:r>
          </w:p>
        </w:tc>
        <w:tc>
          <w:tcPr>
            <w:tcW w:type="dxa" w:w="1187"/>
          </w:tcPr>
          <w:p>
            <w:pPr>
              <w:pStyle w:val="Compact"/>
              <w:keepNext/>
              <w:keepLines/>
              <w:spacing w:before="0" w:after="40" w:line="240" w:lineRule="auto"/>
              <w:jc w:val="center"/>
            </w:pPr>
            <w:r>
              <w:rPr>
                <w:sz w:val="18"/>
              </w:rPr>
              <w:t xml:space="preserve">3.4%</w:t>
            </w:r>
          </w:p>
        </w:tc>
        <w:tc>
          <w:tcPr>
            <w:tcW w:type="dxa" w:w="1187"/>
          </w:tcPr>
          <w:p>
            <w:pPr>
              <w:pStyle w:val="Compact"/>
              <w:keepNext/>
              <w:keepLines/>
              <w:spacing w:before="0" w:after="40" w:line="240" w:lineRule="auto"/>
              <w:jc w:val="center"/>
            </w:pPr>
            <w:r>
              <w:rPr>
                <w:sz w:val="18"/>
              </w:rPr>
              <w:t xml:space="preserve">–</w:t>
            </w:r>
          </w:p>
        </w:tc>
        <w:tc>
          <w:tcPr>
            <w:tcW w:type="dxa" w:w="1424"/>
          </w:tcPr>
          <w:p>
            <w:pPr>
              <w:pStyle w:val="Compact"/>
              <w:keepNext/>
              <w:keepLines/>
              <w:spacing w:before="0" w:after="40" w:line="240" w:lineRule="auto"/>
              <w:jc w:val="center"/>
            </w:pPr>
            <w:r>
              <w:rPr>
                <w:sz w:val="18"/>
              </w:rPr>
              <w:t xml:space="preserve">–</w:t>
            </w:r>
          </w:p>
        </w:tc>
        <w:tc>
          <w:tcPr>
            <w:tcW w:type="dxa" w:w="1187"/>
          </w:tcPr>
          <w:p>
            <w:pPr>
              <w:pStyle w:val="Compact"/>
              <w:keepNext/>
              <w:keepLines/>
              <w:spacing w:before="0" w:after="40" w:line="240" w:lineRule="auto"/>
              <w:jc w:val="center"/>
            </w:pPr>
            <w:r>
              <w:rPr>
                <w:sz w:val="18"/>
              </w:rPr>
              <w:t xml:space="preserve">0</w:t>
            </w:r>
          </w:p>
        </w:tc>
      </w:tr>
      <w:tr>
        <w:trPr>
          <w:cantSplit/>
        </w:trPr>
        <w:tc>
          <w:tcPr>
            <w:tcW w:type="dxa" w:w="1305"/>
          </w:tcPr>
          <w:p>
            <w:pPr>
              <w:pStyle w:val="Compact"/>
              <w:keepNext/>
              <w:keepLines/>
              <w:spacing w:before="0" w:after="40" w:line="240" w:lineRule="auto"/>
              <w:jc w:val="left"/>
            </w:pPr>
            <w:r>
              <w:rPr>
                <w:sz w:val="18"/>
              </w:rPr>
              <w:t xml:space="preserve">2017 pres.</w:t>
            </w:r>
          </w:p>
        </w:tc>
        <w:tc>
          <w:tcPr>
            <w:tcW w:type="dxa" w:w="2136"/>
          </w:tcPr>
          <w:p>
            <w:pPr>
              <w:pStyle w:val="Compact"/>
              <w:keepNext/>
              <w:keepLines/>
              <w:spacing w:before="0" w:after="40" w:line="240" w:lineRule="auto"/>
              <w:jc w:val="center"/>
            </w:pPr>
            <w:r>
              <w:rPr>
                <w:sz w:val="18"/>
              </w:rPr>
              <w:t xml:space="preserve">25 gu</w:t>
            </w:r>
          </w:p>
        </w:tc>
        <w:tc>
          <w:tcPr>
            <w:tcW w:type="dxa" w:w="3205"/>
          </w:tcPr>
          <w:p>
            <w:pPr>
              <w:pStyle w:val="Compact"/>
              <w:keepNext/>
              <w:keepLines/>
              <w:spacing w:before="0" w:after="40" w:line="240" w:lineRule="auto"/>
              <w:jc w:val="center"/>
            </w:pPr>
            <w:r>
              <w:rPr>
                <w:sz w:val="18"/>
              </w:rPr>
              <w:t xml:space="preserve">25 gu</w:t>
            </w:r>
          </w:p>
        </w:tc>
        <w:tc>
          <w:tcPr>
            <w:tcW w:type="dxa" w:w="1187"/>
          </w:tcPr>
          <w:p>
            <w:pPr>
              <w:pStyle w:val="Compact"/>
              <w:keepNext/>
              <w:keepLines/>
              <w:spacing w:before="0" w:after="40" w:line="240" w:lineRule="auto"/>
              <w:jc w:val="center"/>
            </w:pPr>
            <w:r>
              <w:rPr>
                <w:sz w:val="18"/>
              </w:rPr>
              <w:t xml:space="preserve">424</w:t>
            </w:r>
          </w:p>
        </w:tc>
        <w:tc>
          <w:tcPr>
            <w:tcW w:type="dxa" w:w="1187"/>
          </w:tcPr>
          <w:p>
            <w:pPr>
              <w:pStyle w:val="Compact"/>
              <w:keepNext/>
              <w:keepLines/>
              <w:spacing w:before="0" w:after="40" w:line="240" w:lineRule="auto"/>
              <w:jc w:val="center"/>
            </w:pPr>
            <w:r>
              <w:rPr>
                <w:sz w:val="18"/>
              </w:rPr>
              <w:t xml:space="preserve">421</w:t>
            </w:r>
          </w:p>
        </w:tc>
        <w:tc>
          <w:tcPr>
            <w:tcW w:type="dxa" w:w="1187"/>
          </w:tcPr>
          <w:p>
            <w:pPr>
              <w:pStyle w:val="Compact"/>
              <w:keepNext/>
              <w:keepLines/>
              <w:spacing w:before="0" w:after="40" w:line="240" w:lineRule="auto"/>
              <w:jc w:val="center"/>
            </w:pPr>
            <w:r>
              <w:rPr>
                <w:sz w:val="18"/>
              </w:rPr>
              <w:t xml:space="preserve">12.8%</w:t>
            </w:r>
          </w:p>
        </w:tc>
        <w:tc>
          <w:tcPr>
            <w:tcW w:type="dxa" w:w="1187"/>
          </w:tcPr>
          <w:p>
            <w:pPr>
              <w:pStyle w:val="Compact"/>
              <w:keepNext/>
              <w:keepLines/>
              <w:spacing w:before="0" w:after="40" w:line="240" w:lineRule="auto"/>
              <w:jc w:val="center"/>
            </w:pPr>
            <w:r>
              <w:rPr>
                <w:sz w:val="18"/>
              </w:rPr>
              <w:t xml:space="preserve">21.7%</w:t>
            </w:r>
          </w:p>
        </w:tc>
        <w:tc>
          <w:tcPr>
            <w:tcW w:type="dxa" w:w="1424"/>
          </w:tcPr>
          <w:p>
            <w:pPr>
              <w:pStyle w:val="Compact"/>
              <w:keepNext/>
              <w:keepLines/>
              <w:spacing w:before="0" w:after="40" w:line="240" w:lineRule="auto"/>
              <w:jc w:val="center"/>
            </w:pPr>
            <w:r>
              <w:rPr>
                <w:sz w:val="18"/>
              </w:rPr>
              <w:t xml:space="preserve">34.6%</w:t>
            </w:r>
          </w:p>
        </w:tc>
        <w:tc>
          <w:tcPr>
            <w:tcW w:type="dxa" w:w="1187"/>
          </w:tcPr>
          <w:p>
            <w:pPr>
              <w:pStyle w:val="Compact"/>
              <w:keepNext/>
              <w:keepLines/>
              <w:spacing w:before="0" w:after="40" w:line="240" w:lineRule="auto"/>
              <w:jc w:val="center"/>
            </w:pPr>
            <w:r>
              <w:rPr>
                <w:sz w:val="18"/>
              </w:rPr>
              <w:t xml:space="preserve">5</w:t>
            </w:r>
          </w:p>
        </w:tc>
      </w:tr>
      <w:tr>
        <w:trPr>
          <w:cantSplit/>
        </w:trPr>
        <w:tc>
          <w:tcPr>
            <w:tcW w:type="dxa" w:w="1305"/>
          </w:tcPr>
          <w:p>
            <w:pPr>
              <w:pStyle w:val="Compact"/>
              <w:keepNext/>
              <w:keepLines/>
              <w:spacing w:before="0" w:after="40" w:line="240" w:lineRule="auto"/>
              <w:jc w:val="left"/>
            </w:pPr>
            <w:r>
              <w:rPr>
                <w:sz w:val="18"/>
              </w:rPr>
              <w:t xml:space="preserve">2022 pres.</w:t>
            </w:r>
          </w:p>
        </w:tc>
        <w:tc>
          <w:tcPr>
            <w:tcW w:type="dxa" w:w="2136"/>
          </w:tcPr>
          <w:p>
            <w:pPr>
              <w:pStyle w:val="Compact"/>
              <w:keepNext/>
              <w:keepLines/>
              <w:spacing w:before="0" w:after="40" w:line="240" w:lineRule="auto"/>
              <w:jc w:val="center"/>
            </w:pPr>
            <w:r>
              <w:rPr>
                <w:sz w:val="18"/>
              </w:rPr>
              <w:t xml:space="preserve">25 gu</w:t>
            </w:r>
          </w:p>
        </w:tc>
        <w:tc>
          <w:tcPr>
            <w:tcW w:type="dxa" w:w="3205"/>
          </w:tcPr>
          <w:p>
            <w:pPr>
              <w:pStyle w:val="Compact"/>
              <w:keepNext/>
              <w:keepLines/>
              <w:spacing w:before="0" w:after="40" w:line="240" w:lineRule="auto"/>
              <w:jc w:val="center"/>
            </w:pPr>
            <w:r>
              <w:rPr>
                <w:sz w:val="18"/>
              </w:rPr>
              <w:t xml:space="preserve">25 gu</w:t>
            </w:r>
          </w:p>
        </w:tc>
        <w:tc>
          <w:tcPr>
            <w:tcW w:type="dxa" w:w="1187"/>
          </w:tcPr>
          <w:p>
            <w:pPr>
              <w:pStyle w:val="Compact"/>
              <w:keepNext/>
              <w:keepLines/>
              <w:spacing w:before="0" w:after="40" w:line="240" w:lineRule="auto"/>
              <w:jc w:val="center"/>
            </w:pPr>
            <w:r>
              <w:rPr>
                <w:sz w:val="18"/>
              </w:rPr>
              <w:t xml:space="preserve">425</w:t>
            </w:r>
          </w:p>
        </w:tc>
        <w:tc>
          <w:tcPr>
            <w:tcW w:type="dxa" w:w="1187"/>
          </w:tcPr>
          <w:p>
            <w:pPr>
              <w:pStyle w:val="Compact"/>
              <w:keepNext/>
              <w:keepLines/>
              <w:spacing w:before="0" w:after="40" w:line="240" w:lineRule="auto"/>
              <w:jc w:val="center"/>
            </w:pPr>
            <w:r>
              <w:rPr>
                <w:sz w:val="18"/>
              </w:rPr>
              <w:t xml:space="preserve">420</w:t>
            </w:r>
          </w:p>
        </w:tc>
        <w:tc>
          <w:tcPr>
            <w:tcW w:type="dxa" w:w="1187"/>
          </w:tcPr>
          <w:p>
            <w:pPr>
              <w:pStyle w:val="Compact"/>
              <w:keepNext/>
              <w:keepLines/>
              <w:spacing w:before="0" w:after="40" w:line="240" w:lineRule="auto"/>
              <w:jc w:val="center"/>
            </w:pPr>
            <w:r>
              <w:rPr>
                <w:sz w:val="18"/>
              </w:rPr>
              <w:t xml:space="preserve">13.5%</w:t>
            </w:r>
          </w:p>
        </w:tc>
        <w:tc>
          <w:tcPr>
            <w:tcW w:type="dxa" w:w="1187"/>
          </w:tcPr>
          <w:p>
            <w:pPr>
              <w:pStyle w:val="Compact"/>
              <w:keepNext/>
              <w:keepLines/>
              <w:spacing w:before="0" w:after="40" w:line="240" w:lineRule="auto"/>
              <w:jc w:val="center"/>
            </w:pPr>
            <w:r>
              <w:rPr>
                <w:sz w:val="18"/>
              </w:rPr>
              <w:t xml:space="preserve">35.3%</w:t>
            </w:r>
          </w:p>
        </w:tc>
        <w:tc>
          <w:tcPr>
            <w:tcW w:type="dxa" w:w="1424"/>
          </w:tcPr>
          <w:p>
            <w:pPr>
              <w:pStyle w:val="Compact"/>
              <w:keepNext/>
              <w:keepLines/>
              <w:spacing w:before="0" w:after="40" w:line="240" w:lineRule="auto"/>
              <w:jc w:val="center"/>
            </w:pPr>
            <w:r>
              <w:rPr>
                <w:sz w:val="18"/>
              </w:rPr>
              <w:t xml:space="preserve">26.1%</w:t>
            </w:r>
          </w:p>
        </w:tc>
        <w:tc>
          <w:tcPr>
            <w:tcW w:type="dxa" w:w="1187"/>
          </w:tcPr>
          <w:p>
            <w:pPr>
              <w:pStyle w:val="Compact"/>
              <w:keepNext/>
              <w:keepLines/>
              <w:spacing w:before="0" w:after="40" w:line="240" w:lineRule="auto"/>
              <w:jc w:val="center"/>
            </w:pPr>
            <w:r>
              <w:rPr>
                <w:sz w:val="18"/>
              </w:rPr>
              <w:t xml:space="preserve">20</w:t>
            </w:r>
          </w:p>
        </w:tc>
      </w:tr>
      <w:tr>
        <w:trPr>
          <w:cantSplit/>
        </w:trPr>
        <w:tc>
          <w:tcPr>
            <w:tcW w:type="dxa" w:w="1305"/>
          </w:tcPr>
          <w:p>
            <w:pPr>
              <w:pStyle w:val="Compact"/>
              <w:keepNext/>
              <w:keepLines/>
              <w:spacing w:before="0" w:after="40" w:line="240" w:lineRule="auto"/>
              <w:jc w:val="left"/>
            </w:pPr>
            <w:r>
              <w:rPr>
                <w:sz w:val="18"/>
              </w:rPr>
              <w:t xml:space="preserve">2024 leg.</w:t>
            </w:r>
          </w:p>
        </w:tc>
        <w:tc>
          <w:tcPr>
            <w:tcW w:type="dxa" w:w="2136"/>
          </w:tcPr>
          <w:p>
            <w:pPr>
              <w:pStyle w:val="Compact"/>
              <w:keepNext/>
              <w:keepLines/>
              <w:spacing w:before="0" w:after="40" w:line="240" w:lineRule="auto"/>
              <w:jc w:val="center"/>
            </w:pPr>
            <w:r>
              <w:rPr>
                <w:sz w:val="18"/>
              </w:rPr>
              <w:t xml:space="preserve">48 constituencies</w:t>
            </w:r>
          </w:p>
        </w:tc>
        <w:tc>
          <w:tcPr>
            <w:tcW w:type="dxa" w:w="3205"/>
          </w:tcPr>
          <w:p>
            <w:pPr>
              <w:pStyle w:val="Compact"/>
              <w:keepNext/>
              <w:keepLines/>
              <w:spacing w:before="0" w:after="40" w:line="240" w:lineRule="auto"/>
              <w:jc w:val="center"/>
            </w:pPr>
            <w:r>
              <w:rPr>
                <w:sz w:val="18"/>
              </w:rPr>
              <w:t xml:space="preserve">48 constituencies</w:t>
            </w:r>
          </w:p>
        </w:tc>
        <w:tc>
          <w:tcPr>
            <w:tcW w:type="dxa" w:w="1187"/>
          </w:tcPr>
          <w:p>
            <w:pPr>
              <w:pStyle w:val="Compact"/>
              <w:keepNext/>
              <w:keepLines/>
              <w:spacing w:before="0" w:after="40" w:line="240" w:lineRule="auto"/>
              <w:jc w:val="center"/>
            </w:pPr>
            <w:r>
              <w:rPr>
                <w:sz w:val="18"/>
              </w:rPr>
              <w:t xml:space="preserve">425</w:t>
            </w:r>
          </w:p>
        </w:tc>
        <w:tc>
          <w:tcPr>
            <w:tcW w:type="dxa" w:w="1187"/>
          </w:tcPr>
          <w:p>
            <w:pPr>
              <w:pStyle w:val="Compact"/>
              <w:keepNext/>
              <w:keepLines/>
              <w:spacing w:before="0" w:after="40" w:line="240" w:lineRule="auto"/>
              <w:jc w:val="center"/>
            </w:pPr>
            <w:r>
              <w:rPr>
                <w:sz w:val="18"/>
              </w:rPr>
              <w:t xml:space="preserve">418</w:t>
            </w:r>
          </w:p>
        </w:tc>
        <w:tc>
          <w:tcPr>
            <w:tcW w:type="dxa" w:w="1187"/>
          </w:tcPr>
          <w:p>
            <w:pPr>
              <w:pStyle w:val="Compact"/>
              <w:keepNext/>
              <w:keepLines/>
              <w:spacing w:before="0" w:after="40" w:line="240" w:lineRule="auto"/>
              <w:jc w:val="center"/>
            </w:pPr>
            <w:r>
              <w:rPr>
                <w:sz w:val="18"/>
              </w:rPr>
              <w:t xml:space="preserve">12.9%</w:t>
            </w:r>
          </w:p>
        </w:tc>
        <w:tc>
          <w:tcPr>
            <w:tcW w:type="dxa" w:w="1187"/>
          </w:tcPr>
          <w:p>
            <w:pPr>
              <w:pStyle w:val="Compact"/>
              <w:keepNext/>
              <w:keepLines/>
              <w:spacing w:before="0" w:after="40" w:line="240" w:lineRule="auto"/>
              <w:jc w:val="center"/>
            </w:pPr>
            <w:r>
              <w:rPr>
                <w:sz w:val="18"/>
              </w:rPr>
              <w:t xml:space="preserve">34.8%</w:t>
            </w:r>
          </w:p>
        </w:tc>
        <w:tc>
          <w:tcPr>
            <w:tcW w:type="dxa" w:w="1424"/>
          </w:tcPr>
          <w:p>
            <w:pPr>
              <w:pStyle w:val="Compact"/>
              <w:keepNext/>
              <w:keepLines/>
              <w:spacing w:before="0" w:after="40" w:line="240" w:lineRule="auto"/>
              <w:jc w:val="center"/>
            </w:pPr>
            <w:r>
              <w:rPr>
                <w:sz w:val="18"/>
              </w:rPr>
              <w:t xml:space="preserve">26.1%</w:t>
            </w:r>
          </w:p>
        </w:tc>
        <w:tc>
          <w:tcPr>
            <w:tcW w:type="dxa" w:w="1187"/>
          </w:tcPr>
          <w:p>
            <w:pPr>
              <w:pStyle w:val="Compact"/>
              <w:keepNext/>
              <w:keepLines/>
              <w:spacing w:before="0" w:after="40" w:line="240" w:lineRule="auto"/>
              <w:jc w:val="center"/>
            </w:pPr>
            <w:r>
              <w:rPr>
                <w:sz w:val="18"/>
              </w:rPr>
              <w:t xml:space="preserve">20</w:t>
            </w:r>
          </w:p>
        </w:tc>
      </w:tr>
      <w:tr>
        <w:trPr>
          <w:cantSplit/>
        </w:trPr>
        <w:tc>
          <w:tcPr>
            <w:tcW w:type="dxa" w:w="1305"/>
          </w:tcPr>
          <w:p>
            <w:pPr>
              <w:pStyle w:val="Compact"/>
              <w:keepNext/>
              <w:keepLines/>
              <w:spacing w:before="0" w:after="40" w:line="240" w:lineRule="auto"/>
              <w:jc w:val="left"/>
            </w:pPr>
            <w:r>
              <w:rPr>
                <w:sz w:val="18"/>
              </w:rPr>
              <w:t xml:space="preserve">2025 pres.</w:t>
            </w:r>
          </w:p>
        </w:tc>
        <w:tc>
          <w:tcPr>
            <w:tcW w:type="dxa" w:w="2136"/>
          </w:tcPr>
          <w:p>
            <w:pPr>
              <w:pStyle w:val="Compact"/>
              <w:keepNext/>
              <w:keepLines/>
              <w:spacing w:before="0" w:after="40" w:line="240" w:lineRule="auto"/>
              <w:jc w:val="center"/>
            </w:pPr>
            <w:r>
              <w:rPr>
                <w:sz w:val="18"/>
              </w:rPr>
              <w:t xml:space="preserve">25 gu</w:t>
            </w:r>
          </w:p>
        </w:tc>
        <w:tc>
          <w:tcPr>
            <w:tcW w:type="dxa" w:w="3205"/>
          </w:tcPr>
          <w:p>
            <w:pPr>
              <w:pStyle w:val="Compact"/>
              <w:keepNext/>
              <w:keepLines/>
              <w:spacing w:before="0" w:after="40" w:line="240" w:lineRule="auto"/>
              <w:jc w:val="center"/>
            </w:pPr>
            <w:r>
              <w:rPr>
                <w:sz w:val="18"/>
              </w:rPr>
              <w:t xml:space="preserve">25 gu</w:t>
            </w:r>
          </w:p>
        </w:tc>
        <w:tc>
          <w:tcPr>
            <w:tcW w:type="dxa" w:w="1187"/>
          </w:tcPr>
          <w:p>
            <w:pPr>
              <w:pStyle w:val="Compact"/>
              <w:keepNext/>
              <w:keepLines/>
              <w:spacing w:before="0" w:after="40" w:line="240" w:lineRule="auto"/>
              <w:jc w:val="center"/>
            </w:pPr>
            <w:r>
              <w:rPr>
                <w:sz w:val="18"/>
              </w:rPr>
              <w:t xml:space="preserve">426</w:t>
            </w:r>
          </w:p>
        </w:tc>
        <w:tc>
          <w:tcPr>
            <w:tcW w:type="dxa" w:w="1187"/>
          </w:tcPr>
          <w:p>
            <w:pPr>
              <w:pStyle w:val="Compact"/>
              <w:keepNext/>
              <w:keepLines/>
              <w:spacing w:before="0" w:after="40" w:line="240" w:lineRule="auto"/>
              <w:jc w:val="center"/>
            </w:pPr>
            <w:r>
              <w:rPr>
                <w:sz w:val="18"/>
              </w:rPr>
              <w:t xml:space="preserve">420</w:t>
            </w:r>
          </w:p>
        </w:tc>
        <w:tc>
          <w:tcPr>
            <w:tcW w:type="dxa" w:w="1187"/>
          </w:tcPr>
          <w:p>
            <w:pPr>
              <w:pStyle w:val="Compact"/>
              <w:keepNext/>
              <w:keepLines/>
              <w:spacing w:before="0" w:after="40" w:line="240" w:lineRule="auto"/>
              <w:jc w:val="center"/>
            </w:pPr>
            <w:r>
              <w:rPr>
                <w:sz w:val="18"/>
              </w:rPr>
              <w:t xml:space="preserve">14.7%</w:t>
            </w:r>
          </w:p>
        </w:tc>
        <w:tc>
          <w:tcPr>
            <w:tcW w:type="dxa" w:w="1187"/>
          </w:tcPr>
          <w:p>
            <w:pPr>
              <w:pStyle w:val="Compact"/>
              <w:keepNext/>
              <w:keepLines/>
              <w:spacing w:before="0" w:after="40" w:line="240" w:lineRule="auto"/>
              <w:jc w:val="center"/>
            </w:pPr>
            <w:r>
              <w:rPr>
                <w:sz w:val="18"/>
              </w:rPr>
              <w:t xml:space="preserve">29.2%</w:t>
            </w:r>
          </w:p>
        </w:tc>
        <w:tc>
          <w:tcPr>
            <w:tcW w:type="dxa" w:w="1424"/>
          </w:tcPr>
          <w:p>
            <w:pPr>
              <w:pStyle w:val="Compact"/>
              <w:keepNext/>
              <w:keepLines/>
              <w:spacing w:before="0" w:after="40" w:line="240" w:lineRule="auto"/>
              <w:jc w:val="center"/>
            </w:pPr>
            <w:r>
              <w:rPr>
                <w:sz w:val="18"/>
              </w:rPr>
              <w:t xml:space="preserve">31.7%</w:t>
            </w:r>
          </w:p>
        </w:tc>
        <w:tc>
          <w:tcPr>
            <w:tcW w:type="dxa" w:w="1187"/>
          </w:tcPr>
          <w:p>
            <w:pPr>
              <w:pStyle w:val="Compact"/>
              <w:keepNext/>
              <w:keepLines/>
              <w:spacing w:before="0" w:after="40" w:line="240" w:lineRule="auto"/>
              <w:jc w:val="center"/>
            </w:pPr>
            <w:r>
              <w:rPr>
                <w:sz w:val="18"/>
              </w:rPr>
              <w:t xml:space="preserve">13</w:t>
            </w:r>
          </w:p>
        </w:tc>
      </w:tr>
      <w:tr>
        <w:trPr>
          <w:cantSplit/>
        </w:trPr>
        <w:tc>
          <w:tcPr>
            <w:tcW w:type="dxa" w:w="1305"/>
          </w:tcPr>
          <w:p>
            <w:pPr>
              <w:pStyle w:val="Compact"/>
              <w:keepNext/>
              <w:keepLines/>
              <w:spacing w:before="0" w:after="40" w:line="240" w:lineRule="auto"/>
              <w:jc w:val="left"/>
            </w:pPr>
            <w:r>
              <w:rPr>
                <w:sz w:val="18"/>
              </w:rPr>
              <w:t xml:space="preserve">2026 mayor</w:t>
            </w:r>
          </w:p>
        </w:tc>
        <w:tc>
          <w:tcPr>
            <w:tcW w:type="dxa" w:w="2136"/>
          </w:tcPr>
          <w:p>
            <w:pPr>
              <w:pStyle w:val="Compact"/>
              <w:keepNext/>
              <w:keepLines/>
              <w:spacing w:before="0" w:after="40" w:line="240" w:lineRule="auto"/>
              <w:jc w:val="center"/>
            </w:pPr>
            <w:r>
              <w:rPr>
                <w:sz w:val="18"/>
              </w:rPr>
              <w:t xml:space="preserve">25 gu</w:t>
            </w:r>
          </w:p>
        </w:tc>
        <w:tc>
          <w:tcPr>
            <w:tcW w:type="dxa" w:w="3205"/>
          </w:tcPr>
          <w:p>
            <w:pPr>
              <w:pStyle w:val="Compact"/>
              <w:keepNext/>
              <w:keepLines/>
              <w:spacing w:before="0" w:after="40" w:line="240" w:lineRule="auto"/>
              <w:jc w:val="center"/>
            </w:pPr>
            <w:r>
              <w:rPr>
                <w:sz w:val="18"/>
              </w:rPr>
              <w:t xml:space="preserve">155 council constituencies</w:t>
            </w:r>
          </w:p>
        </w:tc>
        <w:tc>
          <w:tcPr>
            <w:tcW w:type="dxa" w:w="1187"/>
          </w:tcPr>
          <w:p>
            <w:pPr>
              <w:pStyle w:val="Compact"/>
              <w:keepNext/>
              <w:keepLines/>
              <w:spacing w:before="0" w:after="40" w:line="240" w:lineRule="auto"/>
              <w:jc w:val="center"/>
            </w:pPr>
            <w:r>
              <w:rPr>
                <w:sz w:val="18"/>
              </w:rPr>
              <w:t xml:space="preserve">427</w:t>
            </w:r>
          </w:p>
        </w:tc>
        <w:tc>
          <w:tcPr>
            <w:tcW w:type="dxa" w:w="1187"/>
          </w:tcPr>
          <w:p>
            <w:pPr>
              <w:pStyle w:val="Compact"/>
              <w:keepNext/>
              <w:keepLines/>
              <w:spacing w:before="0" w:after="40" w:line="240" w:lineRule="auto"/>
              <w:jc w:val="center"/>
            </w:pPr>
            <w:r>
              <w:rPr>
                <w:sz w:val="18"/>
              </w:rPr>
              <w:t xml:space="preserve">423</w:t>
            </w:r>
          </w:p>
        </w:tc>
        <w:tc>
          <w:tcPr>
            <w:tcW w:type="dxa" w:w="1187"/>
          </w:tcPr>
          <w:p>
            <w:pPr>
              <w:pStyle w:val="Compact"/>
              <w:keepNext/>
              <w:keepLines/>
              <w:spacing w:before="0" w:after="40" w:line="240" w:lineRule="auto"/>
              <w:jc w:val="center"/>
            </w:pPr>
            <w:r>
              <w:rPr>
                <w:sz w:val="18"/>
              </w:rPr>
              <w:t xml:space="preserve">12.1%</w:t>
            </w:r>
          </w:p>
        </w:tc>
        <w:tc>
          <w:tcPr>
            <w:tcW w:type="dxa" w:w="1187"/>
          </w:tcPr>
          <w:p>
            <w:pPr>
              <w:pStyle w:val="Compact"/>
              <w:keepNext/>
              <w:keepLines/>
              <w:spacing w:before="0" w:after="40" w:line="240" w:lineRule="auto"/>
              <w:jc w:val="center"/>
            </w:pPr>
            <w:r>
              <w:rPr>
                <w:sz w:val="18"/>
              </w:rPr>
              <w:t xml:space="preserve">25.6%</w:t>
            </w:r>
          </w:p>
        </w:tc>
        <w:tc>
          <w:tcPr>
            <w:tcW w:type="dxa" w:w="1424"/>
          </w:tcPr>
          <w:p>
            <w:pPr>
              <w:pStyle w:val="Compact"/>
              <w:keepNext/>
              <w:keepLines/>
              <w:spacing w:before="0" w:after="40" w:line="240" w:lineRule="auto"/>
              <w:jc w:val="center"/>
            </w:pPr>
            <w:r>
              <w:rPr>
                <w:sz w:val="18"/>
              </w:rPr>
              <w:t xml:space="preserve">31.8%</w:t>
            </w:r>
          </w:p>
        </w:tc>
        <w:tc>
          <w:tcPr>
            <w:tcW w:type="dxa" w:w="1187"/>
          </w:tcPr>
          <w:p>
            <w:pPr>
              <w:pStyle w:val="Compact"/>
              <w:keepNext/>
              <w:keepLines/>
              <w:spacing w:before="0" w:after="40" w:line="240" w:lineRule="auto"/>
              <w:jc w:val="center"/>
            </w:pPr>
            <w:r>
              <w:rPr>
                <w:sz w:val="18"/>
              </w:rPr>
              <w:t xml:space="preserve">8</w:t>
            </w:r>
          </w:p>
        </w:tc>
      </w:tr>
    </w:tbl>
    <w:p>
      <w:pPr>
        <w:pStyle w:val="BodyText"/>
        <w:keepLines/>
        <w:spacing w:line="240" w:lineRule="auto" w:before="80" w:after="120"/>
      </w:pPr>
      <w:r>
        <w:rPr>
          <w:iCs/>
          <w:i/>
          <w:sz w:val="18"/>
        </w:rPr>
        <w:t xml:space="preserve">Notes.</w:t>
      </w:r>
      <w:r>
        <w:rPr>
          <w:sz w:val="18"/>
        </w:rPr>
        <w:t xml:space="preserve"> </w:t>
      </w:r>
      <w:r>
        <w:rPr>
          <w:sz w:val="18"/>
        </w:rPr>
        <w:t xml:space="preserve">Shares are of all ballots cast in Seoul. Pooled ballots: out-of-zone early, at-home, shipboard and overseas.</w:t>
      </w:r>
      <w:r>
        <w:rPr>
          <w:sz w:val="18"/>
        </w:rPr>
        <w:t xml:space="preserve"> </w:t>
      </w:r>
      <w:r>
        <w:rPr>
          <w:sz w:val="18"/>
        </w:rPr>
        <w:t xml:space="preserve">“</w:t>
      </w:r>
      <w:r>
        <w:rPr>
          <w:sz w:val="18"/>
        </w:rPr>
        <w:t xml:space="preserve">Out-of-zone share of early ballots</w:t>
      </w:r>
      <w:r>
        <w:rPr>
          <w:sz w:val="18"/>
        </w:rPr>
        <w:t xml:space="preserve">”</w:t>
      </w:r>
      <w:r>
        <w:rPr>
          <w:sz w:val="18"/>
        </w:rPr>
        <w:t xml:space="preserve"> </w:t>
      </w:r>
      <w:r>
        <w:rPr>
          <w:sz w:val="18"/>
        </w:rPr>
        <w:t xml:space="preserve">is P/(P+K) over Seoul. Forced movement: stations whose in-zone early ballots exceed their dong’s removed residents (r_j &gt; 0). 2012 had no in-zone early voting.</w:t>
      </w:r>
    </w:p>
    <w:p>
      <w:pPr>
        <w:sectPr>
          <w:pgMar w:top="1417" w:bottom="1417" w:left="1417" w:right="1417"/>
          <w:pgSz w:w="16838" w:h="11906" w:orient="landscape"/>
          <w:type w:val="nextPage"/>
        </w:sectPr>
      </w:pPr>
    </w:p>
    <w:p>
      <w:pPr>
        <w:pStyle w:val="BodyText"/>
      </w:pPr>
      <w:r>
        <w:t xml:space="preserve">Neighborhood prices are medians of apartment sale prices per square meter during the twelve complete calendar months before each election month, from Ministry of Land, Infrastructure and Transport (2026) transactions geocoded to neighborhoods. They measure traded apartments, not residents’ ownership or wealth. The movement scenarios use Seoul Living Mobility data, which estimate trips from mobile-phone signals and are available from 2022 (Seoul Metropolitan Government and KT 2026). Table 1 gives price coverage and the shares of votes requiring residential allocation; Online Appendix B documents the sources and construction. The six contests are assembled cases rather than an exhaustive or prespecified election sample. Earlier local elections are outside the dataset, so the 2026 result cannot establish a general difference between local and national elections.</w:t>
      </w:r>
    </w:p>
    <w:bookmarkEnd w:id="26"/>
    <w:bookmarkStart w:id="27" w:name="identification"/>
    <w:p>
      <w:pPr>
        <w:pStyle w:val="Heading2"/>
      </w:pPr>
      <w:r>
        <w:t xml:space="preserve">3.3 Identification</w:t>
      </w:r>
    </w:p>
    <w:p>
      <w:pPr>
        <w:pStyle w:val="FirstParagraph"/>
      </w:pPr>
      <w:r>
        <w:rPr>
          <w:iCs/>
          <w:i/>
        </w:rPr>
        <w:t xml:space="preserve">An illustrative district.</w:t>
      </w:r>
    </w:p>
    <w:p>
      <w:pPr>
        <w:pStyle w:val="BodyText"/>
      </w:pPr>
      <w:r>
        <w:t xml:space="preserve">Consider a district with two neighborhoods,</w:t>
      </w:r>
      <w:r>
        <w:t xml:space="preserve"> </w:t>
      </w:r>
      <m:oMath>
        <m:r>
          <m:t>a</m:t>
        </m:r>
      </m:oMath>
      <w:r>
        <w:t xml:space="preserve"> </w:t>
      </w:r>
      <w:r>
        <w:t xml:space="preserve">and</w:t>
      </w:r>
      <w:r>
        <w:t xml:space="preserve"> </w:t>
      </w:r>
      <m:oMath>
        <m:r>
          <m:t>b</m:t>
        </m:r>
      </m:oMath>
      <w:r>
        <w:t xml:space="preserve">, each with 1,000 residents who cast a ballot. Of these, 600 in each neighborhood voted on election day, and candidate X received 330 ballots in</w:t>
      </w:r>
      <w:r>
        <w:t xml:space="preserve"> </w:t>
      </w:r>
      <m:oMath>
        <m:r>
          <m:t>a</m:t>
        </m:r>
      </m:oMath>
      <w:r>
        <w:t xml:space="preserve"> </w:t>
      </w:r>
      <w:r>
        <w:t xml:space="preserve">and 270 in</w:t>
      </w:r>
      <w:r>
        <w:t xml:space="preserve"> </w:t>
      </w:r>
      <m:oMath>
        <m:r>
          <m:t>b</m:t>
        </m:r>
      </m:oMath>
      <w:r>
        <w:t xml:space="preserve">. Each neighborhood’s early station counted 300 ballots, 150 for X at</w:t>
      </w:r>
      <w:r>
        <w:t xml:space="preserve"> </w:t>
      </w:r>
      <m:oMath>
        <m:r>
          <m:t>a</m:t>
        </m:r>
      </m:oMath>
      <w:r>
        <w:t xml:space="preserve">’s station and 120 at</w:t>
      </w:r>
      <w:r>
        <w:t xml:space="preserve"> </w:t>
      </w:r>
      <m:oMath>
        <m:r>
          <m:t>b</m:t>
        </m:r>
      </m:oMath>
      <w:r>
        <w:t xml:space="preserve">’s. The district reports 200 out-of-zone early ballots, 120 of them for X. Suppose 300 residents of each neighborhood voted early in the zone and 100 outside it.</w:t>
      </w:r>
    </w:p>
    <w:p>
      <w:pPr>
        <w:pStyle w:val="BodyText"/>
      </w:pPr>
      <w:r>
        <w:t xml:space="preserve">Two things are unknown.</w:t>
      </w:r>
      <w:r>
        <w:t xml:space="preserve"> </w:t>
      </w:r>
      <w:r>
        <w:rPr>
          <w:iCs/>
          <w:i/>
        </w:rPr>
        <w:t xml:space="preserve">Movement</w:t>
      </w:r>
      <w:r>
        <w:t xml:space="preserve">: if 30 residents of</w:t>
      </w:r>
      <w:r>
        <w:t xml:space="preserve"> </w:t>
      </w:r>
      <m:oMath>
        <m:r>
          <m:t>a</m:t>
        </m:r>
      </m:oMath>
      <w:r>
        <w:t xml:space="preserve"> </w:t>
      </w:r>
      <w:r>
        <w:t xml:space="preserve">voted at</w:t>
      </w:r>
      <w:r>
        <w:t xml:space="preserve"> </w:t>
      </w:r>
      <m:oMath>
        <m:r>
          <m:t>b</m:t>
        </m:r>
      </m:oMath>
      <w:r>
        <w:t xml:space="preserve">’s station and 30 residents of</w:t>
      </w:r>
      <w:r>
        <w:t xml:space="preserve"> </w:t>
      </w:r>
      <m:oMath>
        <m:r>
          <m:t>b</m:t>
        </m:r>
      </m:oMath>
      <w:r>
        <w:t xml:space="preserve"> </w:t>
      </w:r>
      <w:r>
        <w:t xml:space="preserve">at</w:t>
      </w:r>
      <w:r>
        <w:t xml:space="preserve"> </w:t>
      </w:r>
      <m:oMath>
        <m:r>
          <m:t>a</m:t>
        </m:r>
      </m:oMath>
      <w:r>
        <w:t xml:space="preserve">’s, the station counts are unchanged, but</w:t>
      </w:r>
      <w:r>
        <w:t xml:space="preserve"> </w:t>
      </w:r>
      <m:oMath>
        <m:r>
          <m:t>a</m:t>
        </m:r>
      </m:oMath>
      <w:r>
        <w:t xml:space="preserve">’s residents may have cast anywhere from 30 more to 30 fewer X ballots than its station shows, a change of 3 percentage points in</w:t>
      </w:r>
      <w:r>
        <w:t xml:space="preserve"> </w:t>
      </w:r>
      <m:oMath>
        <m:r>
          <m:t>a</m:t>
        </m:r>
      </m:oMath>
      <w:r>
        <w:t xml:space="preserve">’s share.</w:t>
      </w:r>
      <w:r>
        <w:t xml:space="preserve"> </w:t>
      </w:r>
      <w:r>
        <w:rPr>
          <w:iCs/>
          <w:i/>
        </w:rPr>
        <w:t xml:space="preserve">Pooling</w:t>
      </w:r>
      <w:r>
        <w:t xml:space="preserve">: the 120 pooled X ballots may be split so that</w:t>
      </w:r>
      <w:r>
        <w:t xml:space="preserve"> </w:t>
      </w:r>
      <m:oMath>
        <m:r>
          <m:t>a</m:t>
        </m:r>
      </m:oMath>
      <w:r>
        <w:t xml:space="preserve"> </w:t>
      </w:r>
      <w:r>
        <w:t xml:space="preserve">receives anywhere from 20 to 100 of them, a further 8-point range. The district’s share of X is the same in every case; how it divides between</w:t>
      </w:r>
      <w:r>
        <w:t xml:space="preserve"> </w:t>
      </w:r>
      <m:oMath>
        <m:r>
          <m:t>a</m:t>
        </m:r>
      </m:oMath>
      <w:r>
        <w:t xml:space="preserve"> </w:t>
      </w:r>
      <w:r>
        <w:t xml:space="preserve">and</w:t>
      </w:r>
      <w:r>
        <w:t xml:space="preserve"> </w:t>
      </w:r>
      <m:oMath>
        <m:r>
          <m:t>b</m:t>
        </m:r>
      </m:oMath>
      <w:r>
        <w:t xml:space="preserve"> </w:t>
      </w:r>
      <w:r>
        <w:t xml:space="preserve">is not. A conventional map treats station counts as residential counts and drops pooled ballots, leaving both sources of uncertainty unrepresented.</w:t>
      </w:r>
    </w:p>
    <w:p>
      <w:pPr>
        <w:pStyle w:val="BodyText"/>
      </w:pPr>
      <w:r>
        <w:rPr>
          <w:iCs/>
          <w:i/>
        </w:rPr>
        <w:t xml:space="preserve">Feasible allocations.</w:t>
      </w:r>
    </w:p>
    <w:p>
      <w:pPr>
        <w:pStyle w:val="BodyText"/>
      </w:pPr>
      <w:r>
        <w:t xml:space="preserve">An allocation must reproduce the election-day and station counts, the residents removed from each roll, and pooled candidate totals, while respecting statutory zones. We minimize and maximize the within-district slope over these allocations. A positive lower bound means that every compatible allocation yields a positive slope; a range spanning zero leaves the sign unresolved. Linear programming gives sharp bounds for continuous ballot counts and conservative outer bounds for integer counts (Manski 2003; Tamer 2010). Under the main assumptions, integer witnesses for the four elections from 2022 place endpoints within 0.0008 of the continuous bounds in both geographic scopes (Online Appendix A.4).</w:t>
      </w:r>
    </w:p>
    <w:p>
      <w:pPr>
        <w:pStyle w:val="BodyText"/>
      </w:pPr>
      <w:r>
        <w:t xml:space="preserve">Conventional ecological inference recovers unobserved cross-classifications from observed area totals (Duncan and Davis 1953; King 1997; Wakefield 2004; Cho and Manski 2008; Imai et al. 2008; Greiner and Quinn 2009; Jiang et al. 2020). Here the residential totals themselves are unobserved because reporting intervenes between voting and the record (Knox et al. 2020; Cross and Manski 2002; Molinari and Peski 2006; Ridder and Moffitt 2007). Like recent bounds using monotonicity restrictions (Elzayn et al. 2026), our analysis makes each assumption’s identifying role explicit, but addresses attribution before individual-level inference.</w:t>
      </w:r>
    </w:p>
    <w:bookmarkEnd w:id="27"/>
    <w:bookmarkStart w:id="28" w:name="assumptions-and-outcomes"/>
    <w:p>
      <w:pPr>
        <w:pStyle w:val="Heading2"/>
      </w:pPr>
      <w:r>
        <w:t xml:space="preserve">3.4 Assumptions and outcomes</w:t>
      </w:r>
    </w:p>
    <w:p>
      <w:pPr>
        <w:pStyle w:val="FirstParagraph"/>
      </w:pPr>
      <w:r>
        <w:t xml:space="preserve">The published counts permit extreme allocations, including ones in which neighboring areas’ residents account for almost entirely different candidates’ out-of-zone ballots. To assess how much the conclusions depend on such possibilities, we impose three restrictions and vary their strength (Manski and Pepper 2018; Rambachan and Roth 2023).</w:t>
      </w:r>
    </w:p>
    <w:p>
      <w:pPr>
        <w:numPr>
          <w:ilvl w:val="0"/>
          <w:numId w:val="1001"/>
        </w:numPr>
        <w:pStyle w:val="Compact"/>
      </w:pPr>
      <w:r>
        <w:rPr>
          <w:iCs/>
          <w:i/>
        </w:rPr>
        <w:t xml:space="preserve">Cross-neighborhood movement.</w:t>
      </w:r>
      <w:r>
        <w:t xml:space="preserve"> </w:t>
      </w:r>
      <w:r>
        <w:t xml:space="preserve">At the lower extreme, early voters moved only as much as the roll forces: when a station counted more ballots than its neighborhood had residents removed from the roll, the difference must have come from neighbors. We call this the</w:t>
      </w:r>
      <w:r>
        <w:t xml:space="preserve"> </w:t>
      </w:r>
      <w:r>
        <w:rPr>
          <w:iCs/>
          <w:i/>
        </w:rPr>
        <w:t xml:space="preserve">minimal-movement benchmark</w:t>
      </w:r>
      <w:r>
        <w:t xml:space="preserve">; it serves as a lower-movement reference rather than an estimate of actual behavior. For a</w:t>
      </w:r>
      <w:r>
        <w:t xml:space="preserve"> </w:t>
      </w:r>
      <w:r>
        <w:rPr>
          <w:iCs/>
          <w:i/>
        </w:rPr>
        <w:t xml:space="preserve">mobility-calibrated scenario</w:t>
      </w:r>
      <w:r>
        <w:t xml:space="preserve">, we use mobile-phone trip data (Seoul Living Mobility) to calibrate an upper bound on cross-neighborhood movement: beyond a baseline determined by the rolls and zone totals (Online Appendix A.1), the early voters who voted at another neighborhood’s station in their zone may number at most the zone’s out-of-zone early voters multiplied by the ratio of residents’ daytime trips to other neighborhoods of the zone to their trips leaving it. Trips are not votes, so the data set the scale of a cap rather than measure movement; studies that infer turnout from phone visits to polling stations use such data differently (Harada et al. 2025). We vary the cap by a factor</w:t>
      </w:r>
      <w:r>
        <w:t xml:space="preserve"> </w:t>
      </w:r>
      <m:oMath>
        <m:r>
          <m:t>λ</m:t>
        </m:r>
      </m:oMath>
      <w:r>
        <w:t xml:space="preserve"> </w:t>
      </w:r>
      <w:r>
        <w:t xml:space="preserve">and also report unrestricted movement.</w:t>
      </w:r>
    </w:p>
    <w:p>
      <w:pPr>
        <w:numPr>
          <w:ilvl w:val="0"/>
          <w:numId w:val="1001"/>
        </w:numPr>
        <w:pStyle w:val="Compact"/>
      </w:pPr>
      <w:r>
        <w:rPr>
          <w:iCs/>
          <w:i/>
        </w:rPr>
        <w:t xml:space="preserve">Out-of-zone composition.</w:t>
      </w:r>
      <w:r>
        <w:t xml:space="preserve"> </w:t>
      </w:r>
      <w:r>
        <w:t xml:space="preserve">We allow the candidate shares of a neighborhood’s out-of-zone ballots to differ from those of its early station by at most</w:t>
      </w:r>
      <w:r>
        <w:t xml:space="preserve"> </w:t>
      </w:r>
      <m:oMath>
        <m:r>
          <m:t>δ</m:t>
        </m:r>
      </m:oMath>
      <w:r>
        <w:t xml:space="preserve">, ten points in the main specification. A version that first shifts the station shares by the counting jurisdiction’s observed difference between out-of-zone and in-zone early voters yields nearly identical results.</w:t>
      </w:r>
    </w:p>
    <w:p>
      <w:pPr>
        <w:numPr>
          <w:ilvl w:val="0"/>
          <w:numId w:val="1001"/>
        </w:numPr>
        <w:pStyle w:val="Compact"/>
      </w:pPr>
      <w:r>
        <w:rPr>
          <w:iCs/>
          <w:i/>
        </w:rPr>
        <w:t xml:space="preserve">Residents’ in-zone early-vote composition.</w:t>
      </w:r>
      <w:r>
        <w:t xml:space="preserve"> </w:t>
      </w:r>
      <w:r>
        <w:t xml:space="preserve">We benchmark each neighborhood’s early vote by its own election-day vote, shifted by the counting jurisdiction’s observed gap between early and election-day voters. The jurisdiction is a district, or a parliamentary constituency in 2024. We then allow residents’ early ballots, wherever in the zone they were cast, to depart from this benchmark as much as their station’s ballots do, plus an additional tolerance</w:t>
      </w:r>
      <w:r>
        <w:t xml:space="preserve"> </w:t>
      </w:r>
      <m:oMath>
        <m:r>
          <m:t>s</m:t>
        </m:r>
      </m:oMath>
      <w:r>
        <w:t xml:space="preserve"> </w:t>
      </w:r>
      <w:r>
        <w:t xml:space="preserve">(two percentage points in the main specification). For example, if a station’s share differs from the benchmark by three points,</w:t>
      </w:r>
      <w:r>
        <w:t xml:space="preserve"> </w:t>
      </w:r>
      <m:oMath>
        <m:r>
          <m:t>s</m:t>
        </m:r>
        <m:r>
          <m:rPr>
            <m:sty m:val="p"/>
          </m:rPr>
          <m:t>=</m:t>
        </m:r>
        <m:r>
          <m:t>0.02</m:t>
        </m:r>
      </m:oMath>
      <w:r>
        <w:t xml:space="preserve"> </w:t>
      </w:r>
      <w:r>
        <w:t xml:space="preserve">permits its residents’ in-zone early share to differ by up to five points. This restriction carries much of the election-day pattern over to early voters: with small</w:t>
      </w:r>
      <w:r>
        <w:t xml:space="preserve"> </w:t>
      </w:r>
      <m:oMath>
        <m:r>
          <m:t>s</m:t>
        </m:r>
      </m:oMath>
      <w:r>
        <w:t xml:space="preserve">, residents’ early ballots inherit their neighborhood’s election-day vote, shifted by a jurisdiction-wide gap. Its role is therefore to ask how far the early-vote gradient could differ from the election-day gradient, which is point-identified (Section 4.2), before a conclusion about all residents changes.</w:t>
      </w:r>
    </w:p>
    <w:p>
      <w:pPr>
        <w:pStyle w:val="FirstParagraph"/>
      </w:pPr>
      <w:r>
        <w:t xml:space="preserve">We call the combination of the mobility-calibrated scenario,</w:t>
      </w:r>
      <w:r>
        <w:t xml:space="preserve"> </w:t>
      </w:r>
      <m:oMath>
        <m:r>
          <m:t>δ</m:t>
        </m:r>
        <m:r>
          <m:rPr>
            <m:sty m:val="p"/>
          </m:rPr>
          <m:t>=</m:t>
        </m:r>
        <m:r>
          <m:t>0.1</m:t>
        </m:r>
      </m:oMath>
      <w:r>
        <w:t xml:space="preserve"> </w:t>
      </w:r>
      <w:r>
        <w:t xml:space="preserve">and</w:t>
      </w:r>
      <w:r>
        <w:t xml:space="preserve"> </w:t>
      </w:r>
      <m:oMath>
        <m:r>
          <m:t>s</m:t>
        </m:r>
        <m:r>
          <m:rPr>
            <m:sty m:val="p"/>
          </m:rPr>
          <m:t>=</m:t>
        </m:r>
        <m:r>
          <m:t>0.02</m:t>
        </m:r>
      </m:oMath>
      <w:r>
        <w:t xml:space="preserve"> </w:t>
      </w:r>
      <w:r>
        <w:t xml:space="preserve">our</w:t>
      </w:r>
      <w:r>
        <w:t xml:space="preserve"> </w:t>
      </w:r>
      <w:r>
        <w:rPr>
          <w:iCs/>
          <w:i/>
        </w:rPr>
        <w:t xml:space="preserve">main assumptions</w:t>
      </w:r>
      <w:r>
        <w:t xml:space="preserve">. They are reference points, not validated error bounds. Stations’ own ballots depart from the benchmark by a median of about one point, and in the five elections with early voting the conservative share among a jurisdiction’s out-of-zone early voters differs from that among its in-zone early voters by at most 7.7 points (Online Appendix Table C6), so the 10-point tolerance exceeds every jurisdiction-level gap observed. What</w:t>
      </w:r>
      <w:r>
        <w:t xml:space="preserve"> </w:t>
      </w:r>
      <m:oMath>
        <m:r>
          <m:t>δ</m:t>
        </m:r>
      </m:oMath>
      <w:r>
        <w:t xml:space="preserve"> </w:t>
      </w:r>
      <w:r>
        <w:t xml:space="preserve">bounds, however, is the gap for each neighborhood’s residents, which is not observed and may vary within a district more than jurisdiction totals show. Moreover, the population classified as out-of-zone differs across election types. We therefore treat as evidence the range of settings under which a conclusion holds: each assumption is indexed by one parameter, so we report how far it can be relaxed before a conclusion changes and what the allocation that first reverses it looks like (Masten and Poirier 2020; Table 3, Panel B; Section 4.5). Box 2 states the accounting identities and the outcome; Online Appendix A gives the assumptions in the same notation.</w:t>
      </w:r>
    </w:p>
    <w:p>
      <w:pPr>
        <w:pStyle w:val="BodyText"/>
      </w:pPr>
      <w:r>
        <w:t xml:space="preserve">Table 2 separates the contribution of each restriction. Column A establishes what follows from the returns, rolls and zones; column D adds movement and out-of-zone composition restrictions; column E adds the link to residents’ in-zone early composition. A positive bound in E therefore shows that the election-day pattern can be extended under that link, rather than independently confirming that early voters follow it. Comparing D with E identifies where the link is decisive: the 2026 whole-city slope is already positive in D, whereas its extension outside the three districts and the narrow 2024 whole-city result require E. Sensitivity thresholds measure how far the restrictions can be relaxed; they neither validate them nor assign probabilities to the tolerances.</w:t>
      </w:r>
    </w:p>
    <w:p>
      <w:pPr>
        <w:pStyle w:val="BodyText"/>
      </w:pPr>
      <w:r>
        <w:rPr>
          <w:bCs/>
          <w:b/>
        </w:rPr>
        <w:t xml:space="preserve">Box 2. The accounting identities and the outcome</w:t>
      </w:r>
    </w:p>
    <w:p>
      <w:pPr>
        <w:pStyle w:val="BodyText"/>
      </w:pPr>
      <w:r>
        <w:t xml:space="preserve">For each counting jurisdiction (a district, or a constituency in 2024), let</w:t>
      </w:r>
      <w:r>
        <w:t xml:space="preserve"> </w:t>
      </w:r>
      <m:oMath>
        <m:sSub>
          <m:e>
            <m:r>
              <m:t>A</m:t>
            </m:r>
          </m:e>
          <m:sub>
            <m:r>
              <m:t>i</m:t>
            </m:r>
            <m:r>
              <m:t>c</m:t>
            </m:r>
          </m:sub>
        </m:sSub>
      </m:oMath>
      <w:r>
        <w:t xml:space="preserve"> </w:t>
      </w:r>
      <w:r>
        <w:t xml:space="preserve">be the election-day ballots for candidate</w:t>
      </w:r>
      <w:r>
        <w:t xml:space="preserve"> </w:t>
      </w:r>
      <m:oMath>
        <m:r>
          <m:t>c</m:t>
        </m:r>
      </m:oMath>
      <w:r>
        <w:t xml:space="preserve"> </w:t>
      </w:r>
      <w:r>
        <w:t xml:space="preserve">in neighborhood</w:t>
      </w:r>
      <w:r>
        <w:t xml:space="preserve"> </w:t>
      </w:r>
      <m:oMath>
        <m:r>
          <m:t>i</m:t>
        </m:r>
      </m:oMath>
      <w:r>
        <w:t xml:space="preserve">,</w:t>
      </w:r>
      <w:r>
        <w:t xml:space="preserve"> </w:t>
      </w:r>
      <m:oMath>
        <m:sSub>
          <m:e>
            <m:r>
              <m:t>K</m:t>
            </m:r>
          </m:e>
          <m:sub>
            <m:r>
              <m:t>j</m:t>
            </m:r>
            <m:r>
              <m:t>c</m:t>
            </m:r>
          </m:sub>
        </m:sSub>
      </m:oMath>
      <w:r>
        <w:t xml:space="preserve"> </w:t>
      </w:r>
      <w:r>
        <w:t xml:space="preserve">the in-zone early ballots counted at the station of neighborhood</w:t>
      </w:r>
      <w:r>
        <w:t xml:space="preserve"> </w:t>
      </w:r>
      <m:oMath>
        <m:r>
          <m:t>j</m:t>
        </m:r>
      </m:oMath>
      <w:r>
        <w:t xml:space="preserve">,</w:t>
      </w:r>
      <w:r>
        <w:t xml:space="preserve"> </w:t>
      </w:r>
      <m:oMath>
        <m:sSub>
          <m:e>
            <m:r>
              <m:t>E</m:t>
            </m:r>
          </m:e>
          <m:sub>
            <m:r>
              <m:t>i</m:t>
            </m:r>
          </m:sub>
        </m:sSub>
      </m:oMath>
      <w:r>
        <w:t xml:space="preserve"> </w:t>
      </w:r>
      <w:r>
        <w:t xml:space="preserve">the registered electorate,</w:t>
      </w:r>
      <w:r>
        <w:t xml:space="preserve"> </w:t>
      </w:r>
      <m:oMath>
        <m:sSub>
          <m:e>
            <m:r>
              <m:t>D</m:t>
            </m:r>
          </m:e>
          <m:sub>
            <m:r>
              <m:t>i</m:t>
            </m:r>
          </m:sub>
        </m:sSub>
      </m:oMath>
      <w:r>
        <w:t xml:space="preserve"> </w:t>
      </w:r>
      <w:r>
        <w:t xml:space="preserve">the electorate remaining on the election-day roll, and</w:t>
      </w:r>
      <w:r>
        <w:t xml:space="preserve"> </w:t>
      </w:r>
      <m:oMath>
        <m:sSub>
          <m:e>
            <m:r>
              <m:t>P</m:t>
            </m:r>
          </m:e>
          <m:sub>
            <m:r>
              <m:t>c</m:t>
            </m:r>
          </m:sub>
        </m:sSub>
      </m:oMath>
      <w:r>
        <w:t xml:space="preserve"> </w:t>
      </w:r>
      <w:r>
        <w:t xml:space="preserve">and</w:t>
      </w:r>
      <w:r>
        <w:t xml:space="preserve"> </w:t>
      </w:r>
      <m:oMath>
        <m:sSub>
          <m:e>
            <m:r>
              <m:t>Q</m:t>
            </m:r>
          </m:e>
          <m:sub>
            <m:r>
              <m:t>c</m:t>
            </m:r>
          </m:sub>
        </m:sSub>
      </m:oMath>
      <w:r>
        <w:t xml:space="preserve"> </w:t>
      </w:r>
      <w:r>
        <w:t xml:space="preserve">the jurisdiction totals of out-of-zone early ballots and of at-home and overseas ballots. The difference</w:t>
      </w:r>
      <w:r>
        <w:t xml:space="preserve"> </w:t>
      </w:r>
      <m:oMath>
        <m:sSub>
          <m:e>
            <m:r>
              <m:t>E</m:t>
            </m:r>
          </m:e>
          <m:sub>
            <m:r>
              <m:t>i</m:t>
            </m:r>
          </m:sub>
        </m:sSub>
        <m:r>
          <m:rPr>
            <m:sty m:val="p"/>
          </m:rPr>
          <m:t>−</m:t>
        </m:r>
        <m:sSub>
          <m:e>
            <m:r>
              <m:t>D</m:t>
            </m:r>
          </m:e>
          <m:sub>
            <m:r>
              <m:t>i</m:t>
            </m:r>
          </m:sub>
        </m:sSub>
      </m:oMath>
      <w:r>
        <w:t xml:space="preserve"> </w:t>
      </w:r>
      <w:r>
        <w:t xml:space="preserve">counts residents removed from the election-day roll. The unknowns are</w:t>
      </w:r>
      <w:r>
        <w:t xml:space="preserve"> </w:t>
      </w:r>
      <m:oMath>
        <m:sSub>
          <m:e>
            <m:r>
              <m:t>F</m:t>
            </m:r>
          </m:e>
          <m:sub>
            <m:r>
              <m:t>i</m:t>
            </m:r>
            <m:r>
              <m:t>j</m:t>
            </m:r>
            <m:r>
              <m:t>c</m:t>
            </m:r>
          </m:sub>
        </m:sSub>
      </m:oMath>
      <w:r>
        <w:t xml:space="preserve">, the early ballots of residents of</w:t>
      </w:r>
      <w:r>
        <w:t xml:space="preserve"> </w:t>
      </w:r>
      <m:oMath>
        <m:r>
          <m:t>i</m:t>
        </m:r>
      </m:oMath>
      <w:r>
        <w:t xml:space="preserve"> </w:t>
      </w:r>
      <w:r>
        <w:t xml:space="preserve">cast at station</w:t>
      </w:r>
      <w:r>
        <w:t xml:space="preserve"> </w:t>
      </w:r>
      <m:oMath>
        <m:r>
          <m:t>j</m:t>
        </m:r>
      </m:oMath>
      <w:r>
        <w:t xml:space="preserve">;</w:t>
      </w:r>
      <w:r>
        <w:t xml:space="preserve"> </w:t>
      </w:r>
      <m:oMath>
        <m:sSub>
          <m:e>
            <m:r>
              <m:t>P</m:t>
            </m:r>
          </m:e>
          <m:sub>
            <m:r>
              <m:t>i</m:t>
            </m:r>
            <m:r>
              <m:t>c</m:t>
            </m:r>
          </m:sub>
        </m:sSub>
      </m:oMath>
      <w:r>
        <w:t xml:space="preserve"> </w:t>
      </w:r>
      <w:r>
        <w:t xml:space="preserve">and</w:t>
      </w:r>
      <w:r>
        <w:t xml:space="preserve"> </w:t>
      </w:r>
      <m:oMath>
        <m:sSub>
          <m:e>
            <m:r>
              <m:t>Q</m:t>
            </m:r>
          </m:e>
          <m:sub>
            <m:r>
              <m:t>i</m:t>
            </m:r>
            <m:r>
              <m:t>c</m:t>
            </m:r>
          </m:sub>
        </m:sSub>
      </m:oMath>
      <w:r>
        <w:t xml:space="preserve">, residents’ pooled ballots; and</w:t>
      </w:r>
      <w:r>
        <w:t xml:space="preserve"> </w:t>
      </w:r>
      <m:oMath>
        <m:sSub>
          <m:e>
            <m:r>
              <m:t>U</m:t>
            </m:r>
          </m:e>
          <m:sub>
            <m:r>
              <m:t>i</m:t>
            </m:r>
          </m:sub>
        </m:sSub>
      </m:oMath>
      <w:r>
        <w:t xml:space="preserve">, removed residents who cast no counted ballot. Every allocation must satisfy</w:t>
      </w:r>
    </w:p>
    <w:p>
      <w:pPr>
        <w:pStyle w:val="BodyText"/>
      </w:pPr>
      <m:oMathPara>
        <m:oMathParaPr>
          <m:jc m:val="center"/>
        </m:oMathParaPr>
        <m:oMath>
          <m:nary>
            <m:naryPr>
              <m:chr m:val="∑"/>
              <m:limLoc m:val="undOvr"/>
              <m:subHide m:val="off"/>
              <m:supHide m:val="on"/>
            </m:naryPr>
            <m:sub>
              <m:r>
                <m:t>j</m:t>
              </m:r>
              <m:r>
                <m:rPr>
                  <m:sty m:val="p"/>
                </m:rPr>
                <m:t>,</m:t>
              </m:r>
              <m:r>
                <m:t>c</m:t>
              </m:r>
            </m:sub>
            <m:sup>
              <m:r>
                <m:t>​</m:t>
              </m:r>
            </m:sup>
            <m:e>
              <m:sSub>
                <m:e>
                  <m:r>
                    <m:t>F</m:t>
                  </m:r>
                </m:e>
                <m:sub>
                  <m:r>
                    <m:t>i</m:t>
                  </m:r>
                  <m:r>
                    <m:t>j</m:t>
                  </m:r>
                  <m:r>
                    <m:t>c</m:t>
                  </m:r>
                </m:sub>
              </m:sSub>
            </m:e>
          </m:nary>
          <m:r>
            <m:rPr>
              <m:sty m:val="p"/>
            </m:rPr>
            <m:t>+</m:t>
          </m:r>
          <m:nary>
            <m:naryPr>
              <m:chr m:val="∑"/>
              <m:limLoc m:val="undOvr"/>
              <m:subHide m:val="off"/>
              <m:supHide m:val="on"/>
            </m:naryPr>
            <m:sub>
              <m:r>
                <m:t>c</m:t>
              </m:r>
            </m:sub>
            <m:sup>
              <m:r>
                <m:t>​</m:t>
              </m:r>
            </m:sup>
            <m:e>
              <m:sSub>
                <m:e>
                  <m:r>
                    <m:t>P</m:t>
                  </m:r>
                </m:e>
                <m:sub>
                  <m:r>
                    <m:t>i</m:t>
                  </m:r>
                  <m:r>
                    <m:t>c</m:t>
                  </m:r>
                </m:sub>
              </m:sSub>
            </m:e>
          </m:nary>
          <m:r>
            <m:rPr>
              <m:sty m:val="p"/>
            </m:rPr>
            <m:t>+</m:t>
          </m:r>
          <m:nary>
            <m:naryPr>
              <m:chr m:val="∑"/>
              <m:limLoc m:val="undOvr"/>
              <m:subHide m:val="off"/>
              <m:supHide m:val="on"/>
            </m:naryPr>
            <m:sub>
              <m:r>
                <m:t>c</m:t>
              </m:r>
            </m:sub>
            <m:sup>
              <m:r>
                <m:t>​</m:t>
              </m:r>
            </m:sup>
            <m:e>
              <m:sSub>
                <m:e>
                  <m:r>
                    <m:t>Q</m:t>
                  </m:r>
                </m:e>
                <m:sub>
                  <m:r>
                    <m:t>i</m:t>
                  </m:r>
                  <m:r>
                    <m:t>c</m:t>
                  </m:r>
                </m:sub>
              </m:sSub>
            </m:e>
          </m:nary>
          <m:r>
            <m:rPr>
              <m:sty m:val="p"/>
            </m:rPr>
            <m:t>+</m:t>
          </m:r>
          <m:sSub>
            <m:e>
              <m:r>
                <m:t>U</m:t>
              </m:r>
            </m:e>
            <m:sub>
              <m:r>
                <m:t>i</m:t>
              </m:r>
            </m:sub>
          </m:sSub>
          <m:r>
            <m:rPr>
              <m:sty m:val="p"/>
            </m:rPr>
            <m:t>=</m:t>
          </m:r>
          <m:sSub>
            <m:e>
              <m:r>
                <m:t>E</m:t>
              </m:r>
            </m:e>
            <m:sub>
              <m:r>
                <m:t>i</m:t>
              </m:r>
            </m:sub>
          </m:sSub>
          <m:r>
            <m:rPr>
              <m:sty m:val="p"/>
            </m:rPr>
            <m:t>−</m:t>
          </m:r>
          <m:sSub>
            <m:e>
              <m:r>
                <m:t>D</m:t>
              </m:r>
            </m:e>
            <m:sub>
              <m:r>
                <m:t>i</m:t>
              </m:r>
            </m:sub>
          </m:sSub>
          <m:r>
            <m:rPr>
              <m:sty m:val="p"/>
            </m:rPr>
            <m:t>,</m:t>
          </m:r>
          <m:r>
            <m:t>  </m:t>
          </m:r>
          <m:nary>
            <m:naryPr>
              <m:chr m:val="∑"/>
              <m:limLoc m:val="undOvr"/>
              <m:subHide m:val="off"/>
              <m:supHide m:val="on"/>
            </m:naryPr>
            <m:sub>
              <m:r>
                <m:t>i</m:t>
              </m:r>
            </m:sub>
            <m:sup>
              <m:r>
                <m:t>​</m:t>
              </m:r>
            </m:sup>
            <m:e>
              <m:sSub>
                <m:e>
                  <m:r>
                    <m:t>F</m:t>
                  </m:r>
                </m:e>
                <m:sub>
                  <m:r>
                    <m:t>i</m:t>
                  </m:r>
                  <m:r>
                    <m:t>j</m:t>
                  </m:r>
                  <m:r>
                    <m:t>c</m:t>
                  </m:r>
                </m:sub>
              </m:sSub>
            </m:e>
          </m:nary>
          <m:r>
            <m:rPr>
              <m:sty m:val="p"/>
            </m:rPr>
            <m:t>=</m:t>
          </m:r>
          <m:sSub>
            <m:e>
              <m:r>
                <m:t>K</m:t>
              </m:r>
            </m:e>
            <m:sub>
              <m:r>
                <m:t>j</m:t>
              </m:r>
              <m:r>
                <m:t>c</m:t>
              </m:r>
            </m:sub>
          </m:sSub>
          <m:r>
            <m:rPr>
              <m:sty m:val="p"/>
            </m:rPr>
            <m:t>,</m:t>
          </m:r>
          <m:r>
            <m:t>  </m:t>
          </m:r>
          <m:nary>
            <m:naryPr>
              <m:chr m:val="∑"/>
              <m:limLoc m:val="undOvr"/>
              <m:subHide m:val="off"/>
              <m:supHide m:val="on"/>
            </m:naryPr>
            <m:sub>
              <m:r>
                <m:t>i</m:t>
              </m:r>
            </m:sub>
            <m:sup>
              <m:r>
                <m:t>​</m:t>
              </m:r>
            </m:sup>
            <m:e>
              <m:sSub>
                <m:e>
                  <m:r>
                    <m:t>P</m:t>
                  </m:r>
                </m:e>
                <m:sub>
                  <m:r>
                    <m:t>i</m:t>
                  </m:r>
                  <m:r>
                    <m:t>c</m:t>
                  </m:r>
                </m:sub>
              </m:sSub>
            </m:e>
          </m:nary>
          <m:r>
            <m:rPr>
              <m:sty m:val="p"/>
            </m:rPr>
            <m:t>=</m:t>
          </m:r>
          <m:sSub>
            <m:e>
              <m:r>
                <m:t>P</m:t>
              </m:r>
            </m:e>
            <m:sub>
              <m:r>
                <m:t>c</m:t>
              </m:r>
            </m:sub>
          </m:sSub>
          <m:r>
            <m:rPr>
              <m:sty m:val="p"/>
            </m:rPr>
            <m:t>,</m:t>
          </m:r>
          <m:r>
            <m:t>  </m:t>
          </m:r>
          <m:nary>
            <m:naryPr>
              <m:chr m:val="∑"/>
              <m:limLoc m:val="undOvr"/>
              <m:subHide m:val="off"/>
              <m:supHide m:val="on"/>
            </m:naryPr>
            <m:sub>
              <m:r>
                <m:t>i</m:t>
              </m:r>
            </m:sub>
            <m:sup>
              <m:r>
                <m:t>​</m:t>
              </m:r>
            </m:sup>
            <m:e>
              <m:sSub>
                <m:e>
                  <m:r>
                    <m:t>Q</m:t>
                  </m:r>
                </m:e>
                <m:sub>
                  <m:r>
                    <m:t>i</m:t>
                  </m:r>
                  <m:r>
                    <m:t>c</m:t>
                  </m:r>
                </m:sub>
              </m:sSub>
            </m:e>
          </m:nary>
          <m:r>
            <m:rPr>
              <m:sty m:val="p"/>
            </m:rPr>
            <m:t>=</m:t>
          </m:r>
          <m:sSub>
            <m:e>
              <m:r>
                <m:t>Q</m:t>
              </m:r>
            </m:e>
            <m:sub>
              <m:r>
                <m:t>c</m:t>
              </m:r>
            </m:sub>
          </m:sSub>
          <m:r>
            <m:rPr>
              <m:sty m:val="p"/>
            </m:rPr>
            <m:t>,</m:t>
          </m:r>
        </m:oMath>
      </m:oMathPara>
    </w:p>
    <w:p>
      <w:pPr>
        <w:pStyle w:val="FirstParagraph"/>
      </w:pPr>
      <w:r>
        <w:t xml:space="preserve">and</w:t>
      </w:r>
      <w:r>
        <w:t xml:space="preserve"> </w:t>
      </w:r>
      <m:oMath>
        <m:sSub>
          <m:e>
            <m:r>
              <m:t>F</m:t>
            </m:r>
          </m:e>
          <m:sub>
            <m:r>
              <m:t>i</m:t>
            </m:r>
            <m:r>
              <m:t>j</m:t>
            </m:r>
            <m:r>
              <m:t>c</m:t>
            </m:r>
          </m:sub>
        </m:sSub>
        <m:r>
          <m:rPr>
            <m:sty m:val="p"/>
          </m:rPr>
          <m:t>=</m:t>
        </m:r>
        <m:r>
          <m:t>0</m:t>
        </m:r>
      </m:oMath>
      <w:r>
        <w:t xml:space="preserve"> </w:t>
      </w:r>
      <w:r>
        <w:t xml:space="preserve">when</w:t>
      </w:r>
      <w:r>
        <w:t xml:space="preserve"> </w:t>
      </w:r>
      <m:oMath>
        <m:r>
          <m:t>i</m:t>
        </m:r>
      </m:oMath>
      <w:r>
        <w:t xml:space="preserve"> </w:t>
      </w:r>
      <w:r>
        <w:t xml:space="preserve">and</w:t>
      </w:r>
      <w:r>
        <w:t xml:space="preserve"> </w:t>
      </w:r>
      <m:oMath>
        <m:r>
          <m:t>j</m:t>
        </m:r>
      </m:oMath>
      <w:r>
        <w:t xml:space="preserve"> </w:t>
      </w:r>
      <w:r>
        <w:t xml:space="preserve">lie in different early-voting zones. Residents’ votes for</w:t>
      </w:r>
      <w:r>
        <w:t xml:space="preserve"> </w:t>
      </w:r>
      <m:oMath>
        <m:r>
          <m:t>c</m:t>
        </m:r>
      </m:oMath>
      <w:r>
        <w:t xml:space="preserve"> </w:t>
      </w:r>
      <w:r>
        <w:t xml:space="preserve">are</w:t>
      </w:r>
      <w:r>
        <w:t xml:space="preserve"> </w:t>
      </w:r>
      <m:oMath>
        <m:sSub>
          <m:e>
            <m:r>
              <m:t>N</m:t>
            </m:r>
          </m:e>
          <m:sub>
            <m:r>
              <m:t>i</m:t>
            </m:r>
            <m:r>
              <m:t>c</m:t>
            </m:r>
          </m:sub>
        </m:sSub>
        <m:r>
          <m:rPr>
            <m:sty m:val="p"/>
          </m:rPr>
          <m:t>=</m:t>
        </m:r>
        <m:sSub>
          <m:e>
            <m:r>
              <m:t>A</m:t>
            </m:r>
          </m:e>
          <m:sub>
            <m:r>
              <m:t>i</m:t>
            </m:r>
            <m:r>
              <m:t>c</m:t>
            </m:r>
          </m:sub>
        </m:sSub>
        <m:r>
          <m:rPr>
            <m:sty m:val="p"/>
          </m:rPr>
          <m:t>+</m:t>
        </m:r>
        <m:nary>
          <m:naryPr>
            <m:chr m:val="∑"/>
            <m:limLoc m:val="undOvr"/>
            <m:subHide m:val="off"/>
            <m:supHide m:val="on"/>
          </m:naryPr>
          <m:sub>
            <m:r>
              <m:t>j</m:t>
            </m:r>
          </m:sub>
          <m:sup>
            <m:r>
              <m:t>​</m:t>
            </m:r>
          </m:sup>
          <m:e>
            <m:sSub>
              <m:e>
                <m:r>
                  <m:t>F</m:t>
                </m:r>
              </m:e>
              <m:sub>
                <m:r>
                  <m:t>i</m:t>
                </m:r>
                <m:r>
                  <m:t>j</m:t>
                </m:r>
                <m:r>
                  <m:t>c</m:t>
                </m:r>
              </m:sub>
            </m:sSub>
          </m:e>
        </m:nary>
        <m:r>
          <m:rPr>
            <m:sty m:val="p"/>
          </m:rPr>
          <m:t>+</m:t>
        </m:r>
        <m:sSub>
          <m:e>
            <m:r>
              <m:t>P</m:t>
            </m:r>
          </m:e>
          <m:sub>
            <m:r>
              <m:t>i</m:t>
            </m:r>
            <m:r>
              <m:t>c</m:t>
            </m:r>
          </m:sub>
        </m:sSub>
        <m:r>
          <m:rPr>
            <m:sty m:val="p"/>
          </m:rPr>
          <m:t>+</m:t>
        </m:r>
        <m:sSub>
          <m:e>
            <m:r>
              <m:t>Q</m:t>
            </m:r>
          </m:e>
          <m:sub>
            <m:r>
              <m:t>i</m:t>
            </m:r>
            <m:r>
              <m:t>c</m:t>
            </m:r>
          </m:sub>
        </m:sSub>
      </m:oMath>
      <w:r>
        <w:t xml:space="preserve">.</w:t>
      </w:r>
    </w:p>
    <w:p>
      <w:pPr>
        <w:pStyle w:val="BodyText"/>
      </w:pPr>
      <w:r>
        <w:rPr>
          <w:iCs/>
          <w:i/>
        </w:rPr>
        <w:t xml:space="preserve">The outcome.</w:t>
      </w:r>
      <w:r>
        <w:t xml:space="preserve"> </w:t>
      </w:r>
      <w:r>
        <w:t xml:space="preserve">With</w:t>
      </w:r>
      <w:r>
        <w:t xml:space="preserve"> </w:t>
      </w:r>
      <m:oMath>
        <m:sSub>
          <m:e>
            <m:r>
              <m:t>A</m:t>
            </m:r>
          </m:e>
          <m:sub>
            <m:r>
              <m:t>i</m:t>
            </m:r>
          </m:sub>
        </m:sSub>
      </m:oMath>
      <w:r>
        <w:t xml:space="preserve"> </w:t>
      </w:r>
      <w:r>
        <w:t xml:space="preserve">the election-day voters of</w:t>
      </w:r>
      <w:r>
        <w:t xml:space="preserve"> </w:t>
      </w:r>
      <m:oMath>
        <m:r>
          <m:t>i</m:t>
        </m:r>
      </m:oMath>
      <w:r>
        <w:t xml:space="preserve">, let</w:t>
      </w:r>
      <w:r>
        <w:t xml:space="preserve"> </w:t>
      </w:r>
      <m:oMath>
        <m:sSub>
          <m:e>
            <m:r>
              <m:t>H</m:t>
            </m:r>
          </m:e>
          <m:sub>
            <m:r>
              <m:t>i</m:t>
            </m:r>
          </m:sub>
        </m:sSub>
        <m:r>
          <m:rPr>
            <m:sty m:val="p"/>
          </m:rPr>
          <m:t>=</m:t>
        </m:r>
        <m:sSub>
          <m:e>
            <m:r>
              <m:t>A</m:t>
            </m:r>
          </m:e>
          <m:sub>
            <m:r>
              <m:t>i</m:t>
            </m:r>
          </m:sub>
        </m:sSub>
        <m:r>
          <m:rPr>
            <m:sty m:val="p"/>
          </m:rPr>
          <m:t>+</m:t>
        </m:r>
        <m:d>
          <m:dPr>
            <m:begChr m:val="("/>
            <m:endChr m:val=")"/>
            <m:sepChr m:val=""/>
            <m:grow/>
          </m:dPr>
          <m:e>
            <m:sSub>
              <m:e>
                <m:r>
                  <m:t>E</m:t>
                </m:r>
              </m:e>
              <m:sub>
                <m:r>
                  <m:t>i</m:t>
                </m:r>
              </m:sub>
            </m:sSub>
            <m:r>
              <m:rPr>
                <m:sty m:val="p"/>
              </m:rPr>
              <m:t>−</m:t>
            </m:r>
            <m:sSub>
              <m:e>
                <m:r>
                  <m:t>D</m:t>
                </m:r>
              </m:e>
              <m:sub>
                <m:r>
                  <m:t>i</m:t>
                </m:r>
              </m:sub>
            </m:sSub>
          </m:e>
        </m:d>
      </m:oMath>
      <w:r>
        <w:t xml:space="preserve"> </w:t>
      </w:r>
      <w:r>
        <w:t xml:space="preserve">and let</w:t>
      </w:r>
      <w:r>
        <w:t xml:space="preserve"> </w:t>
      </w:r>
      <m:oMath>
        <m:sSub>
          <m:e>
            <m:r>
              <m:t>I</m:t>
            </m:r>
          </m:e>
          <m:sub>
            <m:r>
              <m:t>i</m:t>
            </m:r>
          </m:sub>
        </m:sSub>
        <m:r>
          <m:rPr>
            <m:sty m:val="p"/>
          </m:rPr>
          <m:t>=</m:t>
        </m:r>
        <m:sSub>
          <m:e>
            <m:r>
              <m:t>N</m:t>
            </m:r>
          </m:e>
          <m:sub>
            <m:r>
              <m:t>i</m:t>
            </m:r>
            <m:r>
              <m:rPr>
                <m:sty m:val="p"/>
              </m:rPr>
              <m:t>,</m:t>
            </m:r>
            <m:r>
              <m:rPr>
                <m:sty m:val="p"/>
              </m:rPr>
              <m:t>i</m:t>
            </m:r>
            <m:r>
              <m:rPr>
                <m:sty m:val="p"/>
              </m:rPr>
              <m:t>n</m:t>
            </m:r>
            <m:r>
              <m:rPr>
                <m:sty m:val="p"/>
              </m:rPr>
              <m:t>v</m:t>
            </m:r>
          </m:sub>
        </m:sSub>
      </m:oMath>
      <w:r>
        <w:t xml:space="preserve"> </w:t>
      </w:r>
      <w:r>
        <w:t xml:space="preserve">be residents’ invalid ballots. We analyze the roll-based share</w:t>
      </w:r>
      <w:r>
        <w:t xml:space="preserve"> </w:t>
      </w:r>
      <m:oMath>
        <m:sSub>
          <m:e>
            <m:r>
              <m:t>z</m:t>
            </m:r>
          </m:e>
          <m:sub>
            <m:r>
              <m:t>i</m:t>
            </m:r>
            <m:r>
              <m:t>c</m:t>
            </m:r>
          </m:sub>
        </m:sSub>
        <m:r>
          <m:rPr>
            <m:sty m:val="p"/>
          </m:rPr>
          <m:t>=</m:t>
        </m:r>
        <m:sSub>
          <m:e>
            <m:r>
              <m:t>N</m:t>
            </m:r>
          </m:e>
          <m:sub>
            <m:r>
              <m:t>i</m:t>
            </m:r>
            <m:r>
              <m:t>c</m:t>
            </m:r>
          </m:sub>
        </m:sSub>
        <m:r>
          <m:rPr>
            <m:sty m:val="p"/>
          </m:rPr>
          <m:t>/</m:t>
        </m:r>
        <m:sSub>
          <m:e>
            <m:r>
              <m:t>H</m:t>
            </m:r>
          </m:e>
          <m:sub>
            <m:r>
              <m:t>i</m:t>
            </m:r>
          </m:sub>
        </m:sSub>
      </m:oMath>
      <w:r>
        <w:t xml:space="preserve">, whereas the usual valid-vote share is</w:t>
      </w:r>
      <w:r>
        <w:t xml:space="preserve"> </w:t>
      </w:r>
      <m:oMath>
        <m:sSub>
          <m:e>
            <m:r>
              <m:t>y</m:t>
            </m:r>
          </m:e>
          <m:sub>
            <m:r>
              <m:t>i</m:t>
            </m:r>
            <m:r>
              <m:t>c</m:t>
            </m:r>
          </m:sub>
        </m:sSub>
        <m:r>
          <m:rPr>
            <m:sty m:val="p"/>
          </m:rPr>
          <m:t>=</m:t>
        </m:r>
        <m:sSub>
          <m:e>
            <m:r>
              <m:t>N</m:t>
            </m:r>
          </m:e>
          <m:sub>
            <m:r>
              <m:t>i</m:t>
            </m:r>
            <m:r>
              <m:t>c</m:t>
            </m:r>
          </m:sub>
        </m:sSub>
        <m:r>
          <m:rPr>
            <m:sty m:val="p"/>
          </m:rPr>
          <m:t>/</m:t>
        </m:r>
        <m:d>
          <m:dPr>
            <m:begChr m:val="("/>
            <m:endChr m:val=")"/>
            <m:sepChr m:val=""/>
            <m:grow/>
          </m:dPr>
          <m:e>
            <m:sSub>
              <m:e>
                <m:r>
                  <m:t>H</m:t>
                </m:r>
              </m:e>
              <m:sub>
                <m:r>
                  <m:t>i</m:t>
                </m:r>
              </m:sub>
            </m:sSub>
            <m:r>
              <m:rPr>
                <m:sty m:val="p"/>
              </m:rPr>
              <m:t>−</m:t>
            </m:r>
            <m:sSub>
              <m:e>
                <m:r>
                  <m:t>U</m:t>
                </m:r>
              </m:e>
              <m:sub>
                <m:r>
                  <m:t>i</m:t>
                </m:r>
              </m:sub>
            </m:sSub>
            <m:r>
              <m:rPr>
                <m:sty m:val="p"/>
              </m:rPr>
              <m:t>−</m:t>
            </m:r>
            <m:sSub>
              <m:e>
                <m:r>
                  <m:t>I</m:t>
                </m:r>
              </m:e>
              <m:sub>
                <m:r>
                  <m:t>i</m:t>
                </m:r>
              </m:sub>
            </m:sSub>
          </m:e>
        </m:d>
      </m:oMath>
      <w:r>
        <w:t xml:space="preserve">. Because</w:t>
      </w:r>
      <w:r>
        <w:t xml:space="preserve"> </w:t>
      </w:r>
      <m:oMath>
        <m:sSub>
          <m:e>
            <m:r>
              <m:t>H</m:t>
            </m:r>
          </m:e>
          <m:sub>
            <m:r>
              <m:t>i</m:t>
            </m:r>
          </m:sub>
        </m:sSub>
      </m:oMath>
      <w:r>
        <w:t xml:space="preserve"> </w:t>
      </w:r>
      <w:r>
        <w:t xml:space="preserve">includes voters casting invalid ballots and removed residents who cast no counted ballot,</w:t>
      </w:r>
      <w:r>
        <w:t xml:space="preserve"> </w:t>
      </w:r>
      <m:oMath>
        <m:r>
          <m:t>z</m:t>
        </m:r>
      </m:oMath>
      <w:r>
        <w:t xml:space="preserve"> </w:t>
      </w:r>
      <w:r>
        <w:t xml:space="preserve">is no greater than</w:t>
      </w:r>
      <w:r>
        <w:t xml:space="preserve"> </w:t>
      </w:r>
      <m:oMath>
        <m:r>
          <m:t>y</m:t>
        </m:r>
      </m:oMath>
      <w:r>
        <w:t xml:space="preserve"> </w:t>
      </w:r>
      <w:r>
        <w:t xml:space="preserve">and is not the valid-vote share. Its linearity gives exact ranges for continuous allocations and outer bounds for integer ballots. For</w:t>
      </w:r>
      <w:r>
        <w:t xml:space="preserve"> </w:t>
      </w:r>
      <m:oMath>
        <m:r>
          <m:t>y</m:t>
        </m:r>
      </m:oMath>
      <w:r>
        <w:t xml:space="preserve"> </w:t>
      </w:r>
      <w:r>
        <w:t xml:space="preserve">we bracket the endpoints. The main-assumption sign conclusions agree, but the 2025 positive slope under minimal movement and a ten-point out-of-zone tolerance does not survive this outcome change (Online Appendix Tables C20 and C21).</w:t>
      </w:r>
    </w:p>
    <w:p>
      <w:pPr>
        <w:pStyle w:val="BodyText"/>
      </w:pPr>
      <w:r>
        <w:t xml:space="preserve">For each allocation, the within-district slope is</w:t>
      </w:r>
    </w:p>
    <w:p>
      <w:pPr>
        <w:pStyle w:val="BodyText"/>
      </w:pPr>
      <m:oMathPara>
        <m:oMathParaPr>
          <m:jc m:val="center"/>
        </m:oMathParaPr>
        <m:oMath>
          <m:r>
            <m:t>β</m:t>
          </m:r>
          <m:r>
            <m:rPr>
              <m:sty m:val="p"/>
            </m:rPr>
            <m:t>=</m:t>
          </m:r>
          <m:f>
            <m:fPr>
              <m:type m:val="bar"/>
            </m:fPr>
            <m:num>
              <m:nary>
                <m:naryPr>
                  <m:chr m:val="∑"/>
                  <m:limLoc m:val="undOvr"/>
                  <m:subHide m:val="off"/>
                  <m:supHide m:val="on"/>
                </m:naryPr>
                <m:sub>
                  <m:r>
                    <m:t>i</m:t>
                  </m:r>
                </m:sub>
                <m:sup>
                  <m:r>
                    <m:t>​</m:t>
                  </m:r>
                </m:sup>
                <m:e>
                  <m:d>
                    <m:dPr>
                      <m:begChr m:val="("/>
                      <m:endChr m:val=")"/>
                      <m:sepChr m:val=""/>
                      <m:grow/>
                    </m:dPr>
                    <m:e>
                      <m:sSub>
                        <m:e>
                          <m:r>
                            <m:t>x</m:t>
                          </m:r>
                        </m:e>
                        <m:sub>
                          <m:r>
                            <m:t>i</m:t>
                          </m:r>
                        </m:sub>
                      </m:sSub>
                      <m:r>
                        <m:rPr>
                          <m:sty m:val="p"/>
                        </m:rPr>
                        <m:t>−</m:t>
                      </m:r>
                      <m:sSub>
                        <m:e>
                          <m:bar>
                            <m:barPr>
                              <m:pos m:val="top"/>
                            </m:barPr>
                            <m:e>
                              <m:r>
                                <m:t>x</m:t>
                              </m:r>
                            </m:e>
                          </m:bar>
                        </m:e>
                        <m:sub>
                          <m:r>
                            <m:t>g</m:t>
                          </m:r>
                          <m:d>
                            <m:dPr>
                              <m:begChr m:val="("/>
                              <m:endChr m:val=")"/>
                              <m:sepChr m:val=""/>
                              <m:grow/>
                            </m:dPr>
                            <m:e>
                              <m:r>
                                <m:t>i</m:t>
                              </m:r>
                            </m:e>
                          </m:d>
                        </m:sub>
                      </m:sSub>
                    </m:e>
                  </m:d>
                </m:e>
              </m:nary>
              <m:sSub>
                <m:e>
                  <m:r>
                    <m:t>z</m:t>
                  </m:r>
                </m:e>
                <m:sub>
                  <m:r>
                    <m:t>i</m:t>
                  </m:r>
                  <m:r>
                    <m:t>c</m:t>
                  </m:r>
                </m:sub>
              </m:sSub>
            </m:num>
            <m:den>
              <m:nary>
                <m:naryPr>
                  <m:chr m:val="∑"/>
                  <m:limLoc m:val="undOvr"/>
                  <m:subHide m:val="off"/>
                  <m:supHide m:val="on"/>
                </m:naryPr>
                <m:sub>
                  <m:r>
                    <m:t>i</m:t>
                  </m:r>
                </m:sub>
                <m:sup>
                  <m:r>
                    <m:t>​</m:t>
                  </m:r>
                </m:sup>
                <m:e>
                  <m:sSup>
                    <m:e>
                      <m:d>
                        <m:dPr>
                          <m:begChr m:val="("/>
                          <m:endChr m:val=")"/>
                          <m:sepChr m:val=""/>
                          <m:grow/>
                        </m:dPr>
                        <m:e>
                          <m:sSub>
                            <m:e>
                              <m:r>
                                <m:t>x</m:t>
                              </m:r>
                            </m:e>
                            <m:sub>
                              <m:r>
                                <m:t>i</m:t>
                              </m:r>
                            </m:sub>
                          </m:sSub>
                          <m:r>
                            <m:rPr>
                              <m:sty m:val="p"/>
                            </m:rPr>
                            <m:t>−</m:t>
                          </m:r>
                          <m:sSub>
                            <m:e>
                              <m:bar>
                                <m:barPr>
                                  <m:pos m:val="top"/>
                                </m:barPr>
                                <m:e>
                                  <m:r>
                                    <m:t>x</m:t>
                                  </m:r>
                                </m:e>
                              </m:bar>
                            </m:e>
                            <m:sub>
                              <m:r>
                                <m:t>g</m:t>
                              </m:r>
                              <m:d>
                                <m:dPr>
                                  <m:begChr m:val="("/>
                                  <m:endChr m:val=")"/>
                                  <m:sepChr m:val=""/>
                                  <m:grow/>
                                </m:dPr>
                                <m:e>
                                  <m:r>
                                    <m:t>i</m:t>
                                  </m:r>
                                </m:e>
                              </m:d>
                            </m:sub>
                          </m:sSub>
                        </m:e>
                      </m:d>
                    </m:e>
                    <m:sup>
                      <m:r>
                        <m:t>2</m:t>
                      </m:r>
                    </m:sup>
                  </m:sSup>
                </m:e>
              </m:nary>
            </m:den>
          </m:f>
          <m:r>
            <m:rPr>
              <m:sty m:val="p"/>
            </m:rPr>
            <m:t>,</m:t>
          </m:r>
        </m:oMath>
      </m:oMathPara>
    </w:p>
    <w:p>
      <w:pPr>
        <w:pStyle w:val="FirstParagraph"/>
      </w:pPr>
      <w:r>
        <w:t xml:space="preserve">where</w:t>
      </w:r>
      <w:r>
        <w:t xml:space="preserve"> </w:t>
      </w:r>
      <m:oMath>
        <m:sSub>
          <m:e>
            <m:r>
              <m:t>x</m:t>
            </m:r>
          </m:e>
          <m:sub>
            <m:r>
              <m:t>i</m:t>
            </m:r>
          </m:sub>
        </m:sSub>
      </m:oMath>
      <w:r>
        <w:t xml:space="preserve"> </w:t>
      </w:r>
      <w:r>
        <w:t xml:space="preserve">is log apartment price,</w:t>
      </w:r>
      <w:r>
        <w:t xml:space="preserve"> </w:t>
      </w:r>
      <m:oMath>
        <m:r>
          <m:t>g</m:t>
        </m:r>
        <m:d>
          <m:dPr>
            <m:begChr m:val="("/>
            <m:endChr m:val=")"/>
            <m:sepChr m:val=""/>
            <m:grow/>
          </m:dPr>
          <m:e>
            <m:r>
              <m:t>i</m:t>
            </m:r>
          </m:e>
        </m:d>
      </m:oMath>
      <w:r>
        <w:t xml:space="preserve"> </w:t>
      </w:r>
      <w:r>
        <w:t xml:space="preserve">is the district containing neighborhood</w:t>
      </w:r>
      <w:r>
        <w:t xml:space="preserve"> </w:t>
      </w:r>
      <m:oMath>
        <m:r>
          <m:t>i</m:t>
        </m:r>
      </m:oMath>
      <w:r>
        <w:t xml:space="preserve">, and</w:t>
      </w:r>
      <w:r>
        <w:t xml:space="preserve"> </w:t>
      </w:r>
      <m:oMath>
        <m:sSub>
          <m:e>
            <m:bar>
              <m:barPr>
                <m:pos m:val="top"/>
              </m:barPr>
              <m:e>
                <m:r>
                  <m:t>x</m:t>
                </m:r>
              </m:e>
            </m:bar>
          </m:e>
          <m:sub>
            <m:r>
              <m:t>g</m:t>
            </m:r>
          </m:sub>
        </m:sSub>
      </m:oMath>
      <w:r>
        <w:t xml:space="preserve"> </w:t>
      </w:r>
      <w:r>
        <w:t xml:space="preserve">is the mean log price of the priced neighborhoods in that district. The sums run over neighborhoods with price data in the specified sample. Prices and weights stay fixed while the allocation changes</w:t>
      </w:r>
      <w:r>
        <w:t xml:space="preserve"> </w:t>
      </w:r>
      <m:oMath>
        <m:r>
          <m:t>z</m:t>
        </m:r>
      </m:oMath>
      <w:r>
        <w:t xml:space="preserve">; the two linear programs find the smallest and largest</w:t>
      </w:r>
      <w:r>
        <w:t xml:space="preserve"> </w:t>
      </w:r>
      <m:oMath>
        <m:r>
          <m:t>β</m:t>
        </m:r>
      </m:oMath>
      <w:r>
        <w:t xml:space="preserve">. Multiplying a slope by</w:t>
      </w:r>
      <w:r>
        <w:t xml:space="preserve"> </w:t>
      </w:r>
      <m:oMath>
        <m:r>
          <m:t>100</m:t>
        </m:r>
        <m:r>
          <m:rPr>
            <m:sty m:val="p"/>
          </m:rPr>
          <m:t>log</m:t>
        </m:r>
        <m:r>
          <m:t>2</m:t>
        </m:r>
      </m:oMath>
      <w:r>
        <w:t xml:space="preserve"> </w:t>
      </w:r>
      <w:r>
        <w:t xml:space="preserve">expresses the fitted difference for a doubling of prices in percentage points.</w:t>
      </w:r>
    </w:p>
    <w:p>
      <w:pPr>
        <w:pStyle w:val="BodyText"/>
      </w:pPr>
      <w:r>
        <w:t xml:space="preserve">The estimands describe registered residents of places, not homeowners, and they are associations, not effects of housing wealth. All results are conditional on the observed returns and price measure. The ranges describe allocation uncertainty for the observed finite population, not confidence intervals: the returns are a census, so this target does not involve sampling voters. This does not eliminate uncertainty from price measurement, address matching or administrative records, nor justify inference to other elections. The election-day slopes are descriptions of the observed neighborhoods; permutation p-values and clustered standard errors are auxiliary diagnostics requiring further assumptions (Abadie et al. 2020; Online Appendix Table C1). Transaction resampling shows sensitivity to the price measure without supplying confidence intervals with established coverage (Online Appendix Table C24). Inference for estimated bounds is developed elsewhere (Imbens and Manski 2004; Stoye 2009; Fang and Santos 2019; Fang et al. 2023).</w:t>
      </w:r>
    </w:p>
    <w:bookmarkEnd w:id="28"/>
    <w:bookmarkEnd w:id="29"/>
    <w:bookmarkStart w:id="44" w:name="results"/>
    <w:p>
      <w:pPr>
        <w:pStyle w:val="Heading1"/>
      </w:pPr>
      <w:r>
        <w:t xml:space="preserve">4. Results</w:t>
      </w:r>
    </w:p>
    <w:bookmarkStart w:id="33" w:name="the-association-across-districts"/>
    <w:p>
      <w:pPr>
        <w:pStyle w:val="Heading2"/>
      </w:pPr>
      <w:r>
        <w:t xml:space="preserve">4.1 The association across districts</w:t>
      </w:r>
    </w:p>
    <w:p>
      <w:pPr>
        <w:pStyle w:val="FirstParagraph"/>
      </w:pPr>
      <w:r>
        <w:t xml:space="preserve">At the district scale, ballots can be assigned to the residential unit without neighborhood-level allocation assumptions. The 2024 analysis uses 24 units, merging Jung-gu and Seongdong-gu because one constituency spans both; the other elections use 25 districts. For all of Seoul, higher apartment prices are associated with greater conservative support in every election (Figure 2A; Table 3). A doubling of the geometric mean of a district’s neighborhood prices is associated with a conservative share 4 percentage points higher in 2017 and 9 to 14 points higher in the other elections. Excluding Gangnam, Seocho and Songpa reduces the slope to about half to two-thirds of its full value in 2022–2026. In 2012 and 2017 it falls to 0.057 and 0.025, less than half its full value, and model-based standard errors would not distinguish these slopes from zero (Online Appendix Table C2). The earlier district-level associations thus rest largely on the three southeastern districts.</w:t>
      </w:r>
    </w:p>
    <w:p>
      <w:pPr>
        <w:pStyle w:val="CaptionedFigure"/>
        <w:keepNext/>
      </w:pPr>
      <w:r>
        <w:drawing>
          <wp:inline>
            <wp:extent cx="5334000" cy="3785852"/>
            <wp:effectExtent b="0" l="0" r="0" t="0"/>
            <wp:docPr descr="Figure 2. The three spatial claims, for all of Seoul and without Gangnam, Seocho and Songpa. (A) Expensive districts: slope of the conservative valid-vote share on log price across districts; for all of Seoul, the dot is the slope over 25 districts (24 units in 2024) and the line the range of slopes when one district at a time is dropped. (B) Expensive neighborhoods within districts: range of the within-district slope of the roll-based share z consistent with the data under the main assumptions (Table 2, column E). (C) The same for the difference between the more and less expensive halves of each district’s neighborhoods, in percentage points. 2012 and 2017, which lack mobility data, use the returns and rolls alone and minimal movement with out-of-zone voters within ten points (columns A and C) and are drawn faint, as they are not comparable with the later elections. Panel A uses valid-vote shares, panels B and C roll-based shares. Ranges are sets of values consistent with the data and assumptions, not confidence intervals." title="" id="31" name="Picture"/>
            <a:graphic>
              <a:graphicData uri="http://schemas.openxmlformats.org/drawingml/2006/picture">
                <pic:pic>
                  <pic:nvPicPr>
                    <pic:cNvPr descr="figures/fig2_scope.png" id="32" name="Picture"/>
                    <pic:cNvPicPr>
                      <a:picLocks noChangeArrowheads="1" noChangeAspect="1"/>
                    </pic:cNvPicPr>
                  </pic:nvPicPr>
                  <pic:blipFill>
                    <a:blip r:embed="rId30"/>
                    <a:stretch>
                      <a:fillRect/>
                    </a:stretch>
                  </pic:blipFill>
                  <pic:spPr bwMode="auto">
                    <a:xfrm>
                      <a:off x="0" y="0"/>
                      <a:ext cx="5334000" cy="3785852"/>
                    </a:xfrm>
                    <a:prstGeom prst="rect">
                      <a:avLst/>
                    </a:prstGeom>
                    <a:noFill/>
                    <a:ln w="9525">
                      <a:noFill/>
                      <a:headEnd/>
                      <a:tailEnd/>
                    </a:ln>
                  </pic:spPr>
                </pic:pic>
              </a:graphicData>
            </a:graphic>
          </wp:inline>
        </w:drawing>
      </w:r>
    </w:p>
    <w:p>
      <w:pPr>
        <w:pStyle w:val="ImageCaption"/>
      </w:pPr>
      <w:r>
        <w:t xml:space="preserve">Figure 2. The three spatial claims, for all of Seoul and without Gangnam, Seocho and Songpa. (A) Expensive districts: slope of the conservative valid-vote share on log price across districts; for all of Seoul, the dot is the slope over 25 districts (24 units in 2024) and the line the range of slopes when one district at a time is dropped. (B) Expensive neighborhoods within districts: range of the within-district slope of the roll-based share</w:t>
      </w:r>
      <w:r>
        <w:t xml:space="preserve"> </w:t>
      </w:r>
      <m:oMath>
        <m:r>
          <m:t>z</m:t>
        </m:r>
      </m:oMath>
      <w:r>
        <w:t xml:space="preserve"> </w:t>
      </w:r>
      <w:r>
        <w:t xml:space="preserve">consistent with the data under the main assumptions (Table 2, column E). (C) The same for the difference between the more and less expensive halves of each district’s neighborhoods, in percentage points. 2012 and 2017, which lack mobility data, use the returns and rolls alone and minimal movement with out-of-zone voters within ten points (columns A and C) and are drawn faint, as they are not comparable with the later elections. Panel A uses valid-vote shares, panels B and C roll-based shares. Ranges are sets of values consistent with the data and assumptions, not confidence intervals.</w:t>
      </w:r>
    </w:p>
    <w:bookmarkEnd w:id="33"/>
    <w:bookmarkStart w:id="37" w:name="the-association-within-districts"/>
    <w:p>
      <w:pPr>
        <w:sectPr>
          <w:pgMar w:top="1417" w:bottom="1417" w:left="1417" w:right="1417"/>
          <w:pgSz w:w="11906" w:h="16838" w:orient="portrait"/>
          <w:type w:val="nextPage"/>
        </w:sectPr>
      </w:pPr>
    </w:p>
    <w:p>
      <w:pPr>
        <w:pStyle w:val="Heading2"/>
      </w:pPr>
      <w:r>
        <w:t xml:space="preserve">4.2 The association within districts</w:t>
      </w:r>
    </w:p>
    <w:p>
      <w:pPr>
        <w:pStyle w:val="FirstParagraph"/>
      </w:pPr>
      <w:r>
        <w:t xml:space="preserve">Table 2 follows the within-district gradient as assumptions are added. Each range contains the slopes consistent with the data and stated assumptions. A range that includes zero leaves the direction unresolved. Table 3 compares the geographic scopes and price-group contrasts; the full contrast results are in Online Appendix Table C3.</w:t>
      </w:r>
    </w:p>
    <w:p>
      <w:pPr>
        <w:pStyle w:val="TableCaption"/>
        <w:keepNext/>
      </w:pPr>
      <w:r>
        <w:t xml:space="preserve">Table 2. Within-district price gradients under alternative assumptions</w:t>
      </w:r>
    </w:p>
    <w:tbl>
      <w:tblPr>
        <w:tblStyle w:val="Table"/>
        <w:tblW w:type="pct" w:w="5000"/>
        <w:tblLayout w:type="fixed"/>
        <w:tblLook w:firstRow="1" w:lastRow="0" w:firstColumn="0" w:lastColumn="0" w:noHBand="0" w:noVBand="0" w:val="0020"/>
        <w:jc w:val="start"/>
        <w:tblCaption w:val="Table 2. Within-district price gradients under alternative assumptions"/>
      </w:tblPr>
      <w:tblGrid>
        <w:gridCol w:w="999"/>
        <w:gridCol w:w="999"/>
        <w:gridCol w:w="2001"/>
        <w:gridCol w:w="2001"/>
        <w:gridCol w:w="2001"/>
        <w:gridCol w:w="2001"/>
        <w:gridCol w:w="2001"/>
        <w:gridCol w:w="2001"/>
      </w:tblGrid>
      <w:tr>
        <w:trPr>
          <w:tblHeader w:val="true"/>
          <w:cantSplit/>
        </w:trPr>
        <w:tc>
          <w:tcPr>
            <w:tcW w:type="dxa" w:w="999"/>
          </w:tcPr>
          <w:p>
            <w:pPr>
              <w:keepNext/>
              <w:keepLines/>
              <w:spacing w:before="0" w:after="40" w:line="240" w:lineRule="auto"/>
              <w:jc w:val="left"/>
            </w:pPr>
            <w:r>
              <w:rPr>
                <w:sz w:val="18"/>
              </w:rPr>
              <w:t>Election</w:t>
            </w:r>
          </w:p>
        </w:tc>
        <w:tc>
          <w:tcPr>
            <w:tcW w:type="dxa" w:w="999"/>
          </w:tcPr>
          <w:p>
            <w:pPr>
              <w:keepNext/>
              <w:keepLines/>
              <w:spacing w:before="0" w:after="40" w:line="240" w:lineRule="auto"/>
              <w:jc w:val="center"/>
            </w:pPr>
            <w:r>
              <w:rPr>
                <w:sz w:val="18"/>
              </w:rPr>
              <w:t>Election day (exact y)</w:t>
            </w:r>
          </w:p>
        </w:tc>
        <w:tc>
          <w:tcPr>
            <w:tcW w:type="dxa" w:w="2001"/>
          </w:tcPr>
          <w:p>
            <w:pPr>
              <w:keepNext/>
              <w:keepLines/>
              <w:spacing w:before="0" w:after="40" w:line="240" w:lineRule="auto"/>
              <w:jc w:val="center"/>
            </w:pPr>
            <w:r>
              <w:rPr>
                <w:sz w:val="18"/>
              </w:rPr>
              <w:t>A</w:t>
            </w:r>
          </w:p>
        </w:tc>
        <w:tc>
          <w:tcPr>
            <w:tcW w:type="dxa" w:w="2001"/>
          </w:tcPr>
          <w:p>
            <w:pPr>
              <w:keepNext/>
              <w:keepLines/>
              <w:spacing w:before="0" w:after="40" w:line="240" w:lineRule="auto"/>
              <w:jc w:val="center"/>
            </w:pPr>
            <w:r>
              <w:rPr>
                <w:sz w:val="18"/>
              </w:rPr>
              <w:t>B</w:t>
            </w:r>
          </w:p>
        </w:tc>
        <w:tc>
          <w:tcPr>
            <w:tcW w:type="dxa" w:w="2001"/>
          </w:tcPr>
          <w:p>
            <w:pPr>
              <w:keepNext/>
              <w:keepLines/>
              <w:spacing w:before="0" w:after="40" w:line="240" w:lineRule="auto"/>
              <w:jc w:val="center"/>
            </w:pPr>
            <w:r>
              <w:rPr>
                <w:sz w:val="18"/>
              </w:rPr>
              <w:t>C</w:t>
            </w:r>
          </w:p>
        </w:tc>
        <w:tc>
          <w:tcPr>
            <w:tcW w:type="dxa" w:w="2001"/>
          </w:tcPr>
          <w:p>
            <w:pPr>
              <w:keepNext/>
              <w:keepLines/>
              <w:spacing w:before="0" w:after="40" w:line="240" w:lineRule="auto"/>
              <w:jc w:val="center"/>
            </w:pPr>
            <w:r>
              <w:rPr>
                <w:sz w:val="18"/>
              </w:rPr>
              <w:t>D</w:t>
            </w:r>
          </w:p>
        </w:tc>
        <w:tc>
          <w:tcPr>
            <w:tcW w:type="dxa" w:w="2001"/>
          </w:tcPr>
          <w:p>
            <w:pPr>
              <w:keepNext/>
              <w:keepLines/>
              <w:spacing w:before="0" w:after="40" w:line="240" w:lineRule="auto"/>
              <w:jc w:val="center"/>
            </w:pPr>
            <w:r>
              <w:rPr>
                <w:sz w:val="18"/>
              </w:rPr>
              <w:t>E</w:t>
            </w:r>
          </w:p>
        </w:tc>
        <w:tc>
          <w:tcPr>
            <w:tcW w:type="dxa" w:w="2001"/>
          </w:tcPr>
          <w:p>
            <w:pPr>
              <w:keepNext/>
              <w:keepLines/>
              <w:spacing w:before="0" w:after="40" w:line="240" w:lineRule="auto"/>
              <w:jc w:val="center"/>
            </w:pPr>
            <w:r>
              <w:rPr>
                <w:sz w:val="18"/>
              </w:rPr>
              <w:t>F</w:t>
            </w:r>
          </w:p>
        </w:tc>
      </w:tr>
      <w:tr>
        <w:trPr>
          <w:cantSplit/>
        </w:trPr>
        <w:tc>
          <w:tcPr>
            <w:tcW w:type="dxa" w:w="999"/>
          </w:tcPr>
          <w:p>
            <w:pPr>
              <w:pStyle w:val="Compact"/>
              <w:keepNext/>
              <w:keepLines/>
              <w:spacing w:before="0" w:after="40" w:line="240" w:lineRule="auto"/>
              <w:jc w:val="left"/>
            </w:pPr>
            <w:r>
              <w:rPr>
                <w:sz w:val="18"/>
              </w:rPr>
              <w:t xml:space="preserve">2012</w:t>
            </w:r>
          </w:p>
        </w:tc>
        <w:tc>
          <w:tcPr>
            <w:tcW w:type="dxa" w:w="999"/>
          </w:tcPr>
          <w:p>
            <w:pPr>
              <w:pStyle w:val="Compact"/>
              <w:keepNext/>
              <w:keepLines/>
              <w:spacing w:before="0" w:after="40" w:line="240" w:lineRule="auto"/>
              <w:jc w:val="center"/>
            </w:pPr>
            <w:r>
              <w:rPr>
                <w:sz w:val="18"/>
              </w:rPr>
              <w:t xml:space="preserve">0.087</w:t>
            </w:r>
          </w:p>
        </w:tc>
        <w:tc>
          <w:tcPr>
            <w:tcW w:type="dxa" w:w="2001"/>
          </w:tcPr>
          <w:p>
            <w:pPr>
              <w:pStyle w:val="Compact"/>
              <w:keepNext/>
              <w:keepLines/>
              <w:spacing w:before="0" w:after="40" w:line="240" w:lineRule="auto"/>
              <w:jc w:val="center"/>
            </w:pPr>
            <w:r>
              <w:rPr>
                <w:sz w:val="18"/>
              </w:rPr>
              <w:t xml:space="preserve">[0.008, 0.157]</w:t>
            </w:r>
          </w:p>
        </w:tc>
        <w:tc>
          <w:tcPr>
            <w:tcW w:type="dxa" w:w="2001"/>
          </w:tcPr>
          <w:p>
            <w:pPr>
              <w:pStyle w:val="Compact"/>
              <w:keepNext/>
              <w:keepLines/>
              <w:spacing w:before="0" w:after="40" w:line="240" w:lineRule="auto"/>
              <w:jc w:val="center"/>
            </w:pPr>
            <w:r>
              <w:rPr>
                <w:sz w:val="18"/>
              </w:rPr>
              <w:t xml:space="preserve">[0.008, 0.157]</w:t>
            </w:r>
          </w:p>
        </w:tc>
        <w:tc>
          <w:tcPr>
            <w:tcW w:type="dxa" w:w="2001"/>
          </w:tcPr>
          <w:p>
            <w:pPr>
              <w:pStyle w:val="Compact"/>
              <w:keepNext/>
              <w:keepLines/>
              <w:spacing w:before="0" w:after="40" w:line="240" w:lineRule="auto"/>
              <w:jc w:val="center"/>
            </w:pPr>
            <w:r>
              <w:rPr>
                <w:sz w:val="18"/>
              </w:rPr>
              <w:t xml:space="preserve">[0.027, 0.140]</w:t>
            </w:r>
          </w:p>
        </w:tc>
        <w:tc>
          <w:tcPr>
            <w:tcW w:type="dxa" w:w="2001"/>
          </w:tcPr>
          <w:p>
            <w:pPr>
              <w:pStyle w:val="Compact"/>
              <w:keepNext/>
              <w:keepLines/>
              <w:spacing w:before="0" w:after="40" w:line="240" w:lineRule="auto"/>
              <w:jc w:val="center"/>
            </w:pPr>
            <w:r>
              <w:rPr>
                <w:sz w:val="18"/>
              </w:rPr>
              <w:t xml:space="preserve">–</w:t>
            </w:r>
          </w:p>
        </w:tc>
        <w:tc>
          <w:tcPr>
            <w:tcW w:type="dxa" w:w="2001"/>
          </w:tcPr>
          <w:p>
            <w:pPr>
              <w:pStyle w:val="Compact"/>
              <w:keepNext/>
              <w:keepLines/>
              <w:spacing w:before="0" w:after="40" w:line="240" w:lineRule="auto"/>
              <w:jc w:val="center"/>
            </w:pPr>
            <w:r>
              <w:rPr>
                <w:sz w:val="18"/>
              </w:rPr>
              <w:t xml:space="preserve">–</w:t>
            </w:r>
          </w:p>
        </w:tc>
        <w:tc>
          <w:tcPr>
            <w:tcW w:type="dxa" w:w="2001"/>
          </w:tcPr>
          <w:p>
            <w:pPr>
              <w:pStyle w:val="Compact"/>
              <w:keepNext/>
              <w:keepLines/>
              <w:spacing w:before="0" w:after="40" w:line="240" w:lineRule="auto"/>
              <w:jc w:val="center"/>
            </w:pPr>
            <w:r>
              <w:rPr>
                <w:sz w:val="18"/>
              </w:rPr>
              <w:t xml:space="preserve">–</w:t>
            </w:r>
          </w:p>
        </w:tc>
      </w:tr>
      <w:tr>
        <w:trPr>
          <w:cantSplit/>
        </w:trPr>
        <w:tc>
          <w:tcPr>
            <w:tcW w:type="dxa" w:w="999"/>
          </w:tcPr>
          <w:p>
            <w:pPr>
              <w:pStyle w:val="Compact"/>
              <w:keepNext/>
              <w:keepLines/>
              <w:spacing w:before="0" w:after="40" w:line="240" w:lineRule="auto"/>
              <w:jc w:val="left"/>
            </w:pPr>
            <w:r>
              <w:rPr>
                <w:sz w:val="18"/>
              </w:rPr>
              <w:t xml:space="preserve">2017</w:t>
            </w:r>
          </w:p>
        </w:tc>
        <w:tc>
          <w:tcPr>
            <w:tcW w:type="dxa" w:w="999"/>
          </w:tcPr>
          <w:p>
            <w:pPr>
              <w:pStyle w:val="Compact"/>
              <w:keepNext/>
              <w:keepLines/>
              <w:spacing w:before="0" w:after="40" w:line="240" w:lineRule="auto"/>
              <w:jc w:val="center"/>
            </w:pPr>
            <w:r>
              <w:rPr>
                <w:sz w:val="18"/>
              </w:rPr>
              <w:t xml:space="preserve">0.013</w:t>
            </w:r>
          </w:p>
        </w:tc>
        <w:tc>
          <w:tcPr>
            <w:tcW w:type="dxa" w:w="2001"/>
          </w:tcPr>
          <w:p>
            <w:pPr>
              <w:pStyle w:val="Compact"/>
              <w:keepNext/>
              <w:keepLines/>
              <w:spacing w:before="0" w:after="40" w:line="240" w:lineRule="auto"/>
              <w:jc w:val="center"/>
            </w:pPr>
            <w:r>
              <w:rPr>
                <w:bCs/>
                <w:b/>
                <w:sz w:val="18"/>
              </w:rPr>
              <w:t xml:space="preserve">[−0.428, 0.450]</w:t>
            </w:r>
          </w:p>
        </w:tc>
        <w:tc>
          <w:tcPr>
            <w:tcW w:type="dxa" w:w="2001"/>
          </w:tcPr>
          <w:p>
            <w:pPr>
              <w:pStyle w:val="Compact"/>
              <w:keepNext/>
              <w:keepLines/>
              <w:spacing w:before="0" w:after="40" w:line="240" w:lineRule="auto"/>
              <w:jc w:val="center"/>
            </w:pPr>
            <w:r>
              <w:rPr>
                <w:bCs/>
                <w:b/>
                <w:sz w:val="18"/>
              </w:rPr>
              <w:t xml:space="preserve">[−0.136, 0.162]</w:t>
            </w:r>
          </w:p>
        </w:tc>
        <w:tc>
          <w:tcPr>
            <w:tcW w:type="dxa" w:w="2001"/>
          </w:tcPr>
          <w:p>
            <w:pPr>
              <w:pStyle w:val="Compact"/>
              <w:keepNext/>
              <w:keepLines/>
              <w:spacing w:before="0" w:after="40" w:line="240" w:lineRule="auto"/>
              <w:jc w:val="center"/>
            </w:pPr>
            <w:r>
              <w:rPr>
                <w:bCs/>
                <w:b/>
                <w:sz w:val="18"/>
              </w:rPr>
              <w:t xml:space="preserve">[−0.060, 0.085]</w:t>
            </w:r>
          </w:p>
        </w:tc>
        <w:tc>
          <w:tcPr>
            <w:tcW w:type="dxa" w:w="2001"/>
          </w:tcPr>
          <w:p>
            <w:pPr>
              <w:pStyle w:val="Compact"/>
              <w:keepNext/>
              <w:keepLines/>
              <w:spacing w:before="0" w:after="40" w:line="240" w:lineRule="auto"/>
              <w:jc w:val="center"/>
            </w:pPr>
            <w:r>
              <w:rPr>
                <w:sz w:val="18"/>
              </w:rPr>
              <w:t xml:space="preserve">–</w:t>
            </w:r>
          </w:p>
        </w:tc>
        <w:tc>
          <w:tcPr>
            <w:tcW w:type="dxa" w:w="2001"/>
          </w:tcPr>
          <w:p>
            <w:pPr>
              <w:pStyle w:val="Compact"/>
              <w:keepNext/>
              <w:keepLines/>
              <w:spacing w:before="0" w:after="40" w:line="240" w:lineRule="auto"/>
              <w:jc w:val="center"/>
            </w:pPr>
            <w:r>
              <w:rPr>
                <w:sz w:val="18"/>
              </w:rPr>
              <w:t xml:space="preserve">–</w:t>
            </w:r>
          </w:p>
        </w:tc>
        <w:tc>
          <w:tcPr>
            <w:tcW w:type="dxa" w:w="2001"/>
          </w:tcPr>
          <w:p>
            <w:pPr>
              <w:pStyle w:val="Compact"/>
              <w:keepNext/>
              <w:keepLines/>
              <w:spacing w:before="0" w:after="40" w:line="240" w:lineRule="auto"/>
              <w:jc w:val="center"/>
            </w:pPr>
            <w:r>
              <w:rPr>
                <w:sz w:val="18"/>
              </w:rPr>
              <w:t xml:space="preserve">–</w:t>
            </w:r>
          </w:p>
        </w:tc>
      </w:tr>
      <w:tr>
        <w:trPr>
          <w:cantSplit/>
        </w:trPr>
        <w:tc>
          <w:tcPr>
            <w:tcW w:type="dxa" w:w="999"/>
          </w:tcPr>
          <w:p>
            <w:pPr>
              <w:pStyle w:val="Compact"/>
              <w:keepNext/>
              <w:keepLines/>
              <w:spacing w:before="0" w:after="40" w:line="240" w:lineRule="auto"/>
              <w:jc w:val="left"/>
            </w:pPr>
            <w:r>
              <w:rPr>
                <w:sz w:val="18"/>
              </w:rPr>
              <w:t xml:space="preserve">2022</w:t>
            </w:r>
          </w:p>
        </w:tc>
        <w:tc>
          <w:tcPr>
            <w:tcW w:type="dxa" w:w="999"/>
          </w:tcPr>
          <w:p>
            <w:pPr>
              <w:pStyle w:val="Compact"/>
              <w:keepNext/>
              <w:keepLines/>
              <w:spacing w:before="0" w:after="40" w:line="240" w:lineRule="auto"/>
              <w:jc w:val="center"/>
            </w:pPr>
            <w:r>
              <w:rPr>
                <w:sz w:val="18"/>
              </w:rPr>
              <w:t xml:space="preserve">0.097</w:t>
            </w:r>
          </w:p>
        </w:tc>
        <w:tc>
          <w:tcPr>
            <w:tcW w:type="dxa" w:w="2001"/>
          </w:tcPr>
          <w:p>
            <w:pPr>
              <w:pStyle w:val="Compact"/>
              <w:keepNext/>
              <w:keepLines/>
              <w:spacing w:before="0" w:after="40" w:line="240" w:lineRule="auto"/>
              <w:jc w:val="center"/>
            </w:pPr>
            <w:r>
              <w:rPr>
                <w:bCs/>
                <w:b/>
                <w:sz w:val="18"/>
              </w:rPr>
              <w:t xml:space="preserve">[−0.615, 0.704]</w:t>
            </w:r>
          </w:p>
        </w:tc>
        <w:tc>
          <w:tcPr>
            <w:tcW w:type="dxa" w:w="2001"/>
          </w:tcPr>
          <w:p>
            <w:pPr>
              <w:pStyle w:val="Compact"/>
              <w:keepNext/>
              <w:keepLines/>
              <w:spacing w:before="0" w:after="40" w:line="240" w:lineRule="auto"/>
              <w:jc w:val="center"/>
            </w:pPr>
            <w:r>
              <w:rPr>
                <w:bCs/>
                <w:b/>
                <w:sz w:val="18"/>
              </w:rPr>
              <w:t xml:space="preserve">[−0.100, 0.264]</w:t>
            </w:r>
          </w:p>
        </w:tc>
        <w:tc>
          <w:tcPr>
            <w:tcW w:type="dxa" w:w="2001"/>
          </w:tcPr>
          <w:p>
            <w:pPr>
              <w:pStyle w:val="Compact"/>
              <w:keepNext/>
              <w:keepLines/>
              <w:spacing w:before="0" w:after="40" w:line="240" w:lineRule="auto"/>
              <w:jc w:val="center"/>
            </w:pPr>
            <w:r>
              <w:rPr>
                <w:sz w:val="18"/>
              </w:rPr>
              <w:t xml:space="preserve">[0.014, 0.175]</w:t>
            </w:r>
          </w:p>
        </w:tc>
        <w:tc>
          <w:tcPr>
            <w:tcW w:type="dxa" w:w="2001"/>
          </w:tcPr>
          <w:p>
            <w:pPr>
              <w:pStyle w:val="Compact"/>
              <w:keepNext/>
              <w:keepLines/>
              <w:spacing w:before="0" w:after="40" w:line="240" w:lineRule="auto"/>
              <w:jc w:val="center"/>
            </w:pPr>
            <w:r>
              <w:rPr>
                <w:bCs/>
                <w:b/>
                <w:sz w:val="18"/>
              </w:rPr>
              <w:t xml:space="preserve">[−0.283, 0.448]</w:t>
            </w:r>
          </w:p>
        </w:tc>
        <w:tc>
          <w:tcPr>
            <w:tcW w:type="dxa" w:w="2001"/>
          </w:tcPr>
          <w:p>
            <w:pPr>
              <w:pStyle w:val="Compact"/>
              <w:keepNext/>
              <w:keepLines/>
              <w:spacing w:before="0" w:after="40" w:line="240" w:lineRule="auto"/>
              <w:jc w:val="center"/>
            </w:pPr>
            <w:r>
              <w:rPr>
                <w:bCs/>
                <w:b/>
                <w:sz w:val="18"/>
              </w:rPr>
              <w:t xml:space="preserve">[−0.026, 0.223]</w:t>
            </w:r>
          </w:p>
        </w:tc>
        <w:tc>
          <w:tcPr>
            <w:tcW w:type="dxa" w:w="2001"/>
          </w:tcPr>
          <w:p>
            <w:pPr>
              <w:pStyle w:val="Compact"/>
              <w:keepNext/>
              <w:keepLines/>
              <w:spacing w:before="0" w:after="40" w:line="240" w:lineRule="auto"/>
              <w:jc w:val="center"/>
            </w:pPr>
            <w:r>
              <w:rPr>
                <w:bCs/>
                <w:b/>
                <w:sz w:val="18"/>
              </w:rPr>
              <w:t xml:space="preserve">[−0.027, 0.222]</w:t>
            </w:r>
          </w:p>
        </w:tc>
      </w:tr>
      <w:tr>
        <w:trPr>
          <w:cantSplit/>
        </w:trPr>
        <w:tc>
          <w:tcPr>
            <w:tcW w:type="dxa" w:w="999"/>
          </w:tcPr>
          <w:p>
            <w:pPr>
              <w:pStyle w:val="Compact"/>
              <w:keepNext/>
              <w:keepLines/>
              <w:spacing w:before="0" w:after="40" w:line="240" w:lineRule="auto"/>
              <w:jc w:val="left"/>
            </w:pPr>
            <w:r>
              <w:rPr>
                <w:sz w:val="18"/>
              </w:rPr>
              <w:t xml:space="preserve">2024</w:t>
            </w:r>
          </w:p>
        </w:tc>
        <w:tc>
          <w:tcPr>
            <w:tcW w:type="dxa" w:w="999"/>
          </w:tcPr>
          <w:p>
            <w:pPr>
              <w:pStyle w:val="Compact"/>
              <w:keepNext/>
              <w:keepLines/>
              <w:spacing w:before="0" w:after="40" w:line="240" w:lineRule="auto"/>
              <w:jc w:val="center"/>
            </w:pPr>
            <w:r>
              <w:rPr>
                <w:sz w:val="18"/>
              </w:rPr>
              <w:t xml:space="preserve">0.102</w:t>
            </w:r>
          </w:p>
        </w:tc>
        <w:tc>
          <w:tcPr>
            <w:tcW w:type="dxa" w:w="2001"/>
          </w:tcPr>
          <w:p>
            <w:pPr>
              <w:pStyle w:val="Compact"/>
              <w:keepNext/>
              <w:keepLines/>
              <w:spacing w:before="0" w:after="40" w:line="240" w:lineRule="auto"/>
              <w:jc w:val="center"/>
            </w:pPr>
            <w:r>
              <w:rPr>
                <w:bCs/>
                <w:b/>
                <w:sz w:val="18"/>
              </w:rPr>
              <w:t xml:space="preserve">[−0.553, 0.683]</w:t>
            </w:r>
          </w:p>
        </w:tc>
        <w:tc>
          <w:tcPr>
            <w:tcW w:type="dxa" w:w="2001"/>
          </w:tcPr>
          <w:p>
            <w:pPr>
              <w:pStyle w:val="Compact"/>
              <w:keepNext/>
              <w:keepLines/>
              <w:spacing w:before="0" w:after="40" w:line="240" w:lineRule="auto"/>
              <w:jc w:val="center"/>
            </w:pPr>
            <w:r>
              <w:rPr>
                <w:bCs/>
                <w:b/>
                <w:sz w:val="18"/>
              </w:rPr>
              <w:t xml:space="preserve">[−0.077, 0.254]</w:t>
            </w:r>
          </w:p>
        </w:tc>
        <w:tc>
          <w:tcPr>
            <w:tcW w:type="dxa" w:w="2001"/>
          </w:tcPr>
          <w:p>
            <w:pPr>
              <w:pStyle w:val="Compact"/>
              <w:keepNext/>
              <w:keepLines/>
              <w:spacing w:before="0" w:after="40" w:line="240" w:lineRule="auto"/>
              <w:jc w:val="center"/>
            </w:pPr>
            <w:r>
              <w:rPr>
                <w:sz w:val="18"/>
              </w:rPr>
              <w:t xml:space="preserve">[0.033, 0.164]</w:t>
            </w:r>
          </w:p>
        </w:tc>
        <w:tc>
          <w:tcPr>
            <w:tcW w:type="dxa" w:w="2001"/>
          </w:tcPr>
          <w:p>
            <w:pPr>
              <w:pStyle w:val="Compact"/>
              <w:keepNext/>
              <w:keepLines/>
              <w:spacing w:before="0" w:after="40" w:line="240" w:lineRule="auto"/>
              <w:jc w:val="center"/>
            </w:pPr>
            <w:r>
              <w:rPr>
                <w:bCs/>
                <w:b/>
                <w:sz w:val="18"/>
              </w:rPr>
              <w:t xml:space="preserve">[−0.185, 0.372]</w:t>
            </w:r>
          </w:p>
        </w:tc>
        <w:tc>
          <w:tcPr>
            <w:tcW w:type="dxa" w:w="2001"/>
          </w:tcPr>
          <w:p>
            <w:pPr>
              <w:pStyle w:val="Compact"/>
              <w:keepNext/>
              <w:keepLines/>
              <w:spacing w:before="0" w:after="40" w:line="240" w:lineRule="auto"/>
              <w:jc w:val="center"/>
            </w:pPr>
            <w:r>
              <w:rPr>
                <w:sz w:val="18"/>
              </w:rPr>
              <w:t xml:space="preserve">[0.001, 0.206]</w:t>
            </w:r>
          </w:p>
        </w:tc>
        <w:tc>
          <w:tcPr>
            <w:tcW w:type="dxa" w:w="2001"/>
          </w:tcPr>
          <w:p>
            <w:pPr>
              <w:pStyle w:val="Compact"/>
              <w:keepNext/>
              <w:keepLines/>
              <w:spacing w:before="0" w:after="40" w:line="240" w:lineRule="auto"/>
              <w:jc w:val="center"/>
            </w:pPr>
            <w:r>
              <w:rPr>
                <w:bCs/>
                <w:b/>
                <w:sz w:val="18"/>
              </w:rPr>
              <w:t xml:space="preserve">[−0.003, 0.200]</w:t>
            </w:r>
          </w:p>
        </w:tc>
      </w:tr>
      <w:tr>
        <w:trPr>
          <w:cantSplit/>
        </w:trPr>
        <w:tc>
          <w:tcPr>
            <w:tcW w:type="dxa" w:w="999"/>
          </w:tcPr>
          <w:p>
            <w:pPr>
              <w:pStyle w:val="Compact"/>
              <w:keepNext/>
              <w:keepLines/>
              <w:spacing w:before="0" w:after="40" w:line="240" w:lineRule="auto"/>
              <w:jc w:val="left"/>
            </w:pPr>
            <w:r>
              <w:rPr>
                <w:sz w:val="18"/>
              </w:rPr>
              <w:t xml:space="preserve">2025</w:t>
            </w:r>
          </w:p>
        </w:tc>
        <w:tc>
          <w:tcPr>
            <w:tcW w:type="dxa" w:w="999"/>
          </w:tcPr>
          <w:p>
            <w:pPr>
              <w:pStyle w:val="Compact"/>
              <w:keepNext/>
              <w:keepLines/>
              <w:spacing w:before="0" w:after="40" w:line="240" w:lineRule="auto"/>
              <w:jc w:val="center"/>
            </w:pPr>
            <w:r>
              <w:rPr>
                <w:sz w:val="18"/>
              </w:rPr>
              <w:t xml:space="preserve">0.063</w:t>
            </w:r>
          </w:p>
        </w:tc>
        <w:tc>
          <w:tcPr>
            <w:tcW w:type="dxa" w:w="2001"/>
          </w:tcPr>
          <w:p>
            <w:pPr>
              <w:pStyle w:val="Compact"/>
              <w:keepNext/>
              <w:keepLines/>
              <w:spacing w:before="0" w:after="40" w:line="240" w:lineRule="auto"/>
              <w:jc w:val="center"/>
            </w:pPr>
            <w:r>
              <w:rPr>
                <w:bCs/>
                <w:b/>
                <w:sz w:val="18"/>
              </w:rPr>
              <w:t xml:space="preserve">[−0.468, 0.552]</w:t>
            </w:r>
          </w:p>
        </w:tc>
        <w:tc>
          <w:tcPr>
            <w:tcW w:type="dxa" w:w="2001"/>
          </w:tcPr>
          <w:p>
            <w:pPr>
              <w:pStyle w:val="Compact"/>
              <w:keepNext/>
              <w:keepLines/>
              <w:spacing w:before="0" w:after="40" w:line="240" w:lineRule="auto"/>
              <w:jc w:val="center"/>
            </w:pPr>
            <w:r>
              <w:rPr>
                <w:bCs/>
                <w:b/>
                <w:sz w:val="18"/>
              </w:rPr>
              <w:t xml:space="preserve">[−0.104, 0.232]</w:t>
            </w:r>
          </w:p>
        </w:tc>
        <w:tc>
          <w:tcPr>
            <w:tcW w:type="dxa" w:w="2001"/>
          </w:tcPr>
          <w:p>
            <w:pPr>
              <w:pStyle w:val="Compact"/>
              <w:keepNext/>
              <w:keepLines/>
              <w:spacing w:before="0" w:after="40" w:line="240" w:lineRule="auto"/>
              <w:jc w:val="center"/>
            </w:pPr>
            <w:r>
              <w:rPr>
                <w:sz w:val="18"/>
              </w:rPr>
              <w:t xml:space="preserve">[0.002, 0.149]</w:t>
            </w:r>
          </w:p>
        </w:tc>
        <w:tc>
          <w:tcPr>
            <w:tcW w:type="dxa" w:w="2001"/>
          </w:tcPr>
          <w:p>
            <w:pPr>
              <w:pStyle w:val="Compact"/>
              <w:keepNext/>
              <w:keepLines/>
              <w:spacing w:before="0" w:after="40" w:line="240" w:lineRule="auto"/>
              <w:jc w:val="center"/>
            </w:pPr>
            <w:r>
              <w:rPr>
                <w:bCs/>
                <w:b/>
                <w:sz w:val="18"/>
              </w:rPr>
              <w:t xml:space="preserve">[−0.283, 0.411]</w:t>
            </w:r>
          </w:p>
        </w:tc>
        <w:tc>
          <w:tcPr>
            <w:tcW w:type="dxa" w:w="2001"/>
          </w:tcPr>
          <w:p>
            <w:pPr>
              <w:pStyle w:val="Compact"/>
              <w:keepNext/>
              <w:keepLines/>
              <w:spacing w:before="0" w:after="40" w:line="240" w:lineRule="auto"/>
              <w:jc w:val="center"/>
            </w:pPr>
            <w:r>
              <w:rPr>
                <w:bCs/>
                <w:b/>
                <w:sz w:val="18"/>
              </w:rPr>
              <w:t xml:space="preserve">[−0.037, 0.194]</w:t>
            </w:r>
          </w:p>
        </w:tc>
        <w:tc>
          <w:tcPr>
            <w:tcW w:type="dxa" w:w="2001"/>
          </w:tcPr>
          <w:p>
            <w:pPr>
              <w:pStyle w:val="Compact"/>
              <w:keepNext/>
              <w:keepLines/>
              <w:spacing w:before="0" w:after="40" w:line="240" w:lineRule="auto"/>
              <w:jc w:val="center"/>
            </w:pPr>
            <w:r>
              <w:rPr>
                <w:bCs/>
                <w:b/>
                <w:sz w:val="18"/>
              </w:rPr>
              <w:t xml:space="preserve">[−0.062, 0.183]</w:t>
            </w:r>
          </w:p>
        </w:tc>
      </w:tr>
      <w:tr>
        <w:trPr>
          <w:cantSplit/>
        </w:trPr>
        <w:tc>
          <w:tcPr>
            <w:tcW w:type="dxa" w:w="999"/>
          </w:tcPr>
          <w:p>
            <w:pPr>
              <w:pStyle w:val="Compact"/>
              <w:keepNext/>
              <w:keepLines/>
              <w:spacing w:before="0" w:after="40" w:line="240" w:lineRule="auto"/>
              <w:jc w:val="left"/>
            </w:pPr>
            <w:r>
              <w:rPr>
                <w:sz w:val="18"/>
              </w:rPr>
              <w:t xml:space="preserve">2026</w:t>
            </w:r>
          </w:p>
        </w:tc>
        <w:tc>
          <w:tcPr>
            <w:tcW w:type="dxa" w:w="999"/>
          </w:tcPr>
          <w:p>
            <w:pPr>
              <w:pStyle w:val="Compact"/>
              <w:keepNext/>
              <w:keepLines/>
              <w:spacing w:before="0" w:after="40" w:line="240" w:lineRule="auto"/>
              <w:jc w:val="center"/>
            </w:pPr>
            <w:r>
              <w:rPr>
                <w:sz w:val="18"/>
              </w:rPr>
              <w:t xml:space="preserve">0.086</w:t>
            </w:r>
          </w:p>
        </w:tc>
        <w:tc>
          <w:tcPr>
            <w:tcW w:type="dxa" w:w="2001"/>
          </w:tcPr>
          <w:p>
            <w:pPr>
              <w:pStyle w:val="Compact"/>
              <w:keepNext/>
              <w:keepLines/>
              <w:spacing w:before="0" w:after="40" w:line="240" w:lineRule="auto"/>
              <w:jc w:val="center"/>
            </w:pPr>
            <w:r>
              <w:rPr>
                <w:bCs/>
                <w:b/>
                <w:sz w:val="18"/>
              </w:rPr>
              <w:t xml:space="preserve">[−0.279, 0.439]</w:t>
            </w:r>
          </w:p>
        </w:tc>
        <w:tc>
          <w:tcPr>
            <w:tcW w:type="dxa" w:w="2001"/>
          </w:tcPr>
          <w:p>
            <w:pPr>
              <w:pStyle w:val="Compact"/>
              <w:keepNext/>
              <w:keepLines/>
              <w:spacing w:before="0" w:after="40" w:line="240" w:lineRule="auto"/>
              <w:jc w:val="center"/>
            </w:pPr>
            <w:r>
              <w:rPr>
                <w:bCs/>
                <w:b/>
                <w:sz w:val="18"/>
              </w:rPr>
              <w:t xml:space="preserve">[−0.046, 0.234]</w:t>
            </w:r>
          </w:p>
        </w:tc>
        <w:tc>
          <w:tcPr>
            <w:tcW w:type="dxa" w:w="2001"/>
          </w:tcPr>
          <w:p>
            <w:pPr>
              <w:pStyle w:val="Compact"/>
              <w:keepNext/>
              <w:keepLines/>
              <w:spacing w:before="0" w:after="40" w:line="240" w:lineRule="auto"/>
              <w:jc w:val="center"/>
            </w:pPr>
            <w:r>
              <w:rPr>
                <w:sz w:val="18"/>
              </w:rPr>
              <w:t xml:space="preserve">[0.072, 0.138]</w:t>
            </w:r>
          </w:p>
        </w:tc>
        <w:tc>
          <w:tcPr>
            <w:tcW w:type="dxa" w:w="2001"/>
          </w:tcPr>
          <w:p>
            <w:pPr>
              <w:pStyle w:val="Compact"/>
              <w:keepNext/>
              <w:keepLines/>
              <w:spacing w:before="0" w:after="40" w:line="240" w:lineRule="auto"/>
              <w:jc w:val="center"/>
            </w:pPr>
            <w:r>
              <w:rPr>
                <w:sz w:val="18"/>
              </w:rPr>
              <w:t xml:space="preserve">[0.010, 0.201]</w:t>
            </w:r>
          </w:p>
        </w:tc>
        <w:tc>
          <w:tcPr>
            <w:tcW w:type="dxa" w:w="2001"/>
          </w:tcPr>
          <w:p>
            <w:pPr>
              <w:pStyle w:val="Compact"/>
              <w:keepNext/>
              <w:keepLines/>
              <w:spacing w:before="0" w:after="40" w:line="240" w:lineRule="auto"/>
              <w:jc w:val="center"/>
            </w:pPr>
            <w:r>
              <w:rPr>
                <w:sz w:val="18"/>
              </w:rPr>
              <w:t xml:space="preserve">[0.054, 0.156]</w:t>
            </w:r>
          </w:p>
        </w:tc>
        <w:tc>
          <w:tcPr>
            <w:tcW w:type="dxa" w:w="2001"/>
          </w:tcPr>
          <w:p>
            <w:pPr>
              <w:pStyle w:val="Compact"/>
              <w:keepNext/>
              <w:keepLines/>
              <w:spacing w:before="0" w:after="40" w:line="240" w:lineRule="auto"/>
              <w:jc w:val="center"/>
            </w:pPr>
            <w:r>
              <w:rPr>
                <w:sz w:val="18"/>
              </w:rPr>
              <w:t xml:space="preserve">[0.052, 0.154]</w:t>
            </w:r>
          </w:p>
        </w:tc>
      </w:tr>
    </w:tbl>
    <w:p>
      <w:pPr>
        <w:pStyle w:val="BodyText"/>
        <w:keepLines/>
        <w:spacing w:line="240" w:lineRule="auto" w:before="80" w:after="120"/>
      </w:pPr>
      <w:r>
        <w:rPr>
          <w:iCs/>
          <w:i/>
          <w:sz w:val="18"/>
        </w:rPr>
        <w:t xml:space="preserve">Notes.</w:t>
      </w:r>
      <w:r>
        <w:rPr>
          <w:sz w:val="18"/>
        </w:rPr>
        <w:t xml:space="preserve"> </w:t>
      </w:r>
      <w:r>
        <w:rPr>
          <w:sz w:val="18"/>
        </w:rPr>
        <w:t xml:space="preserve">Bold ranges include zero; their sign is not identified. Slope of the conservative share among residents (roll-based share z) on log median apartment price per square meter; 0.1 means a neighborhood with prices twice as high has a share about 7 points higher. Within National Assembly constituencies in 2024 the ranges are [−0.729, 0.816] (A), [0.004, 0.166] (C), [−0.269, 0.427] (D) and [−0.035, 0.221] (E). Election day: point-identified valid-vote share among election-day voters (Online Appendix Table C1). Conventional estimates: Table C4. High-minus-low contrasts: Table 3 and Table C3. (A) every allocation consistent with the counts, rolls and statutory zones; (B) minimal movement; (C) adds out-of-zone ballots within 10 points of the station; (D) replaces (B) with mobility-calibrated movement; (E) adds residents’ early ballots within their station’s departure plus 2 points of the benchmark; (F) price-dependent benchmark. Definitions in Section 3.4 and Online Appendix A.</w:t>
      </w:r>
    </w:p>
    <w:p>
      <w:pPr>
        <w:sectPr>
          <w:pgMar w:top="1417" w:bottom="1417" w:left="1417" w:right="1417"/>
          <w:pgSz w:w="16838" w:h="11906" w:orient="landscape"/>
          <w:type w:val="nextPage"/>
        </w:sectPr>
      </w:pPr>
    </w:p>
    <w:p>
      <w:pPr>
        <w:pStyle w:val="BodyText"/>
      </w:pPr>
      <w:r>
        <w:rPr>
          <w:iCs/>
          <w:i/>
        </w:rPr>
        <w:t xml:space="preserve">Election-day voters.</w:t>
      </w:r>
      <w:r>
        <w:t xml:space="preserve"> </w:t>
      </w:r>
      <w:r>
        <w:t xml:space="preserve">Election-day ballots are counted in the voter’s own voting district, so the slope of the conservative share among election-day voters needs no allocation assumption (Table 2). It is positive in 2012 and in the four sampled elections from 2022 and close to zero in 2017: 0.097, 0.102, 0.063 and 0.086 in 2022, 2024, 2025 and 2026, and 0.079, 0.078, 0.041 and 0.069 outside Gangnam, Seocho and Songpa (Online Appendix Table C1). The rest of this section asks whether the same holds for all residents, including the third to half who voted early.</w:t>
      </w:r>
    </w:p>
    <w:p>
      <w:pPr>
        <w:pStyle w:val="BodyText"/>
      </w:pPr>
      <w:r>
        <w:rPr>
          <w:iCs/>
          <w:i/>
        </w:rPr>
        <w:t xml:space="preserve">The returns alone.</w:t>
      </w:r>
      <w:r>
        <w:t xml:space="preserve"> </w:t>
      </w:r>
      <w:r>
        <w:t xml:space="preserve">The conventional estimates, computed from the published neighborhood rows, are positive in every election. But with the returns and rolls alone, the within-district relation among all residents could be strongly positive or strongly negative in every election since 2014 (column A); in 2022–2026 the ranges are 7 to 14 times as wide as the conventional estimates themselves, and in 2017, when the conventional estimate is close to zero, far wider still. The contrast between higher- and lower-price halves of each district ranges from about</w:t>
      </w:r>
      <w:r>
        <w:t xml:space="preserve"> </w:t>
      </w:r>
      <m:oMath>
        <m:r>
          <m:rPr>
            <m:sty m:val="p"/>
          </m:rPr>
          <m:t>−</m:t>
        </m:r>
        <m:r>
          <m:t>43</m:t>
        </m:r>
      </m:oMath>
      <w:r>
        <w:t xml:space="preserve"> </w:t>
      </w:r>
      <w:r>
        <w:t xml:space="preserve">to</w:t>
      </w:r>
      <w:r>
        <w:t xml:space="preserve"> </w:t>
      </w:r>
      <m:oMath>
        <m:r>
          <m:rPr>
            <m:sty m:val="p"/>
          </m:rPr>
          <m:t>+</m:t>
        </m:r>
        <m:r>
          <m:t>47</m:t>
        </m:r>
      </m:oMath>
      <w:r>
        <w:t xml:space="preserve"> </w:t>
      </w:r>
      <w:r>
        <w:t xml:space="preserve">points in 2022 and from</w:t>
      </w:r>
      <w:r>
        <w:t xml:space="preserve"> </w:t>
      </w:r>
      <m:oMath>
        <m:r>
          <m:rPr>
            <m:sty m:val="p"/>
          </m:rPr>
          <m:t>−</m:t>
        </m:r>
        <m:r>
          <m:t>20</m:t>
        </m:r>
      </m:oMath>
      <w:r>
        <w:t xml:space="preserve"> </w:t>
      </w:r>
      <w:r>
        <w:t xml:space="preserve">to</w:t>
      </w:r>
      <w:r>
        <w:t xml:space="preserve"> </w:t>
      </w:r>
      <m:oMath>
        <m:r>
          <m:rPr>
            <m:sty m:val="p"/>
          </m:rPr>
          <m:t>+</m:t>
        </m:r>
        <m:r>
          <m:t>25</m:t>
        </m:r>
      </m:oMath>
      <w:r>
        <w:t xml:space="preserve"> </w:t>
      </w:r>
      <w:r>
        <w:t xml:space="preserve">points in 2026, around conventional estimates of 3 to 4 points. Only in 2012, before nationwide early voting, are the returns informative without assumptions: the slope is positive, although the contrast is not established even then. The returns also say little about individual neighborhoods: with the returns alone, the median neighborhood’s conservative share in 2026 is pinned down only within a 39-point range, and the direction of the difference between adjacent neighborhoods is established for none of 445 pairs (Figure 3).</w:t>
      </w:r>
    </w:p>
    <w:p>
      <w:pPr>
        <w:pStyle w:val="CaptionedFigure"/>
        <w:keepNext/>
      </w:pPr>
      <w:r>
        <w:drawing>
          <wp:inline>
            <wp:extent cx="5334000" cy="1927387"/>
            <wp:effectExtent b="0" l="0" r="0" t="0"/>
            <wp:docPr descr="Figure 3. 2026 Seoul mayoral election. (a) Conventional neighborhood share for Oh Se-hoon (published station counts, pooled ballots dropped), in percent. (b) Width, in percentage points, of the range of each neighborhood’s residents’ share consistent with the returns alone (Table 2, column A). (c) The same under mobility-calibrated movement with out-of-zone voters within ten points of their station (Table 2, column D). Panels (b) and (c) share one scale; pp denotes percentage points. Lines are district boundaries; neighborhood boundaries from vuski (2026)." title="" id="35" name="Picture"/>
            <a:graphic>
              <a:graphicData uri="http://schemas.openxmlformats.org/drawingml/2006/picture">
                <pic:pic>
                  <pic:nvPicPr>
                    <pic:cNvPr descr="figures/fig3_map.png" id="36" name="Picture"/>
                    <pic:cNvPicPr>
                      <a:picLocks noChangeArrowheads="1" noChangeAspect="1"/>
                    </pic:cNvPicPr>
                  </pic:nvPicPr>
                  <pic:blipFill>
                    <a:blip r:embed="rId34"/>
                    <a:stretch>
                      <a:fillRect/>
                    </a:stretch>
                  </pic:blipFill>
                  <pic:spPr bwMode="auto">
                    <a:xfrm>
                      <a:off x="0" y="0"/>
                      <a:ext cx="5334000" cy="1927387"/>
                    </a:xfrm>
                    <a:prstGeom prst="rect">
                      <a:avLst/>
                    </a:prstGeom>
                    <a:noFill/>
                    <a:ln w="9525">
                      <a:noFill/>
                      <a:headEnd/>
                      <a:tailEnd/>
                    </a:ln>
                  </pic:spPr>
                </pic:pic>
              </a:graphicData>
            </a:graphic>
          </wp:inline>
        </w:drawing>
      </w:r>
    </w:p>
    <w:p>
      <w:pPr>
        <w:pStyle w:val="ImageCaption"/>
      </w:pPr>
      <w:r>
        <w:t xml:space="preserve">Figure 3. 2026 Seoul mayoral election. (a) Conventional neighborhood share for Oh Se-hoon (published station counts, pooled ballots dropped), in percent. (b) Width, in percentage points, of the range of each neighborhood’s residents’ share consistent with the returns alone (Table 2, column A). (c) The same under mobility-calibrated movement with out-of-zone voters within ten points of their station (Table 2, column D). Panels (b) and (c) share one scale; pp denotes percentage points. Lines are district boundaries; neighborhood boundaries from vuski (2026).</w:t>
      </w:r>
    </w:p>
    <w:p>
      <w:pPr>
        <w:pStyle w:val="BodyText"/>
      </w:pPr>
      <w:r>
        <w:rPr>
          <w:iCs/>
          <w:i/>
        </w:rPr>
        <w:t xml:space="preserve">Adding assumptions.</w:t>
      </w:r>
      <w:r>
        <w:t xml:space="preserve"> </w:t>
      </w:r>
      <w:r>
        <w:t xml:space="preserve">The minimal-movement benchmark (column B) establishes no direction after 2012. Adding that out-of-zone voters resemble their station within ten points (column C) yields positive slopes in every election except 2017, but only because the benchmark confines most early voters to their own neighborhood. With mobility-calibrated movement instead (column D), the relation is again undetermined in 2022, 2024 and 2025 and narrowly positive in 2026. Adding the restriction on residents’ early-vote composition (column E) raises the 2026 lower bound to 0.054 and yields a fragile positive slope in 2024, lost within constituencies or with a price-dependent benchmark (column F); 2022 and 2025 remain undetermined. Section 4.5 asks which relaxations these conclusions survive.</w:t>
      </w:r>
    </w:p>
    <w:p>
      <w:pPr>
        <w:pStyle w:val="BodyText"/>
      </w:pPr>
      <w:r>
        <w:rPr>
          <w:iCs/>
          <w:i/>
        </w:rPr>
        <w:t xml:space="preserve">Gradient and contrast.</w:t>
      </w:r>
      <w:r>
        <w:t xml:space="preserve"> </w:t>
      </w:r>
      <w:r>
        <w:t xml:space="preserve">The contrast concerns a different summary of the association. Under mobility-calibrated movement, only in 2026, and only with the third assumption, are the higher-price halves of districts established to vote more conservatively than the lower-price halves: by between 0.8 and 7.2 points, around a conventional estimate of 3.8 (Figure 2C). Within districts, then, the evidence for a price gradient is stronger than the evidence that higher-price and lower-price neighborhoods differ as groups.</w:t>
      </w:r>
    </w:p>
    <w:p>
      <w:pPr>
        <w:pStyle w:val="BodyText"/>
      </w:pPr>
      <w:r>
        <w:rPr>
          <w:iCs/>
          <w:i/>
        </w:rPr>
        <w:t xml:space="preserve">A published allocation.</w:t>
      </w:r>
      <w:r>
        <w:t xml:space="preserve"> </w:t>
      </w:r>
      <w:r>
        <w:t xml:space="preserve">Re-implementing Lee’s (2026) allocation of pooled ballots reproduces its reported correlations and slope, which lies inside our main range. Its allocation nevertheless exceeds the residents available for pooled ballots in 47 of 155 constituencies, by a median of 16 voters (Online Appendix D). More fundamentally, one allocation cannot reveal sensitivity to the rule: it would return a single slope even in 2022 or 2025, where feasible allocations give both signs.</w:t>
      </w:r>
    </w:p>
    <w:bookmarkEnd w:id="37"/>
    <w:bookmarkStart w:id="38" w:name="beyond-gangnam-seocho-and-songpa"/>
    <w:p>
      <w:pPr>
        <w:pStyle w:val="Heading2"/>
      </w:pPr>
      <w:r>
        <w:t xml:space="preserve">4.3 Beyond Gangnam, Seocho and Songpa</w:t>
      </w:r>
    </w:p>
    <w:p>
      <w:pPr>
        <w:pStyle w:val="FirstParagraph"/>
      </w:pPr>
      <w:r>
        <w:t xml:space="preserve">To assess whether the 2026 within-district result depends on Gangnam, Seocho and Songpa, we exclude their neighborhoods from the estimands. We recompute the regression and contrast weights for the 357 neighborhoods with price data among the 360 in the remaining 22 districts while retaining all accounting constraints (Table 3 and the orange bars in Figure 2).</w:t>
      </w:r>
    </w:p>
    <w:p>
      <w:pPr>
        <w:pStyle w:val="TableCaption"/>
        <w:keepNext/>
      </w:pPr>
      <w:r>
        <w:t xml:space="preserve">Table 3. Associations with and without Gangnam, Seocho and Songpa</w:t>
      </w:r>
    </w:p>
    <w:tbl>
      <w:tblPr>
        <w:tblStyle w:val="Table"/>
        <w:tblW w:type="pct" w:w="5000"/>
        <w:tblLayout w:type="fixed"/>
        <w:tblLook w:firstRow="1" w:lastRow="0" w:firstColumn="0" w:lastColumn="0" w:noHBand="0" w:noVBand="0" w:val="0020"/>
        <w:jc w:val="start"/>
        <w:tblCaption w:val="Table 3. Associations with and without Gangnam, Seocho and Songpa"/>
      </w:tblPr>
      <w:tblGrid>
        <w:gridCol w:w="1992"/>
        <w:gridCol w:w="811"/>
        <w:gridCol w:w="811"/>
        <w:gridCol w:w="1475"/>
        <w:gridCol w:w="1475"/>
        <w:gridCol w:w="1254"/>
        <w:gridCol w:w="1254"/>
      </w:tblGrid>
      <w:tr>
        <w:trPr>
          <w:tblHeader w:val="true"/>
          <w:cantSplit/>
        </w:trPr>
        <w:tc>
          <w:tcPr>
            <w:tcW w:type="dxa" w:w="1992"/>
          </w:tcPr>
          <w:p>
            <w:pPr>
              <w:pStyle w:val="Compact"/>
              <w:keepNext/>
              <w:keepLines/>
              <w:spacing w:before="0" w:after="40" w:line="240" w:lineRule="auto"/>
              <w:jc w:val="left"/>
            </w:pPr>
            <w:r>
              <w:rPr>
                <w:sz w:val="18"/>
              </w:rPr>
              <w:t xml:space="preserve">Election</w:t>
            </w:r>
          </w:p>
        </w:tc>
        <w:tc>
          <w:tcPr>
            <w:tcW w:type="dxa" w:w="811"/>
          </w:tcPr>
          <w:p>
            <w:pPr>
              <w:pStyle w:val="Compact"/>
              <w:keepNext/>
              <w:keepLines/>
              <w:spacing w:before="0" w:after="40" w:line="240" w:lineRule="auto"/>
              <w:jc w:val="center"/>
            </w:pPr>
            <w:r>
              <w:rPr>
                <w:sz w:val="18"/>
              </w:rPr>
              <w:t xml:space="preserve">Across districts: all</w:t>
            </w:r>
          </w:p>
        </w:tc>
        <w:tc>
          <w:tcPr>
            <w:tcW w:type="dxa" w:w="811"/>
          </w:tcPr>
          <w:p>
            <w:pPr>
              <w:pStyle w:val="Compact"/>
              <w:keepNext/>
              <w:keepLines/>
              <w:spacing w:before="0" w:after="40" w:line="240" w:lineRule="auto"/>
              <w:jc w:val="center"/>
            </w:pPr>
            <w:r>
              <w:rPr>
                <w:sz w:val="18"/>
              </w:rPr>
              <w:t xml:space="preserve">Across districts: without the three</w:t>
            </w:r>
          </w:p>
        </w:tc>
        <w:tc>
          <w:tcPr>
            <w:tcW w:type="dxa" w:w="1475"/>
          </w:tcPr>
          <w:p>
            <w:pPr>
              <w:pStyle w:val="Compact"/>
              <w:keepNext/>
              <w:keepLines/>
              <w:spacing w:before="0" w:after="40" w:line="240" w:lineRule="auto"/>
              <w:jc w:val="center"/>
            </w:pPr>
            <w:r>
              <w:rPr>
                <w:sz w:val="18"/>
              </w:rPr>
              <w:t xml:space="preserve">Within districts, slope: all</w:t>
            </w:r>
          </w:p>
        </w:tc>
        <w:tc>
          <w:tcPr>
            <w:tcW w:type="dxa" w:w="1475"/>
          </w:tcPr>
          <w:p>
            <w:pPr>
              <w:pStyle w:val="Compact"/>
              <w:keepNext/>
              <w:keepLines/>
              <w:spacing w:before="0" w:after="40" w:line="240" w:lineRule="auto"/>
              <w:jc w:val="center"/>
            </w:pPr>
            <w:r>
              <w:rPr>
                <w:sz w:val="18"/>
              </w:rPr>
              <w:t xml:space="preserve">Within districts, slope: without the three</w:t>
            </w:r>
          </w:p>
        </w:tc>
        <w:tc>
          <w:tcPr>
            <w:tcW w:type="dxa" w:w="1254"/>
          </w:tcPr>
          <w:p>
            <w:pPr>
              <w:pStyle w:val="Compact"/>
              <w:keepNext/>
              <w:keepLines/>
              <w:spacing w:before="0" w:after="40" w:line="240" w:lineRule="auto"/>
              <w:jc w:val="center"/>
            </w:pPr>
            <w:r>
              <w:rPr>
                <w:sz w:val="18"/>
              </w:rPr>
              <w:t xml:space="preserve">Higher- minus lower-price half (points): all</w:t>
            </w:r>
          </w:p>
        </w:tc>
        <w:tc>
          <w:tcPr>
            <w:tcW w:type="dxa" w:w="1254"/>
          </w:tcPr>
          <w:p>
            <w:pPr>
              <w:pStyle w:val="Compact"/>
              <w:keepNext/>
              <w:keepLines/>
              <w:spacing w:before="0" w:after="40" w:line="240" w:lineRule="auto"/>
              <w:jc w:val="center"/>
            </w:pPr>
            <w:r>
              <w:rPr>
                <w:sz w:val="18"/>
              </w:rPr>
              <w:t xml:space="preserve">Higher- minus lower-price half (points): without the three</w:t>
            </w:r>
          </w:p>
        </w:tc>
      </w:tr>
      <w:tr>
        <w:trPr>
          <w:cantSplit/>
        </w:trPr>
        <w:tc>
          <w:tcPr>
            <w:tcW w:type="dxa" w:w="9071"/>
            <w:gridSpan w:val="7"/>
          </w:tcPr>
          <w:p>
            <w:pPr>
              <w:pStyle w:val="Compact"/>
              <w:keepNext/>
              <w:keepLines/>
              <w:spacing w:before="0" w:after="40" w:line="240" w:lineRule="auto"/>
              <w:jc w:val="left"/>
            </w:pPr>
            <w:r>
              <w:rPr>
                <w:iCs/>
                <w:i/>
                <w:sz w:val="18"/>
              </w:rPr>
              <w:t xml:space="preserve">A. Across districts: point values; within districts: ranges</w:t>
            </w:r>
          </w:p>
        </w:tc>
      </w:tr>
      <w:tr>
        <w:trPr>
          <w:cantSplit/>
        </w:trPr>
        <w:tc>
          <w:tcPr>
            <w:tcW w:type="dxa" w:w="1992"/>
          </w:tcPr>
          <w:p>
            <w:pPr>
              <w:pStyle w:val="Compact"/>
              <w:keepNext w:val="0"/>
              <w:keepLines/>
              <w:spacing w:before="0" w:after="40" w:line="240" w:lineRule="auto"/>
              <w:jc w:val="left"/>
            </w:pPr>
            <w:r>
              <w:rPr>
                <w:sz w:val="18"/>
              </w:rPr>
              <w:t xml:space="preserve">2012 (A)</w:t>
            </w:r>
          </w:p>
        </w:tc>
        <w:tc>
          <w:tcPr>
            <w:tcW w:type="dxa" w:w="811"/>
          </w:tcPr>
          <w:p>
            <w:pPr>
              <w:pStyle w:val="Compact"/>
              <w:keepNext w:val="0"/>
              <w:keepLines/>
              <w:spacing w:before="0" w:after="40" w:line="240" w:lineRule="auto"/>
              <w:jc w:val="center"/>
            </w:pPr>
            <w:r>
              <w:rPr>
                <w:sz w:val="18"/>
              </w:rPr>
              <w:t xml:space="preserve">0.137</w:t>
            </w:r>
          </w:p>
        </w:tc>
        <w:tc>
          <w:tcPr>
            <w:tcW w:type="dxa" w:w="811"/>
          </w:tcPr>
          <w:p>
            <w:pPr>
              <w:pStyle w:val="Compact"/>
              <w:keepNext w:val="0"/>
              <w:keepLines/>
              <w:spacing w:before="0" w:after="40" w:line="240" w:lineRule="auto"/>
              <w:jc w:val="center"/>
            </w:pPr>
            <w:r>
              <w:rPr>
                <w:sz w:val="18"/>
              </w:rPr>
              <w:t xml:space="preserve">0.057</w:t>
            </w:r>
          </w:p>
        </w:tc>
        <w:tc>
          <w:tcPr>
            <w:tcW w:type="dxa" w:w="1475"/>
          </w:tcPr>
          <w:p>
            <w:pPr>
              <w:pStyle w:val="Compact"/>
              <w:keepNext w:val="0"/>
              <w:keepLines/>
              <w:spacing w:before="0" w:after="40" w:line="240" w:lineRule="auto"/>
              <w:jc w:val="center"/>
            </w:pPr>
            <w:r>
              <w:rPr>
                <w:sz w:val="18"/>
              </w:rPr>
              <w:t xml:space="preserve">[0.008, 0.157]</w:t>
            </w:r>
          </w:p>
        </w:tc>
        <w:tc>
          <w:tcPr>
            <w:tcW w:type="dxa" w:w="1475"/>
          </w:tcPr>
          <w:p>
            <w:pPr>
              <w:pStyle w:val="Compact"/>
              <w:keepNext w:val="0"/>
              <w:keepLines/>
              <w:spacing w:before="0" w:after="40" w:line="240" w:lineRule="auto"/>
              <w:jc w:val="center"/>
            </w:pPr>
            <w:r>
              <w:rPr>
                <w:bCs/>
                <w:b/>
                <w:sz w:val="18"/>
              </w:rPr>
              <w:t xml:space="preserve">[−0.021, 0.129]</w:t>
            </w:r>
          </w:p>
        </w:tc>
        <w:tc>
          <w:tcPr>
            <w:tcW w:type="dxa" w:w="1254"/>
          </w:tcPr>
          <w:p>
            <w:pPr>
              <w:pStyle w:val="Compact"/>
              <w:keepNext w:val="0"/>
              <w:keepLines/>
              <w:spacing w:before="0" w:after="40" w:line="240" w:lineRule="auto"/>
              <w:jc w:val="center"/>
            </w:pPr>
            <w:r>
              <w:rPr>
                <w:bCs/>
                <w:b/>
                <w:sz w:val="18"/>
              </w:rPr>
              <w:t xml:space="preserve">[−1.7, 5.3]</w:t>
            </w:r>
          </w:p>
        </w:tc>
        <w:tc>
          <w:tcPr>
            <w:tcW w:type="dxa" w:w="1254"/>
          </w:tcPr>
          <w:p>
            <w:pPr>
              <w:pStyle w:val="Compact"/>
              <w:keepNext w:val="0"/>
              <w:keepLines/>
              <w:spacing w:before="0" w:after="40" w:line="240" w:lineRule="auto"/>
              <w:jc w:val="center"/>
            </w:pPr>
            <w:r>
              <w:rPr>
                <w:bCs/>
                <w:b/>
                <w:sz w:val="18"/>
              </w:rPr>
              <w:t xml:space="preserve">[−2.6, 4.1]</w:t>
            </w:r>
          </w:p>
        </w:tc>
      </w:tr>
      <w:tr>
        <w:trPr>
          <w:cantSplit/>
        </w:trPr>
        <w:tc>
          <w:tcPr>
            <w:tcW w:type="dxa" w:w="1992"/>
          </w:tcPr>
          <w:p>
            <w:pPr>
              <w:pStyle w:val="Compact"/>
              <w:keepNext w:val="0"/>
              <w:keepLines/>
              <w:spacing w:before="0" w:after="40" w:line="240" w:lineRule="auto"/>
              <w:jc w:val="left"/>
            </w:pPr>
            <w:r>
              <w:rPr>
                <w:sz w:val="18"/>
              </w:rPr>
              <w:t xml:space="preserve">2017 (C)</w:t>
            </w:r>
          </w:p>
        </w:tc>
        <w:tc>
          <w:tcPr>
            <w:tcW w:type="dxa" w:w="811"/>
          </w:tcPr>
          <w:p>
            <w:pPr>
              <w:pStyle w:val="Compact"/>
              <w:keepNext w:val="0"/>
              <w:keepLines/>
              <w:spacing w:before="0" w:after="40" w:line="240" w:lineRule="auto"/>
              <w:jc w:val="center"/>
            </w:pPr>
            <w:r>
              <w:rPr>
                <w:sz w:val="18"/>
              </w:rPr>
              <w:t xml:space="preserve">0.060</w:t>
            </w:r>
          </w:p>
        </w:tc>
        <w:tc>
          <w:tcPr>
            <w:tcW w:type="dxa" w:w="811"/>
          </w:tcPr>
          <w:p>
            <w:pPr>
              <w:pStyle w:val="Compact"/>
              <w:keepNext w:val="0"/>
              <w:keepLines/>
              <w:spacing w:before="0" w:after="40" w:line="240" w:lineRule="auto"/>
              <w:jc w:val="center"/>
            </w:pPr>
            <w:r>
              <w:rPr>
                <w:sz w:val="18"/>
              </w:rPr>
              <w:t xml:space="preserve">0.025</w:t>
            </w:r>
          </w:p>
        </w:tc>
        <w:tc>
          <w:tcPr>
            <w:tcW w:type="dxa" w:w="1475"/>
          </w:tcPr>
          <w:p>
            <w:pPr>
              <w:pStyle w:val="Compact"/>
              <w:keepNext w:val="0"/>
              <w:keepLines/>
              <w:spacing w:before="0" w:after="40" w:line="240" w:lineRule="auto"/>
              <w:jc w:val="center"/>
            </w:pPr>
            <w:r>
              <w:rPr>
                <w:bCs/>
                <w:b/>
                <w:sz w:val="18"/>
              </w:rPr>
              <w:t xml:space="preserve">[−0.060, 0.085]</w:t>
            </w:r>
          </w:p>
        </w:tc>
        <w:tc>
          <w:tcPr>
            <w:tcW w:type="dxa" w:w="1475"/>
          </w:tcPr>
          <w:p>
            <w:pPr>
              <w:pStyle w:val="Compact"/>
              <w:keepNext w:val="0"/>
              <w:keepLines/>
              <w:spacing w:before="0" w:after="40" w:line="240" w:lineRule="auto"/>
              <w:jc w:val="center"/>
            </w:pPr>
            <w:r>
              <w:rPr>
                <w:bCs/>
                <w:b/>
                <w:sz w:val="18"/>
              </w:rPr>
              <w:t xml:space="preserve">[−0.074, 0.071]</w:t>
            </w:r>
          </w:p>
        </w:tc>
        <w:tc>
          <w:tcPr>
            <w:tcW w:type="dxa" w:w="1254"/>
          </w:tcPr>
          <w:p>
            <w:pPr>
              <w:pStyle w:val="Compact"/>
              <w:keepNext w:val="0"/>
              <w:keepLines/>
              <w:spacing w:before="0" w:after="40" w:line="240" w:lineRule="auto"/>
              <w:jc w:val="center"/>
            </w:pPr>
            <w:r>
              <w:rPr>
                <w:bCs/>
                <w:b/>
                <w:sz w:val="18"/>
              </w:rPr>
              <w:t xml:space="preserve">[−2.7, 2.9]</w:t>
            </w:r>
          </w:p>
        </w:tc>
        <w:tc>
          <w:tcPr>
            <w:tcW w:type="dxa" w:w="1254"/>
          </w:tcPr>
          <w:p>
            <w:pPr>
              <w:pStyle w:val="Compact"/>
              <w:keepNext w:val="0"/>
              <w:keepLines/>
              <w:spacing w:before="0" w:after="40" w:line="240" w:lineRule="auto"/>
              <w:jc w:val="center"/>
            </w:pPr>
            <w:r>
              <w:rPr>
                <w:bCs/>
                <w:b/>
                <w:sz w:val="18"/>
              </w:rPr>
              <w:t xml:space="preserve">[−3.1, 2.3]</w:t>
            </w:r>
          </w:p>
        </w:tc>
      </w:tr>
      <w:tr>
        <w:trPr>
          <w:cantSplit/>
        </w:trPr>
        <w:tc>
          <w:tcPr>
            <w:tcW w:type="dxa" w:w="1992"/>
          </w:tcPr>
          <w:p>
            <w:pPr>
              <w:pStyle w:val="Compact"/>
              <w:keepNext w:val="0"/>
              <w:keepLines/>
              <w:spacing w:before="0" w:after="40" w:line="240" w:lineRule="auto"/>
              <w:jc w:val="left"/>
            </w:pPr>
            <w:r>
              <w:rPr>
                <w:sz w:val="18"/>
              </w:rPr>
              <w:t xml:space="preserve">2022</w:t>
            </w:r>
          </w:p>
        </w:tc>
        <w:tc>
          <w:tcPr>
            <w:tcW w:type="dxa" w:w="811"/>
          </w:tcPr>
          <w:p>
            <w:pPr>
              <w:pStyle w:val="Compact"/>
              <w:keepNext w:val="0"/>
              <w:keepLines/>
              <w:spacing w:before="0" w:after="40" w:line="240" w:lineRule="auto"/>
              <w:jc w:val="center"/>
            </w:pPr>
            <w:r>
              <w:rPr>
                <w:sz w:val="18"/>
              </w:rPr>
              <w:t xml:space="preserve">0.197</w:t>
            </w:r>
          </w:p>
        </w:tc>
        <w:tc>
          <w:tcPr>
            <w:tcW w:type="dxa" w:w="811"/>
          </w:tcPr>
          <w:p>
            <w:pPr>
              <w:pStyle w:val="Compact"/>
              <w:keepNext w:val="0"/>
              <w:keepLines/>
              <w:spacing w:before="0" w:after="40" w:line="240" w:lineRule="auto"/>
              <w:jc w:val="center"/>
            </w:pPr>
            <w:r>
              <w:rPr>
                <w:sz w:val="18"/>
              </w:rPr>
              <w:t xml:space="preserve">0.131</w:t>
            </w:r>
          </w:p>
        </w:tc>
        <w:tc>
          <w:tcPr>
            <w:tcW w:type="dxa" w:w="1475"/>
          </w:tcPr>
          <w:p>
            <w:pPr>
              <w:pStyle w:val="Compact"/>
              <w:keepNext w:val="0"/>
              <w:keepLines/>
              <w:spacing w:before="0" w:after="40" w:line="240" w:lineRule="auto"/>
              <w:jc w:val="center"/>
            </w:pPr>
            <w:r>
              <w:rPr>
                <w:bCs/>
                <w:b/>
                <w:sz w:val="18"/>
              </w:rPr>
              <w:t xml:space="preserve">[−0.026, 0.223]</w:t>
            </w:r>
          </w:p>
        </w:tc>
        <w:tc>
          <w:tcPr>
            <w:tcW w:type="dxa" w:w="1475"/>
          </w:tcPr>
          <w:p>
            <w:pPr>
              <w:pStyle w:val="Compact"/>
              <w:keepNext w:val="0"/>
              <w:keepLines/>
              <w:spacing w:before="0" w:after="40" w:line="240" w:lineRule="auto"/>
              <w:jc w:val="center"/>
            </w:pPr>
            <w:r>
              <w:rPr>
                <w:bCs/>
                <w:b/>
                <w:sz w:val="18"/>
              </w:rPr>
              <w:t xml:space="preserve">[−0.042, 0.204]</w:t>
            </w:r>
          </w:p>
        </w:tc>
        <w:tc>
          <w:tcPr>
            <w:tcW w:type="dxa" w:w="1254"/>
          </w:tcPr>
          <w:p>
            <w:pPr>
              <w:pStyle w:val="Compact"/>
              <w:keepNext w:val="0"/>
              <w:keepLines/>
              <w:spacing w:before="0" w:after="40" w:line="240" w:lineRule="auto"/>
              <w:jc w:val="center"/>
            </w:pPr>
            <w:r>
              <w:rPr>
                <w:bCs/>
                <w:b/>
                <w:sz w:val="18"/>
              </w:rPr>
              <w:t xml:space="preserve">[−3.2, 11.6]</w:t>
            </w:r>
          </w:p>
        </w:tc>
        <w:tc>
          <w:tcPr>
            <w:tcW w:type="dxa" w:w="1254"/>
          </w:tcPr>
          <w:p>
            <w:pPr>
              <w:pStyle w:val="Compact"/>
              <w:keepNext w:val="0"/>
              <w:keepLines/>
              <w:spacing w:before="0" w:after="40" w:line="240" w:lineRule="auto"/>
              <w:jc w:val="center"/>
            </w:pPr>
            <w:r>
              <w:rPr>
                <w:bCs/>
                <w:b/>
                <w:sz w:val="18"/>
              </w:rPr>
              <w:t xml:space="preserve">[−3.9, 10.5]</w:t>
            </w:r>
          </w:p>
        </w:tc>
      </w:tr>
      <w:tr>
        <w:trPr>
          <w:cantSplit/>
        </w:trPr>
        <w:tc>
          <w:tcPr>
            <w:tcW w:type="dxa" w:w="1992"/>
          </w:tcPr>
          <w:p>
            <w:pPr>
              <w:pStyle w:val="Compact"/>
              <w:keepNext w:val="0"/>
              <w:keepLines/>
              <w:spacing w:before="0" w:after="40" w:line="240" w:lineRule="auto"/>
              <w:jc w:val="left"/>
            </w:pPr>
            <w:r>
              <w:rPr>
                <w:sz w:val="18"/>
              </w:rPr>
              <w:t xml:space="preserve">2024</w:t>
            </w:r>
          </w:p>
        </w:tc>
        <w:tc>
          <w:tcPr>
            <w:tcW w:type="dxa" w:w="811"/>
          </w:tcPr>
          <w:p>
            <w:pPr>
              <w:pStyle w:val="Compact"/>
              <w:keepNext w:val="0"/>
              <w:keepLines/>
              <w:spacing w:before="0" w:after="40" w:line="240" w:lineRule="auto"/>
              <w:jc w:val="center"/>
            </w:pPr>
            <w:r>
              <w:rPr>
                <w:sz w:val="18"/>
              </w:rPr>
              <w:t xml:space="preserve">0.172</w:t>
            </w:r>
          </w:p>
        </w:tc>
        <w:tc>
          <w:tcPr>
            <w:tcW w:type="dxa" w:w="811"/>
          </w:tcPr>
          <w:p>
            <w:pPr>
              <w:pStyle w:val="Compact"/>
              <w:keepNext w:val="0"/>
              <w:keepLines/>
              <w:spacing w:before="0" w:after="40" w:line="240" w:lineRule="auto"/>
              <w:jc w:val="center"/>
            </w:pPr>
            <w:r>
              <w:rPr>
                <w:sz w:val="18"/>
              </w:rPr>
              <w:t xml:space="preserve">0.097</w:t>
            </w:r>
          </w:p>
        </w:tc>
        <w:tc>
          <w:tcPr>
            <w:tcW w:type="dxa" w:w="1475"/>
          </w:tcPr>
          <w:p>
            <w:pPr>
              <w:pStyle w:val="Compact"/>
              <w:keepNext w:val="0"/>
              <w:keepLines/>
              <w:spacing w:before="0" w:after="40" w:line="240" w:lineRule="auto"/>
              <w:jc w:val="center"/>
            </w:pPr>
            <w:r>
              <w:rPr>
                <w:sz w:val="18"/>
              </w:rPr>
              <w:t xml:space="preserve">[0.001, 0.206]</w:t>
            </w:r>
          </w:p>
        </w:tc>
        <w:tc>
          <w:tcPr>
            <w:tcW w:type="dxa" w:w="1475"/>
          </w:tcPr>
          <w:p>
            <w:pPr>
              <w:pStyle w:val="Compact"/>
              <w:keepNext w:val="0"/>
              <w:keepLines/>
              <w:spacing w:before="0" w:after="40" w:line="240" w:lineRule="auto"/>
              <w:jc w:val="center"/>
            </w:pPr>
            <w:r>
              <w:rPr>
                <w:bCs/>
                <w:b/>
                <w:sz w:val="18"/>
              </w:rPr>
              <w:t xml:space="preserve">[−0.027, 0.184]</w:t>
            </w:r>
          </w:p>
        </w:tc>
        <w:tc>
          <w:tcPr>
            <w:tcW w:type="dxa" w:w="1254"/>
          </w:tcPr>
          <w:p>
            <w:pPr>
              <w:pStyle w:val="Compact"/>
              <w:keepNext w:val="0"/>
              <w:keepLines/>
              <w:spacing w:before="0" w:after="40" w:line="240" w:lineRule="auto"/>
              <w:jc w:val="center"/>
            </w:pPr>
            <w:r>
              <w:rPr>
                <w:bCs/>
                <w:b/>
                <w:sz w:val="18"/>
              </w:rPr>
              <w:t xml:space="preserve">[−1.6, 9.4]</w:t>
            </w:r>
          </w:p>
        </w:tc>
        <w:tc>
          <w:tcPr>
            <w:tcW w:type="dxa" w:w="1254"/>
          </w:tcPr>
          <w:p>
            <w:pPr>
              <w:pStyle w:val="Compact"/>
              <w:keepNext w:val="0"/>
              <w:keepLines/>
              <w:spacing w:before="0" w:after="40" w:line="240" w:lineRule="auto"/>
              <w:jc w:val="center"/>
            </w:pPr>
            <w:r>
              <w:rPr>
                <w:bCs/>
                <w:b/>
                <w:sz w:val="18"/>
              </w:rPr>
              <w:t xml:space="preserve">[−2.6, 8.3]</w:t>
            </w:r>
          </w:p>
        </w:tc>
      </w:tr>
      <w:tr>
        <w:trPr>
          <w:cantSplit/>
        </w:trPr>
        <w:tc>
          <w:tcPr>
            <w:tcW w:type="dxa" w:w="1992"/>
          </w:tcPr>
          <w:p>
            <w:pPr>
              <w:pStyle w:val="Compact"/>
              <w:keepNext w:val="0"/>
              <w:keepLines/>
              <w:spacing w:before="0" w:after="40" w:line="240" w:lineRule="auto"/>
              <w:jc w:val="left"/>
            </w:pPr>
            <w:r>
              <w:rPr>
                <w:sz w:val="18"/>
              </w:rPr>
              <w:t xml:space="preserve">2025</w:t>
            </w:r>
          </w:p>
        </w:tc>
        <w:tc>
          <w:tcPr>
            <w:tcW w:type="dxa" w:w="811"/>
          </w:tcPr>
          <w:p>
            <w:pPr>
              <w:pStyle w:val="Compact"/>
              <w:keepNext w:val="0"/>
              <w:keepLines/>
              <w:spacing w:before="0" w:after="40" w:line="240" w:lineRule="auto"/>
              <w:jc w:val="center"/>
            </w:pPr>
            <w:r>
              <w:rPr>
                <w:sz w:val="18"/>
              </w:rPr>
              <w:t xml:space="preserve">0.137</w:t>
            </w:r>
          </w:p>
        </w:tc>
        <w:tc>
          <w:tcPr>
            <w:tcW w:type="dxa" w:w="811"/>
          </w:tcPr>
          <w:p>
            <w:pPr>
              <w:pStyle w:val="Compact"/>
              <w:keepNext w:val="0"/>
              <w:keepLines/>
              <w:spacing w:before="0" w:after="40" w:line="240" w:lineRule="auto"/>
              <w:jc w:val="center"/>
            </w:pPr>
            <w:r>
              <w:rPr>
                <w:sz w:val="18"/>
              </w:rPr>
              <w:t xml:space="preserve">0.080</w:t>
            </w:r>
          </w:p>
        </w:tc>
        <w:tc>
          <w:tcPr>
            <w:tcW w:type="dxa" w:w="1475"/>
          </w:tcPr>
          <w:p>
            <w:pPr>
              <w:pStyle w:val="Compact"/>
              <w:keepNext w:val="0"/>
              <w:keepLines/>
              <w:spacing w:before="0" w:after="40" w:line="240" w:lineRule="auto"/>
              <w:jc w:val="center"/>
            </w:pPr>
            <w:r>
              <w:rPr>
                <w:bCs/>
                <w:b/>
                <w:sz w:val="18"/>
              </w:rPr>
              <w:t xml:space="preserve">[−0.037, 0.194]</w:t>
            </w:r>
          </w:p>
        </w:tc>
        <w:tc>
          <w:tcPr>
            <w:tcW w:type="dxa" w:w="1475"/>
          </w:tcPr>
          <w:p>
            <w:pPr>
              <w:pStyle w:val="Compact"/>
              <w:keepNext w:val="0"/>
              <w:keepLines/>
              <w:spacing w:before="0" w:after="40" w:line="240" w:lineRule="auto"/>
              <w:jc w:val="center"/>
            </w:pPr>
            <w:r>
              <w:rPr>
                <w:bCs/>
                <w:b/>
                <w:sz w:val="18"/>
              </w:rPr>
              <w:t xml:space="preserve">[−0.064, 0.173]</w:t>
            </w:r>
          </w:p>
        </w:tc>
        <w:tc>
          <w:tcPr>
            <w:tcW w:type="dxa" w:w="1254"/>
          </w:tcPr>
          <w:p>
            <w:pPr>
              <w:pStyle w:val="Compact"/>
              <w:keepNext w:val="0"/>
              <w:keepLines/>
              <w:spacing w:before="0" w:after="40" w:line="240" w:lineRule="auto"/>
              <w:jc w:val="center"/>
            </w:pPr>
            <w:r>
              <w:rPr>
                <w:bCs/>
                <w:b/>
                <w:sz w:val="18"/>
              </w:rPr>
              <w:t xml:space="preserve">[−4.2, 9.4]</w:t>
            </w:r>
          </w:p>
        </w:tc>
        <w:tc>
          <w:tcPr>
            <w:tcW w:type="dxa" w:w="1254"/>
          </w:tcPr>
          <w:p>
            <w:pPr>
              <w:pStyle w:val="Compact"/>
              <w:keepNext w:val="0"/>
              <w:keepLines/>
              <w:spacing w:before="0" w:after="40" w:line="240" w:lineRule="auto"/>
              <w:jc w:val="center"/>
            </w:pPr>
            <w:r>
              <w:rPr>
                <w:bCs/>
                <w:b/>
                <w:sz w:val="18"/>
              </w:rPr>
              <w:t xml:space="preserve">[−5.1, 8.4]</w:t>
            </w:r>
          </w:p>
        </w:tc>
      </w:tr>
      <w:tr>
        <w:trPr>
          <w:cantSplit/>
        </w:trPr>
        <w:tc>
          <w:tcPr>
            <w:tcW w:type="dxa" w:w="1992"/>
          </w:tcPr>
          <w:p>
            <w:pPr>
              <w:pStyle w:val="Compact"/>
              <w:keepNext w:val="0"/>
              <w:keepLines/>
              <w:spacing w:before="0" w:after="40" w:line="240" w:lineRule="auto"/>
              <w:jc w:val="left"/>
            </w:pPr>
            <w:r>
              <w:rPr>
                <w:sz w:val="18"/>
              </w:rPr>
              <w:t xml:space="preserve">2026</w:t>
            </w:r>
          </w:p>
        </w:tc>
        <w:tc>
          <w:tcPr>
            <w:tcW w:type="dxa" w:w="811"/>
          </w:tcPr>
          <w:p>
            <w:pPr>
              <w:pStyle w:val="Compact"/>
              <w:keepNext w:val="0"/>
              <w:keepLines/>
              <w:spacing w:before="0" w:after="40" w:line="240" w:lineRule="auto"/>
              <w:jc w:val="center"/>
            </w:pPr>
            <w:r>
              <w:rPr>
                <w:sz w:val="18"/>
              </w:rPr>
              <w:t xml:space="preserve">0.142</w:t>
            </w:r>
          </w:p>
        </w:tc>
        <w:tc>
          <w:tcPr>
            <w:tcW w:type="dxa" w:w="811"/>
          </w:tcPr>
          <w:p>
            <w:pPr>
              <w:pStyle w:val="Compact"/>
              <w:keepNext w:val="0"/>
              <w:keepLines/>
              <w:spacing w:before="0" w:after="40" w:line="240" w:lineRule="auto"/>
              <w:jc w:val="center"/>
            </w:pPr>
            <w:r>
              <w:rPr>
                <w:sz w:val="18"/>
              </w:rPr>
              <w:t xml:space="preserve">0.086</w:t>
            </w:r>
          </w:p>
        </w:tc>
        <w:tc>
          <w:tcPr>
            <w:tcW w:type="dxa" w:w="1475"/>
          </w:tcPr>
          <w:p>
            <w:pPr>
              <w:pStyle w:val="Compact"/>
              <w:keepNext w:val="0"/>
              <w:keepLines/>
              <w:spacing w:before="0" w:after="40" w:line="240" w:lineRule="auto"/>
              <w:jc w:val="center"/>
            </w:pPr>
            <w:r>
              <w:rPr>
                <w:sz w:val="18"/>
              </w:rPr>
              <w:t xml:space="preserve">[0.054, 0.156]</w:t>
            </w:r>
          </w:p>
        </w:tc>
        <w:tc>
          <w:tcPr>
            <w:tcW w:type="dxa" w:w="1475"/>
          </w:tcPr>
          <w:p>
            <w:pPr>
              <w:pStyle w:val="Compact"/>
              <w:keepNext w:val="0"/>
              <w:keepLines/>
              <w:spacing w:before="0" w:after="40" w:line="240" w:lineRule="auto"/>
              <w:jc w:val="center"/>
            </w:pPr>
            <w:r>
              <w:rPr>
                <w:sz w:val="18"/>
              </w:rPr>
              <w:t xml:space="preserve">[0.029, 0.139]</w:t>
            </w:r>
          </w:p>
        </w:tc>
        <w:tc>
          <w:tcPr>
            <w:tcW w:type="dxa" w:w="1254"/>
          </w:tcPr>
          <w:p>
            <w:pPr>
              <w:pStyle w:val="Compact"/>
              <w:keepNext w:val="0"/>
              <w:keepLines/>
              <w:spacing w:before="0" w:after="40" w:line="240" w:lineRule="auto"/>
              <w:jc w:val="center"/>
            </w:pPr>
            <w:r>
              <w:rPr>
                <w:sz w:val="18"/>
              </w:rPr>
              <w:t xml:space="preserve">[0.8, 7.2]</w:t>
            </w:r>
          </w:p>
        </w:tc>
        <w:tc>
          <w:tcPr>
            <w:tcW w:type="dxa" w:w="1254"/>
          </w:tcPr>
          <w:p>
            <w:pPr>
              <w:pStyle w:val="Compact"/>
              <w:keepNext w:val="0"/>
              <w:keepLines/>
              <w:spacing w:before="0" w:after="40" w:line="240" w:lineRule="auto"/>
              <w:jc w:val="center"/>
            </w:pPr>
            <w:r>
              <w:rPr>
                <w:bCs/>
                <w:b/>
                <w:sz w:val="18"/>
              </w:rPr>
              <w:t xml:space="preserve">[−0.3, 6.2]</w:t>
            </w:r>
          </w:p>
        </w:tc>
      </w:tr>
      <w:tr>
        <w:trPr>
          <w:cantSplit/>
        </w:trPr>
        <w:tc>
          <w:tcPr>
            <w:tcW w:type="dxa" w:w="9071"/>
            <w:gridSpan w:val="7"/>
          </w:tcPr>
          <w:p>
            <w:pPr>
              <w:pStyle w:val="Compact"/>
              <w:keepNext/>
              <w:keepLines/>
              <w:spacing w:before="0" w:after="40" w:line="240" w:lineRule="auto"/>
              <w:jc w:val="left"/>
            </w:pPr>
            <w:r>
              <w:rPr>
                <w:iCs/>
                <w:i/>
                <w:sz w:val="18"/>
              </w:rPr>
              <w:t xml:space="preserve">B. 2026 sensitivity thresholds s* (not slopes): largest additional departure at which the lower end stays positive; main setting s = 0.02</w:t>
            </w:r>
          </w:p>
        </w:tc>
      </w:tr>
      <w:tr>
        <w:trPr>
          <w:cantSplit/>
        </w:trPr>
        <w:tc>
          <w:tcPr>
            <w:tcW w:type="dxa" w:w="1992"/>
          </w:tcPr>
          <w:p>
            <w:pPr>
              <w:pStyle w:val="Compact"/>
              <w:keepNext w:val="0"/>
              <w:keepLines/>
              <w:spacing w:before="0" w:after="40" w:line="240" w:lineRule="auto"/>
              <w:jc w:val="left"/>
            </w:pPr>
            <w:r>
              <w:rPr>
                <w:sz w:val="18"/>
              </w:rPr>
              <w:t xml:space="preserve">Mobility-calibrated, ±10</w:t>
            </w:r>
          </w:p>
        </w:tc>
        <w:tc>
          <w:tcPr>
            <w:tcW w:type="dxa" w:w="811"/>
          </w:tcPr>
          <w:p>
            <w:pPr>
              <w:pStyle w:val="Compact"/>
              <w:keepNext w:val="0"/>
              <w:keepLines/>
              <w:spacing w:before="0" w:after="40" w:line="240" w:lineRule="auto"/>
              <w:jc w:val="center"/>
            </w:pPr>
            <w:r>
              <w:rPr>
                <w:sz w:val="18"/>
              </w:rPr>
              <w:t xml:space="preserve">–</w:t>
            </w:r>
          </w:p>
        </w:tc>
        <w:tc>
          <w:tcPr>
            <w:tcW w:type="dxa" w:w="811"/>
          </w:tcPr>
          <w:p>
            <w:pPr>
              <w:pStyle w:val="Compact"/>
              <w:keepNext w:val="0"/>
              <w:keepLines/>
              <w:spacing w:before="0" w:after="40" w:line="240" w:lineRule="auto"/>
              <w:jc w:val="center"/>
            </w:pPr>
            <w:r>
              <w:rPr>
                <w:sz w:val="18"/>
              </w:rPr>
              <w:t xml:space="preserve">–</w:t>
            </w:r>
          </w:p>
        </w:tc>
        <w:tc>
          <w:tcPr>
            <w:tcW w:type="dxa" w:w="1475"/>
          </w:tcPr>
          <w:p>
            <w:pPr>
              <w:pStyle w:val="Compact"/>
              <w:keepNext w:val="0"/>
              <w:keepLines/>
              <w:spacing w:before="0" w:after="40" w:line="240" w:lineRule="auto"/>
              <w:jc w:val="center"/>
            </w:pPr>
            <w:r>
              <w:rPr>
                <w:sz w:val="18"/>
              </w:rPr>
              <w:t xml:space="preserve">∞</w:t>
            </w:r>
          </w:p>
        </w:tc>
        <w:tc>
          <w:tcPr>
            <w:tcW w:type="dxa" w:w="1475"/>
          </w:tcPr>
          <w:p>
            <w:pPr>
              <w:pStyle w:val="Compact"/>
              <w:keepNext w:val="0"/>
              <w:keepLines/>
              <w:spacing w:before="0" w:after="40" w:line="240" w:lineRule="auto"/>
              <w:jc w:val="center"/>
            </w:pPr>
            <w:r>
              <w:rPr>
                <w:sz w:val="18"/>
              </w:rPr>
              <w:t xml:space="preserve">0.103</w:t>
            </w:r>
          </w:p>
        </w:tc>
        <w:tc>
          <w:tcPr>
            <w:tcW w:type="dxa" w:w="1254"/>
          </w:tcPr>
          <w:p>
            <w:pPr>
              <w:pStyle w:val="Compact"/>
              <w:keepNext w:val="0"/>
              <w:keepLines/>
              <w:spacing w:before="0" w:after="40" w:line="240" w:lineRule="auto"/>
              <w:jc w:val="center"/>
            </w:pPr>
            <w:r>
              <w:rPr>
                <w:sz w:val="18"/>
              </w:rPr>
              <w:t xml:space="preserve">0.049</w:t>
            </w:r>
          </w:p>
        </w:tc>
        <w:tc>
          <w:tcPr>
            <w:tcW w:type="dxa" w:w="1254"/>
          </w:tcPr>
          <w:p>
            <w:pPr>
              <w:pStyle w:val="Compact"/>
              <w:keepNext w:val="0"/>
              <w:keepLines/>
              <w:spacing w:before="0" w:after="40" w:line="240" w:lineRule="auto"/>
              <w:jc w:val="center"/>
            </w:pPr>
            <w:r>
              <w:rPr>
                <w:sz w:val="18"/>
              </w:rPr>
              <w:t xml:space="preserve">0.010</w:t>
            </w:r>
          </w:p>
        </w:tc>
      </w:tr>
      <w:tr>
        <w:trPr>
          <w:cantSplit/>
        </w:trPr>
        <w:tc>
          <w:tcPr>
            <w:tcW w:type="dxa" w:w="1992"/>
          </w:tcPr>
          <w:p>
            <w:pPr>
              <w:pStyle w:val="Compact"/>
              <w:keepNext w:val="0"/>
              <w:keepLines/>
              <w:spacing w:before="0" w:after="40" w:line="240" w:lineRule="auto"/>
              <w:jc w:val="left"/>
            </w:pPr>
            <w:r>
              <w:rPr>
                <w:sz w:val="18"/>
              </w:rPr>
              <w:t xml:space="preserve">Mobility-calibrated, ±20</w:t>
            </w:r>
          </w:p>
        </w:tc>
        <w:tc>
          <w:tcPr>
            <w:tcW w:type="dxa" w:w="811"/>
          </w:tcPr>
          <w:p>
            <w:pPr>
              <w:pStyle w:val="Compact"/>
              <w:keepNext w:val="0"/>
              <w:keepLines/>
              <w:spacing w:before="0" w:after="40" w:line="240" w:lineRule="auto"/>
              <w:jc w:val="center"/>
            </w:pPr>
            <w:r>
              <w:rPr>
                <w:sz w:val="18"/>
              </w:rPr>
              <w:t xml:space="preserve">–</w:t>
            </w:r>
          </w:p>
        </w:tc>
        <w:tc>
          <w:tcPr>
            <w:tcW w:type="dxa" w:w="811"/>
          </w:tcPr>
          <w:p>
            <w:pPr>
              <w:pStyle w:val="Compact"/>
              <w:keepNext w:val="0"/>
              <w:keepLines/>
              <w:spacing w:before="0" w:after="40" w:line="240" w:lineRule="auto"/>
              <w:jc w:val="center"/>
            </w:pPr>
            <w:r>
              <w:rPr>
                <w:sz w:val="18"/>
              </w:rPr>
              <w:t xml:space="preserve">–</w:t>
            </w:r>
          </w:p>
        </w:tc>
        <w:tc>
          <w:tcPr>
            <w:tcW w:type="dxa" w:w="1475"/>
          </w:tcPr>
          <w:p>
            <w:pPr>
              <w:pStyle w:val="Compact"/>
              <w:keepNext w:val="0"/>
              <w:keepLines/>
              <w:spacing w:before="0" w:after="40" w:line="240" w:lineRule="auto"/>
              <w:jc w:val="center"/>
            </w:pPr>
            <w:r>
              <w:rPr>
                <w:sz w:val="18"/>
              </w:rPr>
              <w:t xml:space="preserve">0.087</w:t>
            </w:r>
          </w:p>
        </w:tc>
        <w:tc>
          <w:tcPr>
            <w:tcW w:type="dxa" w:w="1475"/>
          </w:tcPr>
          <w:p>
            <w:pPr>
              <w:pStyle w:val="Compact"/>
              <w:keepNext w:val="0"/>
              <w:keepLines/>
              <w:spacing w:before="0" w:after="40" w:line="240" w:lineRule="auto"/>
              <w:jc w:val="center"/>
            </w:pPr>
            <w:r>
              <w:rPr>
                <w:sz w:val="18"/>
              </w:rPr>
              <w:t xml:space="preserve">0.001</w:t>
            </w:r>
          </w:p>
        </w:tc>
        <w:tc>
          <w:tcPr>
            <w:tcW w:type="dxa" w:w="1254"/>
          </w:tcPr>
          <w:p>
            <w:pPr>
              <w:pStyle w:val="Compact"/>
              <w:keepNext w:val="0"/>
              <w:keepLines/>
              <w:spacing w:before="0" w:after="40" w:line="240" w:lineRule="auto"/>
              <w:jc w:val="center"/>
            </w:pPr>
            <w:r>
              <w:rPr>
                <w:sz w:val="18"/>
              </w:rPr>
              <w:t xml:space="preserve">none</w:t>
            </w:r>
          </w:p>
        </w:tc>
        <w:tc>
          <w:tcPr>
            <w:tcW w:type="dxa" w:w="1254"/>
          </w:tcPr>
          <w:p>
            <w:pPr>
              <w:pStyle w:val="Compact"/>
              <w:keepNext w:val="0"/>
              <w:keepLines/>
              <w:spacing w:before="0" w:after="40" w:line="240" w:lineRule="auto"/>
              <w:jc w:val="center"/>
            </w:pPr>
            <w:r>
              <w:rPr>
                <w:sz w:val="18"/>
              </w:rPr>
              <w:t xml:space="preserve">none</w:t>
            </w:r>
          </w:p>
        </w:tc>
      </w:tr>
      <w:tr>
        <w:trPr>
          <w:cantSplit/>
        </w:trPr>
        <w:tc>
          <w:tcPr>
            <w:tcW w:type="dxa" w:w="1992"/>
          </w:tcPr>
          <w:p>
            <w:pPr>
              <w:pStyle w:val="Compact"/>
              <w:keepNext w:val="0"/>
              <w:keepLines/>
              <w:spacing w:before="0" w:after="40" w:line="240" w:lineRule="auto"/>
              <w:jc w:val="left"/>
            </w:pPr>
            <w:r>
              <w:rPr>
                <w:sz w:val="18"/>
              </w:rPr>
              <w:t xml:space="preserve">Unrestricted movement, ±10</w:t>
            </w:r>
          </w:p>
        </w:tc>
        <w:tc>
          <w:tcPr>
            <w:tcW w:type="dxa" w:w="811"/>
          </w:tcPr>
          <w:p>
            <w:pPr>
              <w:pStyle w:val="Compact"/>
              <w:keepNext w:val="0"/>
              <w:keepLines/>
              <w:spacing w:before="0" w:after="40" w:line="240" w:lineRule="auto"/>
              <w:jc w:val="center"/>
            </w:pPr>
            <w:r>
              <w:rPr>
                <w:sz w:val="18"/>
              </w:rPr>
              <w:t xml:space="preserve">–</w:t>
            </w:r>
          </w:p>
        </w:tc>
        <w:tc>
          <w:tcPr>
            <w:tcW w:type="dxa" w:w="811"/>
          </w:tcPr>
          <w:p>
            <w:pPr>
              <w:pStyle w:val="Compact"/>
              <w:keepNext w:val="0"/>
              <w:keepLines/>
              <w:spacing w:before="0" w:after="40" w:line="240" w:lineRule="auto"/>
              <w:jc w:val="center"/>
            </w:pPr>
            <w:r>
              <w:rPr>
                <w:sz w:val="18"/>
              </w:rPr>
              <w:t xml:space="preserve">–</w:t>
            </w:r>
          </w:p>
        </w:tc>
        <w:tc>
          <w:tcPr>
            <w:tcW w:type="dxa" w:w="1475"/>
          </w:tcPr>
          <w:p>
            <w:pPr>
              <w:pStyle w:val="Compact"/>
              <w:keepNext w:val="0"/>
              <w:keepLines/>
              <w:spacing w:before="0" w:after="40" w:line="240" w:lineRule="auto"/>
              <w:jc w:val="center"/>
            </w:pPr>
            <w:r>
              <w:rPr>
                <w:sz w:val="18"/>
              </w:rPr>
              <w:t xml:space="preserve">0.122</w:t>
            </w:r>
          </w:p>
        </w:tc>
        <w:tc>
          <w:tcPr>
            <w:tcW w:type="dxa" w:w="1475"/>
          </w:tcPr>
          <w:p>
            <w:pPr>
              <w:pStyle w:val="Compact"/>
              <w:keepNext w:val="0"/>
              <w:keepLines/>
              <w:spacing w:before="0" w:after="40" w:line="240" w:lineRule="auto"/>
              <w:jc w:val="center"/>
            </w:pPr>
            <w:r>
              <w:rPr>
                <w:sz w:val="18"/>
              </w:rPr>
              <w:t xml:space="preserve">0.067</w:t>
            </w:r>
          </w:p>
        </w:tc>
        <w:tc>
          <w:tcPr>
            <w:tcW w:type="dxa" w:w="1254"/>
          </w:tcPr>
          <w:p>
            <w:pPr>
              <w:pStyle w:val="Compact"/>
              <w:keepNext w:val="0"/>
              <w:keepLines/>
              <w:spacing w:before="0" w:after="40" w:line="240" w:lineRule="auto"/>
              <w:jc w:val="center"/>
            </w:pPr>
            <w:r>
              <w:rPr>
                <w:sz w:val="18"/>
              </w:rPr>
              <w:t xml:space="preserve">0.019</w:t>
            </w:r>
          </w:p>
        </w:tc>
        <w:tc>
          <w:tcPr>
            <w:tcW w:type="dxa" w:w="1254"/>
          </w:tcPr>
          <w:p>
            <w:pPr>
              <w:pStyle w:val="Compact"/>
              <w:keepNext w:val="0"/>
              <w:keepLines/>
              <w:spacing w:before="0" w:after="40" w:line="240" w:lineRule="auto"/>
              <w:jc w:val="center"/>
            </w:pPr>
            <w:r>
              <w:rPr>
                <w:sz w:val="18"/>
              </w:rPr>
              <w:t xml:space="preserve">none</w:t>
            </w:r>
          </w:p>
        </w:tc>
      </w:tr>
      <w:tr>
        <w:trPr>
          <w:cantSplit/>
        </w:trPr>
        <w:tc>
          <w:tcPr>
            <w:tcW w:type="dxa" w:w="1992"/>
          </w:tcPr>
          <w:p>
            <w:pPr>
              <w:pStyle w:val="Compact"/>
              <w:keepNext w:val="0"/>
              <w:keepLines/>
              <w:spacing w:before="0" w:after="40" w:line="240" w:lineRule="auto"/>
              <w:jc w:val="left"/>
            </w:pPr>
            <w:r>
              <w:rPr>
                <w:sz w:val="18"/>
              </w:rPr>
              <w:t xml:space="preserve">Unrestricted movement, ±20</w:t>
            </w:r>
          </w:p>
        </w:tc>
        <w:tc>
          <w:tcPr>
            <w:tcW w:type="dxa" w:w="811"/>
          </w:tcPr>
          <w:p>
            <w:pPr>
              <w:pStyle w:val="Compact"/>
              <w:keepNext w:val="0"/>
              <w:keepLines/>
              <w:spacing w:before="0" w:after="40" w:line="240" w:lineRule="auto"/>
              <w:jc w:val="center"/>
            </w:pPr>
            <w:r>
              <w:rPr>
                <w:sz w:val="18"/>
              </w:rPr>
              <w:t xml:space="preserve">–</w:t>
            </w:r>
          </w:p>
        </w:tc>
        <w:tc>
          <w:tcPr>
            <w:tcW w:type="dxa" w:w="811"/>
          </w:tcPr>
          <w:p>
            <w:pPr>
              <w:pStyle w:val="Compact"/>
              <w:keepNext w:val="0"/>
              <w:keepLines/>
              <w:spacing w:before="0" w:after="40" w:line="240" w:lineRule="auto"/>
              <w:jc w:val="center"/>
            </w:pPr>
            <w:r>
              <w:rPr>
                <w:sz w:val="18"/>
              </w:rPr>
              <w:t xml:space="preserve">–</w:t>
            </w:r>
          </w:p>
        </w:tc>
        <w:tc>
          <w:tcPr>
            <w:tcW w:type="dxa" w:w="1475"/>
          </w:tcPr>
          <w:p>
            <w:pPr>
              <w:pStyle w:val="Compact"/>
              <w:keepNext w:val="0"/>
              <w:keepLines/>
              <w:spacing w:before="0" w:after="40" w:line="240" w:lineRule="auto"/>
              <w:jc w:val="center"/>
            </w:pPr>
            <w:r>
              <w:rPr>
                <w:sz w:val="18"/>
              </w:rPr>
              <w:t xml:space="preserve">0.006</w:t>
            </w:r>
          </w:p>
        </w:tc>
        <w:tc>
          <w:tcPr>
            <w:tcW w:type="dxa" w:w="1475"/>
          </w:tcPr>
          <w:p>
            <w:pPr>
              <w:pStyle w:val="Compact"/>
              <w:keepNext w:val="0"/>
              <w:keepLines/>
              <w:spacing w:before="0" w:after="40" w:line="240" w:lineRule="auto"/>
              <w:jc w:val="center"/>
            </w:pPr>
            <w:r>
              <w:rPr>
                <w:sz w:val="18"/>
              </w:rPr>
              <w:t xml:space="preserve">none</w:t>
            </w:r>
          </w:p>
        </w:tc>
        <w:tc>
          <w:tcPr>
            <w:tcW w:type="dxa" w:w="1254"/>
          </w:tcPr>
          <w:p>
            <w:pPr>
              <w:pStyle w:val="Compact"/>
              <w:keepNext w:val="0"/>
              <w:keepLines/>
              <w:spacing w:before="0" w:after="40" w:line="240" w:lineRule="auto"/>
              <w:jc w:val="center"/>
            </w:pPr>
            <w:r>
              <w:rPr>
                <w:sz w:val="18"/>
              </w:rPr>
              <w:t xml:space="preserve">none</w:t>
            </w:r>
          </w:p>
        </w:tc>
        <w:tc>
          <w:tcPr>
            <w:tcW w:type="dxa" w:w="1254"/>
          </w:tcPr>
          <w:p>
            <w:pPr>
              <w:pStyle w:val="Compact"/>
              <w:keepNext w:val="0"/>
              <w:keepLines/>
              <w:spacing w:before="0" w:after="40" w:line="240" w:lineRule="auto"/>
              <w:jc w:val="center"/>
            </w:pPr>
            <w:r>
              <w:rPr>
                <w:sz w:val="18"/>
              </w:rPr>
              <w:t xml:space="preserve">none</w:t>
            </w:r>
          </w:p>
        </w:tc>
      </w:tr>
    </w:tbl>
    <w:p>
      <w:pPr>
        <w:pStyle w:val="BodyText"/>
        <w:spacing w:line="240" w:lineRule="auto" w:before="80" w:after="120"/>
      </w:pPr>
      <w:r>
        <w:rPr>
          <w:iCs/>
          <w:i/>
          <w:sz w:val="18"/>
        </w:rPr>
        <w:t xml:space="preserve">Notes.</w:t>
      </w:r>
      <w:r>
        <w:rPr>
          <w:sz w:val="18"/>
        </w:rPr>
        <w:t xml:space="preserve"> </w:t>
      </w:r>
      <w:r>
        <w:rPr>
          <w:sz w:val="18"/>
        </w:rPr>
        <w:t xml:space="preserve">Bold ranges include zero; their sign is not identified. Across districts: slope of the valid-vote share on log price across districts (point values, no allocation assumption). Within districts: ranges in z under the main assumptions (Table 2, column E); 2012 under column A and 2017 under column C, as those elections lack mobility data. Without the three: Gangnam, Seocho and Songpa dropped from the regression and the contrast, all accounting constraints kept. Panel B: s* with movement and the out-of-zone tolerance (±10 or ±20 points) held fixed; a relation is established at the main setting when s* exceeds 0.02. ∞: positive however much residents’ early ballots depart; none: not positive for any s (Online Appendix Table C9).</w:t>
      </w:r>
    </w:p>
    <w:p>
      <w:pPr>
        <w:pStyle w:val="BodyText"/>
      </w:pPr>
      <w:r>
        <w:t xml:space="preserve">Among election-day voters the slope outside the three districts is positive in 2022–2026 (Online Appendix Table C1). Among all residents, under the main assumptions, the 2026 within-district slope remains positive after the exclusion: its range is 0.029 to 0.139, compared with 0.054 to 0.156 for all of Seoul. In magnitude, a neighborhood whose apartment prices are twice those of another in the same district has a conservative roll-based share 2.0 to 9.6 points higher in the fitted relation; this describes the regression slope, not the effect of a price change or a difference found between every pair of neighborhoods. The median-split contrast ranges from</w:t>
      </w:r>
      <w:r>
        <w:t xml:space="preserve"> </w:t>
      </w:r>
      <m:oMath>
        <m:r>
          <m:rPr>
            <m:sty m:val="p"/>
          </m:rPr>
          <m:t>−</m:t>
        </m:r>
        <m:r>
          <m:t>0.3</m:t>
        </m:r>
      </m:oMath>
      <w:r>
        <w:t xml:space="preserve"> </w:t>
      </w:r>
      <w:r>
        <w:t xml:space="preserve">to</w:t>
      </w:r>
      <w:r>
        <w:t xml:space="preserve"> </w:t>
      </w:r>
      <m:oMath>
        <m:r>
          <m:t>6.2</m:t>
        </m:r>
      </m:oMath>
      <w:r>
        <w:t xml:space="preserve"> </w:t>
      </w:r>
      <w:r>
        <w:t xml:space="preserve">percentage points after the exclusion and the top-minus-bottom-tercile contrast from 0.1 to 7.9 (Online Appendix Table C22), so the group comparisons are borderline. Valid-vote shares yield the same conclusions about signs (Online Appendix Table C21). Excluding the three districts also removes the positive lower bound for the 2024 slope under the main assumptions and for the 2012 slope based on returns and rolls alone (Table 3).</w:t>
      </w:r>
    </w:p>
    <w:p>
      <w:pPr>
        <w:pStyle w:val="BodyText"/>
      </w:pPr>
      <w:r>
        <w:t xml:space="preserve">The positive slope outside the three districts requires the restriction on residents’ early-vote composition: under mobility-calibrated movement and the ten-point tolerance alone (column D), the slope without them ranges from</w:t>
      </w:r>
      <w:r>
        <w:t xml:space="preserve"> </w:t>
      </w:r>
      <m:oMath>
        <m:r>
          <m:rPr>
            <m:sty m:val="p"/>
          </m:rPr>
          <m:t>−</m:t>
        </m:r>
        <m:r>
          <m:t>0.020</m:t>
        </m:r>
      </m:oMath>
      <w:r>
        <w:t xml:space="preserve"> </w:t>
      </w:r>
      <w:r>
        <w:t xml:space="preserve">to</w:t>
      </w:r>
      <w:r>
        <w:t xml:space="preserve"> </w:t>
      </w:r>
      <m:oMath>
        <m:r>
          <m:t>0.188</m:t>
        </m:r>
      </m:oMath>
      <w:r>
        <w:t xml:space="preserve">. Holding movement and the tolerance fixed, it stays positive as long as residents’ early ballots depart from their benchmark by no more than about 0.103 beyond their station’s departure, about five times the main setting’s 0.02; with unrestricted movement the threshold is 0.067. The result is more sensitive to the out-of-zone tolerance: with a 20-percentage-point tolerance and mobility-calibrated movement, the slope remains positive only up to an additional tolerance of 0.001, below the main setting (Table 3, Panel B; Online Appendix Table C9). The conclusion beyond Gangnam is therefore less robust than the conclusion for all of Seoul, which survives a 20-point tolerance up to</w:t>
      </w:r>
      <w:r>
        <w:t xml:space="preserve"> </w:t>
      </w:r>
      <m:oMath>
        <m:r>
          <m:t>s</m:t>
        </m:r>
        <m:r>
          <m:rPr>
            <m:sty m:val="p"/>
          </m:rPr>
          <m:t>=</m:t>
        </m:r>
        <m:r>
          <m:t>0.087</m:t>
        </m:r>
      </m:oMath>
      <w:r>
        <w:t xml:space="preserve">.</w:t>
      </w:r>
    </w:p>
    <w:p>
      <w:pPr>
        <w:pStyle w:val="BodyText"/>
      </w:pPr>
      <w:r>
        <w:t xml:space="preserve">Under the main assumptions, the 2026 positive slope extends beyond Gangnam, Seocho and Songpa. It is not driven by any single remaining district: omitting each in turn keeps the lower bound positive. High-price neighborhoods nevertheless matter. Excluding the top 5% or 10% by price among the remaining neighborhoods lowers the bound to 0.0004 and -0.0093, respectively (Online Appendix Table C19). The result therefore extends beyond the three-district enclave while remaining sensitive to the upper end of the price distribution. Trimming changes the neighborhoods being compared; the loss of a positive bound limits the claim’s reach rather than demonstrating that the original slope was erroneous. Together with the median-split contrast, it cautions against describing a general separation between expensive and inexpensive neighborhoods outside Gangnam. Economic interests, sorting and place identity remain possible explanations of the association (Bae and Joo 2020).</w:t>
      </w:r>
    </w:p>
    <w:bookmarkEnd w:id="38"/>
    <w:bookmarkStart w:id="39" w:name="X2143b824abb36036d91f1b7fe26ae0c99791239"/>
    <w:p>
      <w:pPr>
        <w:pStyle w:val="Heading2"/>
      </w:pPr>
      <w:r>
        <w:t xml:space="preserve">4.4 Information supplied by early-voting zones</w:t>
      </w:r>
    </w:p>
    <w:p>
      <w:pPr>
        <w:pStyle w:val="FirstParagraph"/>
      </w:pPr>
      <w:r>
        <w:t xml:space="preserve">The elections differ sharply in what they reveal, and one reason is administrative. In presidential elections the early-voting zone was the whole district; in 2026 it was the district-council constituency, about three neighborhoods. Because the 2026 returns can be analyzed with and without the zone rule, the role of the rule can be isolated in the same data (Table 4).</w:t>
      </w:r>
    </w:p>
    <w:p>
      <w:pPr>
        <w:pStyle w:val="TableCaption"/>
        <w:keepNext/>
      </w:pPr>
      <w:r>
        <w:t xml:space="preserve">Table 4. Within-district slopes with and without statutory zones, 2026</w:t>
      </w:r>
    </w:p>
    <w:tbl>
      <w:tblPr>
        <w:tblStyle w:val="Table"/>
        <w:tblW w:type="pct" w:w="5000"/>
        <w:tblLayout w:type="fixed"/>
        <w:tblLook w:firstRow="1" w:lastRow="0" w:firstColumn="0" w:lastColumn="0" w:noHBand="0" w:noVBand="0" w:val="0020"/>
        <w:jc w:val="start"/>
        <w:tblCaption w:val="Table 4. Within-district slopes with and without statutory zones, 2026"/>
      </w:tblPr>
      <w:tblGrid>
        <w:gridCol w:w="4592"/>
        <w:gridCol w:w="2240"/>
        <w:gridCol w:w="2240"/>
      </w:tblGrid>
      <w:tr>
        <w:trPr>
          <w:tblHeader w:val="true"/>
          <w:cantSplit/>
        </w:trPr>
        <w:tc>
          <w:tcPr>
            <w:tcW w:type="dxa" w:w="4592"/>
          </w:tcPr>
          <w:p>
            <w:pPr>
              <w:pStyle w:val="Compact"/>
              <w:keepNext/>
              <w:keepLines/>
              <w:spacing w:before="0" w:after="40" w:line="240" w:lineRule="auto"/>
              <w:jc w:val="left"/>
            </w:pPr>
            <w:r>
              <w:rPr>
                <w:sz w:val="18"/>
              </w:rPr>
              <w:t xml:space="preserve">Assumptions</w:t>
            </w:r>
          </w:p>
        </w:tc>
        <w:tc>
          <w:tcPr>
            <w:tcW w:type="dxa" w:w="2240"/>
          </w:tcPr>
          <w:p>
            <w:pPr>
              <w:pStyle w:val="Compact"/>
              <w:keepNext/>
              <w:keepLines/>
              <w:spacing w:before="0" w:after="40" w:line="240" w:lineRule="auto"/>
              <w:jc w:val="center"/>
            </w:pPr>
            <w:r>
              <w:rPr>
                <w:sz w:val="18"/>
              </w:rPr>
              <w:t xml:space="preserve">Zones ignored: in-zone early ballots may be cast anywhere in the district</w:t>
            </w:r>
          </w:p>
        </w:tc>
        <w:tc>
          <w:tcPr>
            <w:tcW w:type="dxa" w:w="2240"/>
          </w:tcPr>
          <w:p>
            <w:pPr>
              <w:pStyle w:val="Compact"/>
              <w:keepNext/>
              <w:keepLines/>
              <w:spacing w:before="0" w:after="40" w:line="240" w:lineRule="auto"/>
              <w:jc w:val="center"/>
            </w:pPr>
            <w:r>
              <w:rPr>
                <w:sz w:val="18"/>
              </w:rPr>
              <w:t xml:space="preserve">Statutory zones: only within the voter’s council constituency</w:t>
            </w:r>
          </w:p>
        </w:tc>
      </w:tr>
      <w:tr>
        <w:trPr>
          <w:cantSplit/>
        </w:trPr>
        <w:tc>
          <w:tcPr>
            <w:tcW w:type="dxa" w:w="4592"/>
          </w:tcPr>
          <w:p>
            <w:pPr>
              <w:pStyle w:val="Compact"/>
              <w:keepNext/>
              <w:keepLines/>
              <w:spacing w:before="0" w:after="40" w:line="240" w:lineRule="auto"/>
              <w:jc w:val="left"/>
            </w:pPr>
            <w:r>
              <w:rPr>
                <w:sz w:val="18"/>
              </w:rPr>
              <w:t xml:space="preserve">Returns and rolls only</w:t>
            </w:r>
          </w:p>
        </w:tc>
        <w:tc>
          <w:tcPr>
            <w:tcW w:type="dxa" w:w="2240"/>
          </w:tcPr>
          <w:p>
            <w:pPr>
              <w:pStyle w:val="Compact"/>
              <w:keepNext/>
              <w:keepLines/>
              <w:spacing w:before="0" w:after="40" w:line="240" w:lineRule="auto"/>
              <w:jc w:val="center"/>
            </w:pPr>
            <w:r>
              <w:rPr>
                <w:bCs/>
                <w:b/>
                <w:sz w:val="18"/>
              </w:rPr>
              <w:t xml:space="preserve">[−0.378, 0.519]</w:t>
            </w:r>
          </w:p>
        </w:tc>
        <w:tc>
          <w:tcPr>
            <w:tcW w:type="dxa" w:w="2240"/>
          </w:tcPr>
          <w:p>
            <w:pPr>
              <w:pStyle w:val="Compact"/>
              <w:keepNext/>
              <w:keepLines/>
              <w:spacing w:before="0" w:after="40" w:line="240" w:lineRule="auto"/>
              <w:jc w:val="center"/>
            </w:pPr>
            <w:r>
              <w:rPr>
                <w:bCs/>
                <w:b/>
                <w:sz w:val="18"/>
              </w:rPr>
              <w:t xml:space="preserve">[−0.279, 0.439]</w:t>
            </w:r>
          </w:p>
        </w:tc>
      </w:tr>
      <w:tr>
        <w:trPr>
          <w:cantSplit/>
        </w:trPr>
        <w:tc>
          <w:tcPr>
            <w:tcW w:type="dxa" w:w="4592"/>
          </w:tcPr>
          <w:p>
            <w:pPr>
              <w:pStyle w:val="Compact"/>
              <w:keepNext/>
              <w:keepLines/>
              <w:spacing w:before="0" w:after="40" w:line="240" w:lineRule="auto"/>
              <w:jc w:val="left"/>
            </w:pPr>
            <w:r>
              <w:rPr>
                <w:sz w:val="18"/>
              </w:rPr>
              <w:t xml:space="preserve">Minimal movement, out-of-zone within 10 points</w:t>
            </w:r>
          </w:p>
        </w:tc>
        <w:tc>
          <w:tcPr>
            <w:tcW w:type="dxa" w:w="2240"/>
          </w:tcPr>
          <w:p>
            <w:pPr>
              <w:pStyle w:val="Compact"/>
              <w:keepNext/>
              <w:keepLines/>
              <w:spacing w:before="0" w:after="40" w:line="240" w:lineRule="auto"/>
              <w:jc w:val="center"/>
            </w:pPr>
            <w:r>
              <w:rPr>
                <w:sz w:val="18"/>
              </w:rPr>
              <w:t xml:space="preserve">[0.072, 0.139]</w:t>
            </w:r>
          </w:p>
        </w:tc>
        <w:tc>
          <w:tcPr>
            <w:tcW w:type="dxa" w:w="2240"/>
          </w:tcPr>
          <w:p>
            <w:pPr>
              <w:pStyle w:val="Compact"/>
              <w:keepNext/>
              <w:keepLines/>
              <w:spacing w:before="0" w:after="40" w:line="240" w:lineRule="auto"/>
              <w:jc w:val="center"/>
            </w:pPr>
            <w:r>
              <w:rPr>
                <w:sz w:val="18"/>
              </w:rPr>
              <w:t xml:space="preserve">[0.072, 0.138]</w:t>
            </w:r>
          </w:p>
        </w:tc>
      </w:tr>
      <w:tr>
        <w:trPr>
          <w:cantSplit/>
        </w:trPr>
        <w:tc>
          <w:tcPr>
            <w:tcW w:type="dxa" w:w="4592"/>
          </w:tcPr>
          <w:p>
            <w:pPr>
              <w:pStyle w:val="Compact"/>
              <w:keepNext/>
              <w:keepLines/>
              <w:spacing w:before="0" w:after="40" w:line="240" w:lineRule="auto"/>
              <w:jc w:val="left"/>
            </w:pPr>
            <w:r>
              <w:rPr>
                <w:sz w:val="18"/>
              </w:rPr>
              <w:t xml:space="preserve">Uniform movement (η = 0.1), out-of-zone within 10 points</w:t>
            </w:r>
          </w:p>
        </w:tc>
        <w:tc>
          <w:tcPr>
            <w:tcW w:type="dxa" w:w="2240"/>
          </w:tcPr>
          <w:p>
            <w:pPr>
              <w:pStyle w:val="Compact"/>
              <w:keepNext/>
              <w:keepLines/>
              <w:spacing w:before="0" w:after="40" w:line="240" w:lineRule="auto"/>
              <w:jc w:val="center"/>
            </w:pPr>
            <w:r>
              <w:rPr>
                <w:bCs/>
                <w:b/>
                <w:sz w:val="18"/>
              </w:rPr>
              <w:t xml:space="preserve">[−0.039, 0.239]</w:t>
            </w:r>
          </w:p>
        </w:tc>
        <w:tc>
          <w:tcPr>
            <w:tcW w:type="dxa" w:w="2240"/>
          </w:tcPr>
          <w:p>
            <w:pPr>
              <w:pStyle w:val="Compact"/>
              <w:keepNext/>
              <w:keepLines/>
              <w:spacing w:before="0" w:after="40" w:line="240" w:lineRule="auto"/>
              <w:jc w:val="center"/>
            </w:pPr>
            <w:r>
              <w:rPr>
                <w:sz w:val="18"/>
              </w:rPr>
              <w:t xml:space="preserve">[0.014, 0.195]</w:t>
            </w:r>
          </w:p>
        </w:tc>
      </w:tr>
      <w:tr>
        <w:trPr>
          <w:cantSplit/>
        </w:trPr>
        <w:tc>
          <w:tcPr>
            <w:tcW w:type="dxa" w:w="4592"/>
          </w:tcPr>
          <w:p>
            <w:pPr>
              <w:pStyle w:val="Compact"/>
              <w:keepNext/>
              <w:keepLines/>
              <w:spacing w:before="0" w:after="40" w:line="240" w:lineRule="auto"/>
              <w:jc w:val="left"/>
            </w:pPr>
            <w:r>
              <w:rPr>
                <w:sz w:val="18"/>
              </w:rPr>
              <w:t xml:space="preserve">Mobility-calibrated movement, out-of-zone within 10 points (D)</w:t>
            </w:r>
          </w:p>
        </w:tc>
        <w:tc>
          <w:tcPr>
            <w:tcW w:type="dxa" w:w="2240"/>
          </w:tcPr>
          <w:p>
            <w:pPr>
              <w:pStyle w:val="Compact"/>
              <w:keepNext/>
              <w:keepLines/>
              <w:spacing w:before="0" w:after="40" w:line="240" w:lineRule="auto"/>
              <w:jc w:val="center"/>
            </w:pPr>
            <w:r>
              <w:rPr>
                <w:bCs/>
                <w:b/>
                <w:sz w:val="18"/>
              </w:rPr>
              <w:t xml:space="preserve">[−0.191, 0.373]</w:t>
            </w:r>
          </w:p>
        </w:tc>
        <w:tc>
          <w:tcPr>
            <w:tcW w:type="dxa" w:w="2240"/>
          </w:tcPr>
          <w:p>
            <w:pPr>
              <w:pStyle w:val="Compact"/>
              <w:keepNext/>
              <w:keepLines/>
              <w:spacing w:before="0" w:after="40" w:line="240" w:lineRule="auto"/>
              <w:jc w:val="center"/>
            </w:pPr>
            <w:r>
              <w:rPr>
                <w:sz w:val="18"/>
              </w:rPr>
              <w:t xml:space="preserve">[0.010, 0.201]</w:t>
            </w:r>
          </w:p>
        </w:tc>
      </w:tr>
      <w:tr>
        <w:trPr>
          <w:cantSplit/>
        </w:trPr>
        <w:tc>
          <w:tcPr>
            <w:tcW w:type="dxa" w:w="4592"/>
          </w:tcPr>
          <w:p>
            <w:pPr>
              <w:pStyle w:val="Compact"/>
              <w:keepNext/>
              <w:keepLines/>
              <w:spacing w:before="0" w:after="40" w:line="240" w:lineRule="auto"/>
              <w:jc w:val="left"/>
            </w:pPr>
            <w:r>
              <w:rPr>
                <w:sz w:val="18"/>
              </w:rPr>
              <w:t xml:space="preserve">Main assumptions (E)</w:t>
            </w:r>
          </w:p>
        </w:tc>
        <w:tc>
          <w:tcPr>
            <w:tcW w:type="dxa" w:w="2240"/>
          </w:tcPr>
          <w:p>
            <w:pPr>
              <w:pStyle w:val="Compact"/>
              <w:keepNext/>
              <w:keepLines/>
              <w:spacing w:before="0" w:after="40" w:line="240" w:lineRule="auto"/>
              <w:jc w:val="center"/>
            </w:pPr>
            <w:r>
              <w:rPr>
                <w:sz w:val="18"/>
              </w:rPr>
              <w:t xml:space="preserve">[0.034, 0.174]</w:t>
            </w:r>
          </w:p>
        </w:tc>
        <w:tc>
          <w:tcPr>
            <w:tcW w:type="dxa" w:w="2240"/>
          </w:tcPr>
          <w:p>
            <w:pPr>
              <w:pStyle w:val="Compact"/>
              <w:keepNext/>
              <w:keepLines/>
              <w:spacing w:before="0" w:after="40" w:line="240" w:lineRule="auto"/>
              <w:jc w:val="center"/>
            </w:pPr>
            <w:r>
              <w:rPr>
                <w:sz w:val="18"/>
              </w:rPr>
              <w:t xml:space="preserve">[0.054, 0.156]</w:t>
            </w:r>
          </w:p>
        </w:tc>
      </w:tr>
    </w:tbl>
    <w:p>
      <w:pPr>
        <w:pStyle w:val="BodyText"/>
        <w:keepLines/>
        <w:spacing w:line="240" w:lineRule="auto" w:before="80" w:after="120"/>
      </w:pPr>
      <w:r>
        <w:rPr>
          <w:iCs/>
          <w:i/>
          <w:sz w:val="18"/>
        </w:rPr>
        <w:t xml:space="preserve">Notes.</w:t>
      </w:r>
      <w:r>
        <w:rPr>
          <w:sz w:val="18"/>
        </w:rPr>
        <w:t xml:space="preserve"> </w:t>
      </w:r>
      <w:r>
        <w:rPr>
          <w:sz w:val="18"/>
        </w:rPr>
        <w:t xml:space="preserve">Bold ranges include zero; their sign is not identified. Roll-based share z. The zones are the 155 district-council constituencies, about three neighborhoods each. Rows with uniform movement hold the amount of movement fixed, so the comparison isolates the zone rule; the mobility-calibrated rows recalibrate movement to the zone definition. Adding the council contest’s published headcounts changes the statutory-zone ranges by at most 0.003 (Online Appendix Table C27).</w:t>
      </w:r>
    </w:p>
    <w:p>
      <w:pPr>
        <w:pStyle w:val="BodyText"/>
      </w:pPr>
      <w:r>
        <w:t xml:space="preserve">With the uniform movement cap held fixed, allowing early ballots to move throughout the district yields a slope range of</w:t>
      </w:r>
      <w:r>
        <w:t xml:space="preserve"> </w:t>
      </w:r>
      <m:oMath>
        <m:d>
          <m:dPr>
            <m:begChr m:val="["/>
            <m:endChr m:val="]"/>
            <m:sepChr m:val=""/>
            <m:grow/>
          </m:dPr>
          <m:e>
            <m:r>
              <m:rPr>
                <m:sty m:val="p"/>
              </m:rPr>
              <m:t>−</m:t>
            </m:r>
            <m:r>
              <m:t>0.039</m:t>
            </m:r>
            <m:r>
              <m:rPr>
                <m:sty m:val="p"/>
              </m:rPr>
              <m:t>,</m:t>
            </m:r>
            <m:r>
              <m:t>0.239</m:t>
            </m:r>
          </m:e>
        </m:d>
      </m:oMath>
      <w:r>
        <w:t xml:space="preserve">. Restricting them to their statutory zones raises the lower bound above zero, to</w:t>
      </w:r>
      <w:r>
        <w:t xml:space="preserve"> </w:t>
      </w:r>
      <m:oMath>
        <m:d>
          <m:dPr>
            <m:begChr m:val="["/>
            <m:endChr m:val="]"/>
            <m:sepChr m:val=""/>
            <m:grow/>
          </m:dPr>
          <m:e>
            <m:r>
              <m:t>0.014</m:t>
            </m:r>
            <m:r>
              <m:rPr>
                <m:sty m:val="p"/>
              </m:rPr>
              <m:t>,</m:t>
            </m:r>
            <m:r>
              <m:t>0.195</m:t>
            </m:r>
          </m:e>
        </m:d>
      </m:oMath>
      <w:r>
        <w:t xml:space="preserve">. The mobility-calibrated comparison gives the same change in sign status (</w:t>
      </w:r>
      <m:oMath>
        <m:d>
          <m:dPr>
            <m:begChr m:val="["/>
            <m:endChr m:val="]"/>
            <m:sepChr m:val=""/>
            <m:grow/>
          </m:dPr>
          <m:e>
            <m:r>
              <m:rPr>
                <m:sty m:val="p"/>
              </m:rPr>
              <m:t>−</m:t>
            </m:r>
            <m:r>
              <m:t>0.191</m:t>
            </m:r>
            <m:r>
              <m:rPr>
                <m:sty m:val="p"/>
              </m:rPr>
              <m:t>,</m:t>
            </m:r>
            <m:r>
              <m:t>0.373</m:t>
            </m:r>
          </m:e>
        </m:d>
      </m:oMath>
      <w:r>
        <w:t xml:space="preserve"> </w:t>
      </w:r>
      <w:r>
        <w:t xml:space="preserve">versus</w:t>
      </w:r>
      <w:r>
        <w:t xml:space="preserve"> </w:t>
      </w:r>
      <m:oMath>
        <m:d>
          <m:dPr>
            <m:begChr m:val="["/>
            <m:endChr m:val="]"/>
            <m:sepChr m:val=""/>
            <m:grow/>
          </m:dPr>
          <m:e>
            <m:r>
              <m:t>0.010</m:t>
            </m:r>
            <m:r>
              <m:rPr>
                <m:sty m:val="p"/>
              </m:rPr>
              <m:t>,</m:t>
            </m:r>
            <m:r>
              <m:t>0.201</m:t>
            </m:r>
          </m:e>
        </m:d>
      </m:oMath>
      <w:r>
        <w:t xml:space="preserve">), although its movement caps are recalibrated to each zone definition. Under the main assumptions, both ranges are positive and the zones narrow the range by about a quarter.</w:t>
      </w:r>
    </w:p>
    <w:p>
      <w:pPr>
        <w:pStyle w:val="BodyText"/>
      </w:pPr>
      <w:r>
        <w:t xml:space="preserve">The fixed-cap comparison isolates information in the zone boundaries: votes and pooled-ballot totals remain unchanged, and only the permitted destinations of in-zone ballots change. It does not simulate a presidential election, in which some voters classified as out-of-zone in 2026 would instead be in-zone. The populations subject to the out-of-zone restriction also differ across election types. Table 4 thus demonstrates the informational value of zones within one election; it does not decompose the political and administrative causes of the 2025–2026 difference.</w:t>
      </w:r>
    </w:p>
    <w:bookmarkEnd w:id="39"/>
    <w:bookmarkStart w:id="43" w:name="sensitivity-and-robustness"/>
    <w:p>
      <w:pPr>
        <w:pStyle w:val="Heading2"/>
      </w:pPr>
      <w:r>
        <w:t xml:space="preserve">4.5 Sensitivity and robustness</w:t>
      </w:r>
    </w:p>
    <w:p>
      <w:pPr>
        <w:pStyle w:val="FirstParagraph"/>
      </w:pPr>
      <w:r>
        <w:rPr>
          <w:iCs/>
          <w:i/>
        </w:rPr>
        <w:t xml:space="preserve">How much composition restriction is needed?</w:t>
      </w:r>
      <w:r>
        <w:t xml:space="preserve"> </w:t>
      </w:r>
      <w:r>
        <w:t xml:space="preserve">Figure 4 reports the largest additional tolerance</w:t>
      </w:r>
      <w:r>
        <w:t xml:space="preserve"> </w:t>
      </w:r>
      <m:oMath>
        <m:sSup>
          <m:e>
            <m:r>
              <m:t>s</m:t>
            </m:r>
          </m:e>
          <m:sup>
            <m:r>
              <m:rPr>
                <m:nor/>
                <m:sty m:val="p"/>
              </m:rPr>
              <m:t>*</m:t>
            </m:r>
          </m:sup>
        </m:sSup>
      </m:oMath>
      <w:r>
        <w:t xml:space="preserve"> </w:t>
      </w:r>
      <w:r>
        <w:t xml:space="preserve">at which the slope remains positive for each movement cap and out-of-zone tolerance. A value of 0.087 means an additional departure below about 8.7 percentage points; the main setting allows two. For all of Seoul in 2026, with a ten-point out-of-zone tolerance the slope is positive at the main setting even with unrestricted movement (</w:t>
      </w:r>
      <m:oMath>
        <m:sSup>
          <m:e>
            <m:r>
              <m:t>s</m:t>
            </m:r>
          </m:e>
          <m:sup>
            <m:r>
              <m:rPr>
                <m:nor/>
                <m:sty m:val="p"/>
              </m:rPr>
              <m:t>*</m:t>
            </m:r>
          </m:sup>
        </m:sSup>
        <m:r>
          <m:rPr>
            <m:sty m:val="p"/>
          </m:rPr>
          <m:t>=</m:t>
        </m:r>
        <m:r>
          <m:t>0.122</m:t>
        </m:r>
      </m:oMath>
      <w:r>
        <w:t xml:space="preserve">). With a 20-point tolerance,</w:t>
      </w:r>
      <w:r>
        <w:t xml:space="preserve"> </w:t>
      </w:r>
      <m:oMath>
        <m:sSup>
          <m:e>
            <m:r>
              <m:t>s</m:t>
            </m:r>
          </m:e>
          <m:sup>
            <m:r>
              <m:rPr>
                <m:nor/>
                <m:sty m:val="p"/>
              </m:rPr>
              <m:t>*</m:t>
            </m:r>
          </m:sup>
        </m:sSup>
      </m:oMath>
      <w:r>
        <w:t xml:space="preserve"> </w:t>
      </w:r>
      <w:r>
        <w:t xml:space="preserve">is 0.087 under calibrated movement but only 0.006 under unrestricted movement (Online Appendix Tables C8 and C9). Thus relaxing movement alone does not overturn the main whole-city result; jointly relaxing movement and composition can. At calibrated movement and the main</w:t>
      </w:r>
      <w:r>
        <w:t xml:space="preserve"> </w:t>
      </w:r>
      <m:oMath>
        <m:r>
          <m:t>s</m:t>
        </m:r>
      </m:oMath>
      <w:r>
        <w:t xml:space="preserve">, the largest out-of-zone tolerance retaining a positive slope is about 0.26 for all Seoul and 0.18 outside the three districts (Table C12). These thresholds describe conditional robustness, not evidence that the restrictions hold.</w:t>
      </w:r>
    </w:p>
    <w:p>
      <w:pPr>
        <w:pStyle w:val="BodyText"/>
      </w:pPr>
      <w:r>
        <w:t xml:space="preserve">The 2024 whole-city result has much less room:</w:t>
      </w:r>
      <w:r>
        <w:t xml:space="preserve"> </w:t>
      </w:r>
      <m:oMath>
        <m:sSup>
          <m:e>
            <m:r>
              <m:t>s</m:t>
            </m:r>
          </m:e>
          <m:sup>
            <m:r>
              <m:rPr>
                <m:nor/>
                <m:sty m:val="p"/>
              </m:rPr>
              <m:t>*</m:t>
            </m:r>
          </m:sup>
        </m:sSup>
        <m:r>
          <m:rPr>
            <m:sty m:val="p"/>
          </m:rPr>
          <m:t>=</m:t>
        </m:r>
        <m:r>
          <m:t>0.021</m:t>
        </m:r>
      </m:oMath>
      <w:r>
        <w:t xml:space="preserve"> </w:t>
      </w:r>
      <w:r>
        <w:t xml:space="preserve">at the main movement cap and out-of-zone tolerance, almost the main</w:t>
      </w:r>
      <w:r>
        <w:t xml:space="preserve"> </w:t>
      </w:r>
      <m:oMath>
        <m:r>
          <m:t>s</m:t>
        </m:r>
        <m:r>
          <m:rPr>
            <m:sty m:val="p"/>
          </m:rPr>
          <m:t>=</m:t>
        </m:r>
        <m:r>
          <m:t>0.02</m:t>
        </m:r>
      </m:oMath>
      <w:r>
        <w:t xml:space="preserve">. Its positive lower bound disappears with constituency fixed effects, a price-dependent benchmark or age adjustment. In 2022 and 2025, the sign remains unresolved even when residents’ early ballots depart from the benchmark only as much as their station’s ballots do. Restricting movers’ composition alone does not settle these signs because pooled ballots can support a reversal. Online Appendix Tables C14–C17 summarize the reversing allocations and their departures; they describe possibilities allowed by the assumptions, not estimated voting behavior.</w:t>
      </w:r>
    </w:p>
    <w:p>
      <w:pPr>
        <w:pStyle w:val="CaptionedFigure"/>
        <w:keepNext/>
      </w:pPr>
      <w:r>
        <w:drawing>
          <wp:inline>
            <wp:extent cx="5334000" cy="3994889"/>
            <wp:effectExtent b="0" l="0" r="0" t="0"/>
            <wp:docPr descr="Figure 4. Where the within-district slope is positive. Each cell gives s^{\text{*}}, the largest additional departure of residents’ early ballots from their neighborhood benchmark, beyond their station’s own departure, at which the lower end of the range stays positive; amounts of movement are multiples \lambda of the mobility-calibrated scenario or unrestricted, and \delta is the tolerance for out-of-zone voters. The main setting (\lambda=1, \delta=0.1, s=0.02) is outlined: the slope is positive there if s^{\text{*}} exceeds 0.02. “∞”: positive however much residents’ early ballots depart; gray: no positive lower bound for any s\ge0 among the settings examined. All of Seoul; numbers in Online Appendix Table C8, and selected settings without Gangnam, Seocho and Songpa in Table C9." title="" id="41" name="Picture"/>
            <a:graphic>
              <a:graphicData uri="http://schemas.openxmlformats.org/drawingml/2006/picture">
                <pic:pic>
                  <pic:nvPicPr>
                    <pic:cNvPr descr="figures/fig4_region.png" id="42" name="Picture"/>
                    <pic:cNvPicPr>
                      <a:picLocks noChangeArrowheads="1" noChangeAspect="1"/>
                    </pic:cNvPicPr>
                  </pic:nvPicPr>
                  <pic:blipFill>
                    <a:blip r:embed="rId40"/>
                    <a:stretch>
                      <a:fillRect/>
                    </a:stretch>
                  </pic:blipFill>
                  <pic:spPr bwMode="auto">
                    <a:xfrm>
                      <a:off x="0" y="0"/>
                      <a:ext cx="5334000" cy="3994889"/>
                    </a:xfrm>
                    <a:prstGeom prst="rect">
                      <a:avLst/>
                    </a:prstGeom>
                    <a:noFill/>
                    <a:ln w="9525">
                      <a:noFill/>
                      <a:headEnd/>
                      <a:tailEnd/>
                    </a:ln>
                  </pic:spPr>
                </pic:pic>
              </a:graphicData>
            </a:graphic>
          </wp:inline>
        </w:drawing>
      </w:r>
    </w:p>
    <w:p>
      <w:pPr>
        <w:pStyle w:val="ImageCaption"/>
      </w:pPr>
      <w:r>
        <w:t xml:space="preserve">Figure 4. Where the within-district slope is positive. Each cell gives</w:t>
      </w:r>
      <w:r>
        <w:t xml:space="preserve"> </w:t>
      </w:r>
      <m:oMath>
        <m:sSup>
          <m:e>
            <m:r>
              <m:t>s</m:t>
            </m:r>
          </m:e>
          <m:sup>
            <m:r>
              <m:rPr>
                <m:nor/>
                <m:sty m:val="p"/>
              </m:rPr>
              <m:t>*</m:t>
            </m:r>
          </m:sup>
        </m:sSup>
      </m:oMath>
      <w:r>
        <w:t xml:space="preserve">, the largest additional departure of residents’ early ballots from their neighborhood benchmark, beyond their station’s own departure, at which the lower end of the range stays positive; amounts of movement are multiples</w:t>
      </w:r>
      <w:r>
        <w:t xml:space="preserve"> </w:t>
      </w:r>
      <m:oMath>
        <m:r>
          <m:t>λ</m:t>
        </m:r>
      </m:oMath>
      <w:r>
        <w:t xml:space="preserve"> </w:t>
      </w:r>
      <w:r>
        <w:t xml:space="preserve">of the mobility-calibrated scenario or unrestricted, and</w:t>
      </w:r>
      <w:r>
        <w:t xml:space="preserve"> </w:t>
      </w:r>
      <m:oMath>
        <m:r>
          <m:t>δ</m:t>
        </m:r>
      </m:oMath>
      <w:r>
        <w:t xml:space="preserve"> </w:t>
      </w:r>
      <w:r>
        <w:t xml:space="preserve">is the tolerance for out-of-zone voters. The main setting (</w:t>
      </w:r>
      <m:oMath>
        <m:r>
          <m:t>λ</m:t>
        </m:r>
        <m:r>
          <m:rPr>
            <m:sty m:val="p"/>
          </m:rPr>
          <m:t>=</m:t>
        </m:r>
        <m:r>
          <m:t>1</m:t>
        </m:r>
      </m:oMath>
      <w:r>
        <w:t xml:space="preserve">,</w:t>
      </w:r>
      <w:r>
        <w:t xml:space="preserve"> </w:t>
      </w:r>
      <m:oMath>
        <m:r>
          <m:t>δ</m:t>
        </m:r>
        <m:r>
          <m:rPr>
            <m:sty m:val="p"/>
          </m:rPr>
          <m:t>=</m:t>
        </m:r>
        <m:r>
          <m:t>0.1</m:t>
        </m:r>
      </m:oMath>
      <w:r>
        <w:t xml:space="preserve">,</w:t>
      </w:r>
      <w:r>
        <w:t xml:space="preserve"> </w:t>
      </w:r>
      <m:oMath>
        <m:r>
          <m:t>s</m:t>
        </m:r>
        <m:r>
          <m:rPr>
            <m:sty m:val="p"/>
          </m:rPr>
          <m:t>=</m:t>
        </m:r>
        <m:r>
          <m:t>0.02</m:t>
        </m:r>
      </m:oMath>
      <w:r>
        <w:t xml:space="preserve">) is outlined: the slope is positive there if</w:t>
      </w:r>
      <w:r>
        <w:t xml:space="preserve"> </w:t>
      </w:r>
      <m:oMath>
        <m:sSup>
          <m:e>
            <m:r>
              <m:t>s</m:t>
            </m:r>
          </m:e>
          <m:sup>
            <m:r>
              <m:rPr>
                <m:nor/>
                <m:sty m:val="p"/>
              </m:rPr>
              <m:t>*</m:t>
            </m:r>
          </m:sup>
        </m:sSup>
      </m:oMath>
      <w:r>
        <w:t xml:space="preserve"> </w:t>
      </w:r>
      <w:r>
        <w:t xml:space="preserve">exceeds 0.02.</w:t>
      </w:r>
      <w:r>
        <w:t xml:space="preserve"> </w:t>
      </w:r>
      <w:r>
        <w:t xml:space="preserve">“</w:t>
      </w:r>
      <w:r>
        <w:t xml:space="preserve">∞</w:t>
      </w:r>
      <w:r>
        <w:t xml:space="preserve">”</w:t>
      </w:r>
      <w:r>
        <w:t xml:space="preserve">: positive however much residents’ early ballots depart; gray: no positive lower bound for any</w:t>
      </w:r>
      <w:r>
        <w:t xml:space="preserve"> </w:t>
      </w:r>
      <m:oMath>
        <m:r>
          <m:t>s</m:t>
        </m:r>
        <m:r>
          <m:rPr>
            <m:sty m:val="p"/>
          </m:rPr>
          <m:t>≥</m:t>
        </m:r>
        <m:r>
          <m:t>0</m:t>
        </m:r>
      </m:oMath>
      <w:r>
        <w:t xml:space="preserve"> </w:t>
      </w:r>
      <w:r>
        <w:t xml:space="preserve">among the settings examined. All of Seoul; numbers in Online Appendix Table C8, and selected settings without Gangnam, Seocho and Songpa in Table C9.</w:t>
      </w:r>
    </w:p>
    <w:p>
      <w:pPr>
        <w:pStyle w:val="BodyText"/>
      </w:pPr>
      <w:r>
        <w:rPr>
          <w:iCs/>
          <w:i/>
        </w:rPr>
        <w:t xml:space="preserve">Compatibility with the observed counts.</w:t>
      </w:r>
      <w:r>
        <w:t xml:space="preserve"> </w:t>
      </w:r>
      <w:r>
        <w:t xml:space="preserve">A restriction must first admit an allocation that reproduces the data. Holding calibrated movement and</w:t>
      </w:r>
      <w:r>
        <w:t xml:space="preserve"> </w:t>
      </w:r>
      <m:oMath>
        <m:r>
          <m:t>s</m:t>
        </m:r>
        <m:r>
          <m:rPr>
            <m:sty m:val="p"/>
          </m:rPr>
          <m:t>=</m:t>
        </m:r>
        <m:r>
          <m:t>0.02</m:t>
        </m:r>
      </m:oMath>
      <w:r>
        <w:t xml:space="preserve"> </w:t>
      </w:r>
      <w:r>
        <w:t xml:space="preserve">fixed, the largest jurisdiction-specific minimum feasible out-of-zone band is 0.031, 0.046, 0.061 and 0.073 in 2022, 2024, 2025 and 2026. Table C10 replaces the constant band with each jurisdiction’s minimum plus a common excess tolerance. At an excess of ten points, the 2026 slope remains positive for all Seoul and outside the three districts, with lower bounds 0.040 and 0.012. Some bands are smaller and others larger than the main 0.10, so the models are not generally nested. This check establishes compatibility and sensitivity to a different reference point, without verifying the unobserved composition.</w:t>
      </w:r>
    </w:p>
    <w:p>
      <w:pPr>
        <w:pStyle w:val="BodyText"/>
      </w:pPr>
      <w:r>
        <w:rPr>
          <w:iCs/>
          <w:i/>
        </w:rPr>
        <w:t xml:space="preserve">Geographic scope and measurement.</w:t>
      </w:r>
      <w:r>
        <w:t xml:space="preserve"> </w:t>
      </w:r>
      <w:r>
        <w:t xml:space="preserve">The joint geographic and price-tail comparison in Section 4.3 is the relevant test for the claim beyond Gangnam. For all Seoul, removing the highest-price 10% leaves a positive lower bound of 0.008 at the main</w:t>
      </w:r>
      <w:r>
        <w:t xml:space="preserve"> </w:t>
      </w:r>
      <m:oMath>
        <m:r>
          <m:t>s</m:t>
        </m:r>
      </m:oMath>
      <w:r>
        <w:t xml:space="preserve">, but the bound becomes negative at</w:t>
      </w:r>
      <w:r>
        <w:t xml:space="preserve"> </w:t>
      </w:r>
      <m:oMath>
        <m:r>
          <m:t>s</m:t>
        </m:r>
        <m:r>
          <m:rPr>
            <m:sty m:val="p"/>
          </m:rPr>
          <m:t>=</m:t>
        </m:r>
        <m:r>
          <m:t>0.05</m:t>
        </m:r>
      </m:oMath>
      <w:r>
        <w:t xml:space="preserve"> </w:t>
      </w:r>
      <w:r>
        <w:t xml:space="preserve">(Table C23). Separate changes to the price definition, transaction coverage and neighborhood weights retain the 2026 main-assumption direction: mean prices, exclusion of the 43 neighborhoods with fewer than 30 transactions, and</w:t>
      </w:r>
      <w:r>
        <w:t xml:space="preserve"> </w:t>
      </w:r>
      <m:oMath>
        <m:sSub>
          <m:e>
            <m:r>
              <m:t>H</m:t>
            </m:r>
          </m:e>
          <m:sub>
            <m:r>
              <m:t>i</m:t>
            </m:r>
          </m:sub>
        </m:sSub>
      </m:oMath>
      <w:r>
        <w:t xml:space="preserve">-weighted regressions. Transaction resampling moves the endpoints by a few thousandths (Table C24).</w:t>
      </w:r>
    </w:p>
    <w:p>
      <w:pPr>
        <w:pStyle w:val="BodyText"/>
      </w:pPr>
      <w:r>
        <w:t xml:space="preserve">For 2025, the original price-summary construction is unavailable. Replacing it with a separately documented official transaction snapshot and address mapping leaves the A, C, D and E sign conclusions unchanged in both geographic scopes, including the main-setting comparison on common priced neighborhoods (Table C25; Appendix B.3). This reduces concern that the unresolved sign is specific to the archived price input; it does not recover that input’s original provenance.</w:t>
      </w:r>
    </w:p>
    <w:p>
      <w:pPr>
        <w:pStyle w:val="BodyText"/>
      </w:pPr>
      <w:r>
        <w:rPr>
          <w:iCs/>
          <w:i/>
        </w:rPr>
        <w:t xml:space="preserve">Benchmarks, denominator and age.</w:t>
      </w:r>
      <w:r>
        <w:t xml:space="preserve"> </w:t>
      </w:r>
      <w:r>
        <w:t xml:space="preserve">A price-dependent early-vote benchmark changes the 2026 result only slightly (Table 2, F), as does shifting the out-of-zone benchmark by the observed jurisdiction gap (Table C11). The main-assumption sign conclusions also hold for valid-vote shares, while the 2025 positive slope under the minimal-movement/ten-point specification does not (Tables C20 and C21). Adding the council contest’s out-of-zone headcounts changes the 2026 ranges by at most 0.003 (Table C27). Adjusting for neighborhood age composition measured in 2026 leaves the election-day slopes almost unchanged and the 2026 resident-based range positive:</w:t>
      </w:r>
      <w:r>
        <w:t xml:space="preserve"> </w:t>
      </w:r>
      <m:oMath>
        <m:d>
          <m:dPr>
            <m:begChr m:val="["/>
            <m:endChr m:val="]"/>
            <m:sepChr m:val=""/>
            <m:grow/>
          </m:dPr>
          <m:e>
            <m:r>
              <m:t>0.046</m:t>
            </m:r>
            <m:r>
              <m:rPr>
                <m:sty m:val="p"/>
              </m:rPr>
              <m:t>,</m:t>
            </m:r>
            <m:r>
              <m:t>0.160</m:t>
            </m:r>
          </m:e>
        </m:d>
      </m:oMath>
      <w:r>
        <w:t xml:space="preserve"> </w:t>
      </w:r>
      <w:r>
        <w:t xml:space="preserve">for all Seoul and</w:t>
      </w:r>
      <w:r>
        <w:t xml:space="preserve"> </w:t>
      </w:r>
      <m:oMath>
        <m:d>
          <m:dPr>
            <m:begChr m:val="["/>
            <m:endChr m:val="]"/>
            <m:sepChr m:val=""/>
            <m:grow/>
          </m:dPr>
          <m:e>
            <m:r>
              <m:t>0.024</m:t>
            </m:r>
            <m:r>
              <m:rPr>
                <m:sty m:val="p"/>
              </m:rPr>
              <m:t>,</m:t>
            </m:r>
            <m:r>
              <m:t>0.148</m:t>
            </m:r>
          </m:e>
        </m:d>
      </m:oMath>
      <w:r>
        <w:t xml:space="preserve"> </w:t>
      </w:r>
      <w:r>
        <w:t xml:space="preserve">outside the three districts. It removes the fragile 2024 lower bound (Table C22). The age data cannot establish adjustment for contemporaneous age composition in earlier elections.</w:t>
      </w:r>
    </w:p>
    <w:p>
      <w:pPr>
        <w:pStyle w:val="BodyText"/>
      </w:pPr>
      <w:r>
        <w:t xml:space="preserve">An alternative restriction limits how early-vote departures align with prices instead of bounding each neighborhood separately. It can settle some unresolved signs at the scale of observed station patterns, but those patterns do not measure the residential departures being restricted. Online Appendix A.1 and Tables C12 and C13 present it as a separate conditional exercise, rather than corroboration of the main assumptions.</w:t>
      </w:r>
    </w:p>
    <w:bookmarkEnd w:id="43"/>
    <w:bookmarkEnd w:id="44"/>
    <w:bookmarkStart w:id="45" w:name="reporting-reforms"/>
    <w:p>
      <w:pPr>
        <w:pStyle w:val="Heading1"/>
      </w:pPr>
      <w:r>
        <w:t xml:space="preserve">5. Reporting reforms</w:t>
      </w:r>
    </w:p>
    <w:p>
      <w:pPr>
        <w:pStyle w:val="FirstParagraph"/>
      </w:pPr>
      <w:r>
        <w:t xml:space="preserve">The uncertainty is partly a product of what is published, and it could be reduced without publishing any individual vote. Out-of-zone early ballots already arrive at district commissions in individually tracked envelopes.</w:t>
      </w:r>
      <w:r>
        <w:t xml:space="preserve"> </w:t>
      </w:r>
      <w:r>
        <w:rPr>
          <w:iCs/>
          <w:i/>
        </w:rPr>
        <w:t xml:space="preserve">Residence reporting</w:t>
      </w:r>
      <w:r>
        <w:t xml:space="preserve"> </w:t>
      </w:r>
      <w:r>
        <w:t xml:space="preserve">would sort them by the voter’s registered neighborhood before opening and publish aggregate counts by neighborhood. At-home and overseas ballots, which also arrive by mail, could in principle be reported the same way.</w:t>
      </w:r>
      <w:r>
        <w:t xml:space="preserve"> </w:t>
      </w:r>
      <w:r>
        <w:rPr>
          <w:iCs/>
          <w:i/>
        </w:rPr>
        <w:t xml:space="preserve">Headcount reporting</w:t>
      </w:r>
      <w:r>
        <w:t xml:space="preserve"> </w:t>
      </w:r>
      <w:r>
        <w:t xml:space="preserve">would publish how many residents of each neighborhood voted at each early station, with no vote choice.</w:t>
      </w:r>
    </w:p>
    <w:p>
      <w:pPr>
        <w:pStyle w:val="BodyText"/>
      </w:pPr>
      <w:r>
        <w:t xml:space="preserve">Because the true allocation is unknown, we evaluate each change by the uncertainty it is guaranteed to remove: the largest range that could remain whatever the true allocation, computed as the largest difference in the within-district slope between two allocations that the new report could not tell apart. Table 5 reports, under the main assumptions, the current range and the largest range that could remain after each report.</w:t>
      </w:r>
    </w:p>
    <w:p>
      <w:pPr>
        <w:pStyle w:val="TableCaption"/>
        <w:keepNext/>
      </w:pPr>
      <w:r>
        <w:t xml:space="preserve">Table 5. Guaranteed reductions in uncertainty under residence reporting</w:t>
      </w:r>
    </w:p>
    <w:tbl>
      <w:tblPr>
        <w:tblStyle w:val="Table"/>
        <w:tblW w:type="pct" w:w="5000"/>
        <w:tblLayout w:type="fixed"/>
        <w:tblLook w:firstRow="1" w:lastRow="0" w:firstColumn="0" w:lastColumn="0" w:noHBand="0" w:noVBand="0" w:val="0020"/>
        <w:jc w:val="start"/>
        <w:tblCaption w:val="Table 5. Guaranteed reductions in uncertainty under residence reporting"/>
      </w:tblPr>
      <w:tblGrid>
        <w:gridCol w:w="1334"/>
        <w:gridCol w:w="1334"/>
        <w:gridCol w:w="1868"/>
        <w:gridCol w:w="1334"/>
        <w:gridCol w:w="1868"/>
        <w:gridCol w:w="1334"/>
      </w:tblGrid>
      <w:tr>
        <w:trPr>
          <w:tblHeader w:val="true"/>
          <w:cantSplit/>
        </w:trPr>
        <w:tc>
          <w:tcPr>
            <w:tcW w:type="dxa" w:w="1334"/>
          </w:tcPr>
          <w:p>
            <w:pPr>
              <w:pStyle w:val="Compact"/>
              <w:keepNext/>
              <w:keepLines/>
              <w:spacing w:before="0" w:after="40" w:line="240" w:lineRule="auto"/>
              <w:jc w:val="left"/>
            </w:pPr>
            <w:r>
              <w:rPr>
                <w:sz w:val="18"/>
              </w:rPr>
              <w:t xml:space="preserve">Election</w:t>
            </w:r>
          </w:p>
        </w:tc>
        <w:tc>
          <w:tcPr>
            <w:tcW w:type="dxa" w:w="1334"/>
          </w:tcPr>
          <w:p>
            <w:pPr>
              <w:pStyle w:val="Compact"/>
              <w:keepNext/>
              <w:keepLines/>
              <w:spacing w:before="0" w:after="40" w:line="240" w:lineRule="auto"/>
              <w:jc w:val="center"/>
            </w:pPr>
            <w:r>
              <w:rPr>
                <w:sz w:val="18"/>
              </w:rPr>
              <w:t xml:space="preserve">Current range width</w:t>
            </w:r>
          </w:p>
        </w:tc>
        <w:tc>
          <w:tcPr>
            <w:tcW w:type="dxa" w:w="1868"/>
          </w:tcPr>
          <w:p>
            <w:pPr>
              <w:pStyle w:val="Compact"/>
              <w:keepNext/>
              <w:keepLines/>
              <w:spacing w:before="0" w:after="40" w:line="240" w:lineRule="auto"/>
              <w:jc w:val="center"/>
            </w:pPr>
            <w:r>
              <w:rPr>
                <w:sz w:val="18"/>
              </w:rPr>
              <w:t xml:space="preserve">Proposal: out-of-zone early ballots by neighborhood, share removed</w:t>
            </w:r>
          </w:p>
        </w:tc>
        <w:tc>
          <w:tcPr>
            <w:tcW w:type="dxa" w:w="1334"/>
          </w:tcPr>
          <w:p>
            <w:pPr>
              <w:pStyle w:val="Compact"/>
              <w:keepNext/>
              <w:keepLines/>
              <w:spacing w:before="0" w:after="40" w:line="240" w:lineRule="auto"/>
              <w:jc w:val="center"/>
            </w:pPr>
            <w:r>
              <w:rPr>
                <w:sz w:val="18"/>
              </w:rPr>
              <w:t xml:space="preserve">Proposal: maximum remaining width</w:t>
            </w:r>
          </w:p>
        </w:tc>
        <w:tc>
          <w:tcPr>
            <w:tcW w:type="dxa" w:w="1868"/>
          </w:tcPr>
          <w:p>
            <w:pPr>
              <w:pStyle w:val="Compact"/>
              <w:keepNext/>
              <w:keepLines/>
              <w:spacing w:before="0" w:after="40" w:line="240" w:lineRule="auto"/>
              <w:jc w:val="center"/>
            </w:pPr>
            <w:r>
              <w:rPr>
                <w:sz w:val="18"/>
              </w:rPr>
              <w:t xml:space="preserve">All pooled modes by neighborhood, share removed</w:t>
            </w:r>
          </w:p>
        </w:tc>
        <w:tc>
          <w:tcPr>
            <w:tcW w:type="dxa" w:w="1334"/>
          </w:tcPr>
          <w:p>
            <w:pPr>
              <w:pStyle w:val="Compact"/>
              <w:keepNext/>
              <w:keepLines/>
              <w:spacing w:before="0" w:after="40" w:line="240" w:lineRule="auto"/>
              <w:jc w:val="center"/>
            </w:pPr>
            <w:r>
              <w:rPr>
                <w:sz w:val="18"/>
              </w:rPr>
              <w:t xml:space="preserve">All pooled modes: maximum remaining width</w:t>
            </w:r>
          </w:p>
        </w:tc>
      </w:tr>
      <w:tr>
        <w:trPr>
          <w:cantSplit/>
        </w:trPr>
        <w:tc>
          <w:tcPr>
            <w:tcW w:type="dxa" w:w="1334"/>
          </w:tcPr>
          <w:p>
            <w:pPr>
              <w:pStyle w:val="Compact"/>
              <w:keepNext/>
              <w:keepLines/>
              <w:spacing w:before="0" w:after="40" w:line="240" w:lineRule="auto"/>
              <w:jc w:val="left"/>
            </w:pPr>
            <w:r>
              <w:rPr>
                <w:sz w:val="18"/>
              </w:rPr>
              <w:t xml:space="preserve">2022</w:t>
            </w:r>
          </w:p>
        </w:tc>
        <w:tc>
          <w:tcPr>
            <w:tcW w:type="dxa" w:w="1334"/>
          </w:tcPr>
          <w:p>
            <w:pPr>
              <w:pStyle w:val="Compact"/>
              <w:keepNext/>
              <w:keepLines/>
              <w:spacing w:before="0" w:after="40" w:line="240" w:lineRule="auto"/>
              <w:jc w:val="center"/>
            </w:pPr>
            <w:r>
              <w:rPr>
                <w:sz w:val="18"/>
              </w:rPr>
              <w:t xml:space="preserve">0.25</w:t>
            </w:r>
          </w:p>
        </w:tc>
        <w:tc>
          <w:tcPr>
            <w:tcW w:type="dxa" w:w="1868"/>
          </w:tcPr>
          <w:p>
            <w:pPr>
              <w:pStyle w:val="Compact"/>
              <w:keepNext/>
              <w:keepLines/>
              <w:spacing w:before="0" w:after="40" w:line="240" w:lineRule="auto"/>
              <w:jc w:val="center"/>
            </w:pPr>
            <w:r>
              <w:rPr>
                <w:sz w:val="18"/>
              </w:rPr>
              <w:t xml:space="preserve">27%</w:t>
            </w:r>
          </w:p>
        </w:tc>
        <w:tc>
          <w:tcPr>
            <w:tcW w:type="dxa" w:w="1334"/>
          </w:tcPr>
          <w:p>
            <w:pPr>
              <w:pStyle w:val="Compact"/>
              <w:keepNext/>
              <w:keepLines/>
              <w:spacing w:before="0" w:after="40" w:line="240" w:lineRule="auto"/>
              <w:jc w:val="center"/>
            </w:pPr>
            <w:r>
              <w:rPr>
                <w:sz w:val="18"/>
              </w:rPr>
              <w:t xml:space="preserve">0.18</w:t>
            </w:r>
          </w:p>
        </w:tc>
        <w:tc>
          <w:tcPr>
            <w:tcW w:type="dxa" w:w="1868"/>
          </w:tcPr>
          <w:p>
            <w:pPr>
              <w:pStyle w:val="Compact"/>
              <w:keepNext/>
              <w:keepLines/>
              <w:spacing w:before="0" w:after="40" w:line="240" w:lineRule="auto"/>
              <w:jc w:val="center"/>
            </w:pPr>
            <w:r>
              <w:rPr>
                <w:sz w:val="18"/>
              </w:rPr>
              <w:t xml:space="preserve">57%</w:t>
            </w:r>
          </w:p>
        </w:tc>
        <w:tc>
          <w:tcPr>
            <w:tcW w:type="dxa" w:w="1334"/>
          </w:tcPr>
          <w:p>
            <w:pPr>
              <w:pStyle w:val="Compact"/>
              <w:keepNext/>
              <w:keepLines/>
              <w:spacing w:before="0" w:after="40" w:line="240" w:lineRule="auto"/>
              <w:jc w:val="center"/>
            </w:pPr>
            <w:r>
              <w:rPr>
                <w:sz w:val="18"/>
              </w:rPr>
              <w:t xml:space="preserve">0.11</w:t>
            </w:r>
          </w:p>
        </w:tc>
      </w:tr>
      <w:tr>
        <w:trPr>
          <w:cantSplit/>
        </w:trPr>
        <w:tc>
          <w:tcPr>
            <w:tcW w:type="dxa" w:w="1334"/>
          </w:tcPr>
          <w:p>
            <w:pPr>
              <w:pStyle w:val="Compact"/>
              <w:keepNext/>
              <w:keepLines/>
              <w:spacing w:before="0" w:after="40" w:line="240" w:lineRule="auto"/>
              <w:jc w:val="left"/>
            </w:pPr>
            <w:r>
              <w:rPr>
                <w:sz w:val="18"/>
              </w:rPr>
              <w:t xml:space="preserve">2024</w:t>
            </w:r>
          </w:p>
        </w:tc>
        <w:tc>
          <w:tcPr>
            <w:tcW w:type="dxa" w:w="1334"/>
          </w:tcPr>
          <w:p>
            <w:pPr>
              <w:pStyle w:val="Compact"/>
              <w:keepNext/>
              <w:keepLines/>
              <w:spacing w:before="0" w:after="40" w:line="240" w:lineRule="auto"/>
              <w:jc w:val="center"/>
            </w:pPr>
            <w:r>
              <w:rPr>
                <w:sz w:val="18"/>
              </w:rPr>
              <w:t xml:space="preserve">0.20</w:t>
            </w:r>
          </w:p>
        </w:tc>
        <w:tc>
          <w:tcPr>
            <w:tcW w:type="dxa" w:w="1868"/>
          </w:tcPr>
          <w:p>
            <w:pPr>
              <w:pStyle w:val="Compact"/>
              <w:keepNext/>
              <w:keepLines/>
              <w:spacing w:before="0" w:after="40" w:line="240" w:lineRule="auto"/>
              <w:jc w:val="center"/>
            </w:pPr>
            <w:r>
              <w:rPr>
                <w:sz w:val="18"/>
              </w:rPr>
              <w:t xml:space="preserve">30%</w:t>
            </w:r>
          </w:p>
        </w:tc>
        <w:tc>
          <w:tcPr>
            <w:tcW w:type="dxa" w:w="1334"/>
          </w:tcPr>
          <w:p>
            <w:pPr>
              <w:pStyle w:val="Compact"/>
              <w:keepNext/>
              <w:keepLines/>
              <w:spacing w:before="0" w:after="40" w:line="240" w:lineRule="auto"/>
              <w:jc w:val="center"/>
            </w:pPr>
            <w:r>
              <w:rPr>
                <w:sz w:val="18"/>
              </w:rPr>
              <w:t xml:space="preserve">0.14</w:t>
            </w:r>
          </w:p>
        </w:tc>
        <w:tc>
          <w:tcPr>
            <w:tcW w:type="dxa" w:w="1868"/>
          </w:tcPr>
          <w:p>
            <w:pPr>
              <w:pStyle w:val="Compact"/>
              <w:keepNext/>
              <w:keepLines/>
              <w:spacing w:before="0" w:after="40" w:line="240" w:lineRule="auto"/>
              <w:jc w:val="center"/>
            </w:pPr>
            <w:r>
              <w:rPr>
                <w:sz w:val="18"/>
              </w:rPr>
              <w:t xml:space="preserve">49%</w:t>
            </w:r>
          </w:p>
        </w:tc>
        <w:tc>
          <w:tcPr>
            <w:tcW w:type="dxa" w:w="1334"/>
          </w:tcPr>
          <w:p>
            <w:pPr>
              <w:pStyle w:val="Compact"/>
              <w:keepNext/>
              <w:keepLines/>
              <w:spacing w:before="0" w:after="40" w:line="240" w:lineRule="auto"/>
              <w:jc w:val="center"/>
            </w:pPr>
            <w:r>
              <w:rPr>
                <w:sz w:val="18"/>
              </w:rPr>
              <w:t xml:space="preserve">0.11</w:t>
            </w:r>
          </w:p>
        </w:tc>
      </w:tr>
      <w:tr>
        <w:trPr>
          <w:cantSplit/>
        </w:trPr>
        <w:tc>
          <w:tcPr>
            <w:tcW w:type="dxa" w:w="1334"/>
          </w:tcPr>
          <w:p>
            <w:pPr>
              <w:pStyle w:val="Compact"/>
              <w:keepNext/>
              <w:keepLines/>
              <w:spacing w:before="0" w:after="40" w:line="240" w:lineRule="auto"/>
              <w:jc w:val="left"/>
            </w:pPr>
            <w:r>
              <w:rPr>
                <w:sz w:val="18"/>
              </w:rPr>
              <w:t xml:space="preserve">2025</w:t>
            </w:r>
          </w:p>
        </w:tc>
        <w:tc>
          <w:tcPr>
            <w:tcW w:type="dxa" w:w="1334"/>
          </w:tcPr>
          <w:p>
            <w:pPr>
              <w:pStyle w:val="Compact"/>
              <w:keepNext/>
              <w:keepLines/>
              <w:spacing w:before="0" w:after="40" w:line="240" w:lineRule="auto"/>
              <w:jc w:val="center"/>
            </w:pPr>
            <w:r>
              <w:rPr>
                <w:sz w:val="18"/>
              </w:rPr>
              <w:t xml:space="preserve">0.23</w:t>
            </w:r>
          </w:p>
        </w:tc>
        <w:tc>
          <w:tcPr>
            <w:tcW w:type="dxa" w:w="1868"/>
          </w:tcPr>
          <w:p>
            <w:pPr>
              <w:pStyle w:val="Compact"/>
              <w:keepNext/>
              <w:keepLines/>
              <w:spacing w:before="0" w:after="40" w:line="240" w:lineRule="auto"/>
              <w:jc w:val="center"/>
            </w:pPr>
            <w:r>
              <w:rPr>
                <w:sz w:val="18"/>
              </w:rPr>
              <w:t xml:space="preserve">32%</w:t>
            </w:r>
          </w:p>
        </w:tc>
        <w:tc>
          <w:tcPr>
            <w:tcW w:type="dxa" w:w="1334"/>
          </w:tcPr>
          <w:p>
            <w:pPr>
              <w:pStyle w:val="Compact"/>
              <w:keepNext/>
              <w:keepLines/>
              <w:spacing w:before="0" w:after="40" w:line="240" w:lineRule="auto"/>
              <w:jc w:val="center"/>
            </w:pPr>
            <w:r>
              <w:rPr>
                <w:sz w:val="18"/>
              </w:rPr>
              <w:t xml:space="preserve">0.16</w:t>
            </w:r>
          </w:p>
        </w:tc>
        <w:tc>
          <w:tcPr>
            <w:tcW w:type="dxa" w:w="1868"/>
          </w:tcPr>
          <w:p>
            <w:pPr>
              <w:pStyle w:val="Compact"/>
              <w:keepNext/>
              <w:keepLines/>
              <w:spacing w:before="0" w:after="40" w:line="240" w:lineRule="auto"/>
              <w:jc w:val="center"/>
            </w:pPr>
            <w:r>
              <w:rPr>
                <w:sz w:val="18"/>
              </w:rPr>
              <w:t xml:space="preserve">61%</w:t>
            </w:r>
          </w:p>
        </w:tc>
        <w:tc>
          <w:tcPr>
            <w:tcW w:type="dxa" w:w="1334"/>
          </w:tcPr>
          <w:p>
            <w:pPr>
              <w:pStyle w:val="Compact"/>
              <w:keepNext/>
              <w:keepLines/>
              <w:spacing w:before="0" w:after="40" w:line="240" w:lineRule="auto"/>
              <w:jc w:val="center"/>
            </w:pPr>
            <w:r>
              <w:rPr>
                <w:sz w:val="18"/>
              </w:rPr>
              <w:t xml:space="preserve">0.09</w:t>
            </w:r>
          </w:p>
        </w:tc>
      </w:tr>
      <w:tr>
        <w:trPr>
          <w:cantSplit/>
        </w:trPr>
        <w:tc>
          <w:tcPr>
            <w:tcW w:type="dxa" w:w="1334"/>
          </w:tcPr>
          <w:p>
            <w:pPr>
              <w:pStyle w:val="Compact"/>
              <w:keepNext/>
              <w:keepLines/>
              <w:spacing w:before="0" w:after="40" w:line="240" w:lineRule="auto"/>
              <w:jc w:val="left"/>
            </w:pPr>
            <w:r>
              <w:rPr>
                <w:sz w:val="18"/>
              </w:rPr>
              <w:t xml:space="preserve">2026</w:t>
            </w:r>
          </w:p>
        </w:tc>
        <w:tc>
          <w:tcPr>
            <w:tcW w:type="dxa" w:w="1334"/>
          </w:tcPr>
          <w:p>
            <w:pPr>
              <w:pStyle w:val="Compact"/>
              <w:keepNext/>
              <w:keepLines/>
              <w:spacing w:before="0" w:after="40" w:line="240" w:lineRule="auto"/>
              <w:jc w:val="center"/>
            </w:pPr>
            <w:r>
              <w:rPr>
                <w:sz w:val="18"/>
              </w:rPr>
              <w:t xml:space="preserve">0.10</w:t>
            </w:r>
          </w:p>
        </w:tc>
        <w:tc>
          <w:tcPr>
            <w:tcW w:type="dxa" w:w="1868"/>
          </w:tcPr>
          <w:p>
            <w:pPr>
              <w:pStyle w:val="Compact"/>
              <w:keepNext/>
              <w:keepLines/>
              <w:spacing w:before="0" w:after="40" w:line="240" w:lineRule="auto"/>
              <w:jc w:val="center"/>
            </w:pPr>
            <w:r>
              <w:rPr>
                <w:sz w:val="18"/>
              </w:rPr>
              <w:t xml:space="preserve">57%</w:t>
            </w:r>
          </w:p>
        </w:tc>
        <w:tc>
          <w:tcPr>
            <w:tcW w:type="dxa" w:w="1334"/>
          </w:tcPr>
          <w:p>
            <w:pPr>
              <w:pStyle w:val="Compact"/>
              <w:keepNext/>
              <w:keepLines/>
              <w:spacing w:before="0" w:after="40" w:line="240" w:lineRule="auto"/>
              <w:jc w:val="center"/>
            </w:pPr>
            <w:r>
              <w:rPr>
                <w:sz w:val="18"/>
              </w:rPr>
              <w:t xml:space="preserve">0.04</w:t>
            </w:r>
          </w:p>
        </w:tc>
        <w:tc>
          <w:tcPr>
            <w:tcW w:type="dxa" w:w="1868"/>
          </w:tcPr>
          <w:p>
            <w:pPr>
              <w:pStyle w:val="Compact"/>
              <w:keepNext/>
              <w:keepLines/>
              <w:spacing w:before="0" w:after="40" w:line="240" w:lineRule="auto"/>
              <w:jc w:val="center"/>
            </w:pPr>
            <w:r>
              <w:rPr>
                <w:sz w:val="18"/>
              </w:rPr>
              <w:t xml:space="preserve">69%</w:t>
            </w:r>
          </w:p>
        </w:tc>
        <w:tc>
          <w:tcPr>
            <w:tcW w:type="dxa" w:w="1334"/>
          </w:tcPr>
          <w:p>
            <w:pPr>
              <w:pStyle w:val="Compact"/>
              <w:keepNext/>
              <w:keepLines/>
              <w:spacing w:before="0" w:after="40" w:line="240" w:lineRule="auto"/>
              <w:jc w:val="center"/>
            </w:pPr>
            <w:r>
              <w:rPr>
                <w:sz w:val="18"/>
              </w:rPr>
              <w:t xml:space="preserve">0.03</w:t>
            </w:r>
          </w:p>
        </w:tc>
      </w:tr>
    </w:tbl>
    <w:p>
      <w:pPr>
        <w:pStyle w:val="BodyText"/>
        <w:keepLines/>
        <w:spacing w:line="240" w:lineRule="auto" w:before="80" w:after="120"/>
      </w:pPr>
      <w:r>
        <w:rPr>
          <w:iCs/>
          <w:i/>
          <w:sz w:val="18"/>
        </w:rPr>
        <w:t xml:space="preserve">Notes.</w:t>
      </w:r>
      <w:r>
        <w:rPr>
          <w:sz w:val="18"/>
        </w:rPr>
        <w:t xml:space="preserve"> </w:t>
      </w:r>
      <w:r>
        <w:rPr>
          <w:sz w:val="18"/>
        </w:rPr>
        <w:t xml:space="preserve">All columns describe the width of the within-district slope range or the guaranteed fraction of that width removed. Main assumptions: Table 2, column E. Proposal: out-of-zone early ballots reported as aggregate counts by the voter’s registered neighborhood, at-home and overseas ballots kept pooled. All pooled modes: out-of-zone early, at-home and overseas ballots by neighborhood. Maximum remaining width: the largest difference in the within-district slope between two allocations that the report could not tell apart, which bounds the range left whatever the true allocation. Counts are released exactly, without cell suppression. Suppression sensitivity: Online Appendix Table C30. Other assumptions and headcount reporting: Table C28.</w:t>
      </w:r>
    </w:p>
    <w:p>
      <w:pPr>
        <w:pStyle w:val="BodyText"/>
      </w:pPr>
      <w:r>
        <w:t xml:space="preserve">Residence reporting of out-of-zone early ballots, with at-home and overseas ballots kept pooled, is the version we evaluate most closely. With counts released exactly, it is guaranteed to remove 27%, 30%, 32% and 57% of the current range in 2022, 2024, 2025 and 2026; reporting all pooled modes would remove 49–69% (Online Appendix Table C28). Neither version guarantees that a currently undetermined direction is revealed: in 2022, two allocations with slopes of</w:t>
      </w:r>
      <w:r>
        <w:t xml:space="preserve"> </w:t>
      </w:r>
      <m:oMath>
        <m:r>
          <m:rPr>
            <m:sty m:val="p"/>
          </m:rPr>
          <m:t>−</m:t>
        </m:r>
        <m:r>
          <m:t>0.026</m:t>
        </m:r>
      </m:oMath>
      <w:r>
        <w:t xml:space="preserve"> </w:t>
      </w:r>
      <w:r>
        <w:t xml:space="preserve">and</w:t>
      </w:r>
      <w:r>
        <w:t xml:space="preserve"> </w:t>
      </w:r>
      <m:oMath>
        <m:r>
          <m:rPr>
            <m:sty m:val="p"/>
          </m:rPr>
          <m:t>+</m:t>
        </m:r>
        <m:r>
          <m:t>0.026</m:t>
        </m:r>
      </m:oMath>
      <w:r>
        <w:t xml:space="preserve"> </w:t>
      </w:r>
      <w:r>
        <w:t xml:space="preserve">produce the same exact residence report (Table C29). Headcount reporting alone reveals little about how movers voted, but combined with reporting all pooled modes it removes 63–72% of the range that remains without any movement assumption (Table C28).</w:t>
      </w:r>
    </w:p>
    <w:p>
      <w:pPr>
        <w:pStyle w:val="BodyText"/>
      </w:pPr>
      <w:r>
        <w:t xml:space="preserve">Exact disclosure and a release with small cells suppressed supply different information. As a sensitivity exercise, suppose each out-of-zone neighborhood-by-candidate count below 20 is marked suppressed and every other count is released exactly. A conservative calculation bounds the remaining integer uncertainty and guarantees reductions relative to the current continuous range of at least 23.7%, 26.8%, 29.6% and 49.0% in the four elections (Online Appendix Table C30). The calculation relaxes equality of reports to a necessary condition for two integer allocations to generate the same suppressed report; its bounds need not be sharp. It does not cover complementary suppression of larger counts or certify the privacy of such a release. Those choices require a separate disclosure assessment, and could reduce the information gained further.</w:t>
      </w:r>
    </w:p>
    <w:p>
      <w:pPr>
        <w:pStyle w:val="BodyText"/>
      </w:pPr>
      <w:r>
        <w:t xml:space="preserve">The reporting analysis measures an institutional contribution to the evidence: for a fixed set of votes and assumptions, a report can distinguish residential allocations that the current returns leave indistinguishable. The 27–57% guarantees are conditional on the main restrictions, and neither establish their realism nor predict an average effect of implementation. Implementation would require sorting out-of-zone envelopes into neighborhood groups before opening and assessing which aggregate counts could be released safely. A supplementary release after the official count could preserve the timing of official results, but ballot secrecy and operational costs require evaluation. The counts would permit direct neighborhood comparisons of residents’ early and election-day votes, without explaining why those groups differ. Headcount reporting measures movement without adding candidate totals. Each proposal should be judged by both the uncertainty it removes and the disclosure constraints it must meet.</w:t>
      </w:r>
    </w:p>
    <w:bookmarkEnd w:id="45"/>
    <w:bookmarkStart w:id="46" w:name="discussion-and-conclusion"/>
    <w:p>
      <w:pPr>
        <w:pStyle w:val="Heading1"/>
      </w:pPr>
      <w:r>
        <w:t xml:space="preserve">6. Discussion and conclusion</w:t>
      </w:r>
    </w:p>
    <w:p>
      <w:pPr>
        <w:pStyle w:val="FirstParagraph"/>
      </w:pPr>
      <w:r>
        <w:t xml:space="preserve">Higher-price neighborhoods in Seoul vote more conservatively among election-day voters in 2012 and the four sampled elections from 2022, including outside Gangnam, Seocho and Songpa. The extension across voting modes is established in 2026 under the main assumptions, is sensitive to specification in 2024, and remains unresolved in 2022 and 2025. Even in 2026, the result outside the three districts depends on high-price neighborhoods, and the median-split contrast includes zero. These distinctions change the substantive geography to be explained: a relation extending beyond the southeastern enclave can remain concentrated toward the upper end of the price distribution, and an observed election-day gradient need not establish the same relation among all voters. The paper locates these differences without choosing among economic interests, residential sorting and place identity.</w:t>
      </w:r>
    </w:p>
    <w:p>
      <w:pPr>
        <w:pStyle w:val="BodyText"/>
      </w:pPr>
      <w:r>
        <w:t xml:space="preserve">The comparison across voting modes changes what can be inferred from a neighborhood map. Election-day voters supply a directly observed residential pattern, but early voters are politically different and partly missing from residential returns. A conventional allocation supplies one answer to that missing-data problem. Our bounds show whether other allocations consistent with the same counts can reverse it, and how much restrictions on movement and composition narrow the answer. The finding of an unresolved sign is consequently informative about the evidence needed to establish the relationship; it does not imply that housing and voting are unrelated.</w:t>
      </w:r>
    </w:p>
    <w:p>
      <w:pPr>
        <w:pStyle w:val="BodyText"/>
      </w:pPr>
      <w:r>
        <w:t xml:space="preserve">The analysis also identifies information that election administration could supply. Finer statutory zones can establish a sign that remains unresolved under the same movement cap and coarser boundaries. Exact residence reporting of out-of-zone ballots would guarantee reductions of 27–57% in the remaining range under the main assumptions, although it need not settle an unresolved sign. The suppression exercise shows that some of this gain can survive withholding small counts. Operational costs and disclosure risks still require assessment before implementing such a release.</w:t>
      </w:r>
    </w:p>
    <w:p>
      <w:pPr>
        <w:pStyle w:val="BodyText"/>
      </w:pPr>
      <w:r>
        <w:t xml:space="preserve">For studies using published neighborhood returns, the practical implication is to state how unattributed ballots are handled and show whether the substantive conclusion depends on that choice. This applies to the price-level and price-change questions studied by Kim and Kang (2022) and Yun and Jun (2024), although we do not directly test their estimates. Explicit allocations such as Lee’s (2026) make their rules visible; allocation bounds add a measure of the conclusions those rules leave open. Reporting the election-day relationship alongside the resident-based range gives readers an observed benchmark and a clear account of the extrapolation across voters.</w:t>
      </w:r>
    </w:p>
    <w:p>
      <w:pPr>
        <w:pStyle w:val="BodyText"/>
      </w:pPr>
      <w:r>
        <w:t xml:space="preserve">Other electoral systems face different versions of this problem. German precinct returns omit postal ballots, Australian booth returns omit declaration votes, and many American precinct datasets must allocate absentee ballots reported at county level (Online Appendix B.5; Amos et al. 2017; Baltz et al. 2022). Taiwan ties voting to household registration and reports residence-based station returns. Japan combines ballots at the counting district, usually a municipality or ward, with no neighborhood results. Korea publishes finer rows but mixes residential origins within them. Applying the approach elsewhere requires small-area returns, candidate totals for pooled ballots and compatible information on residents’ use of voting modes. These reporting differences determine which geographic questions the data can answer.</w:t>
      </w:r>
    </w:p>
    <w:p>
      <w:pPr>
        <w:pStyle w:val="BodyText"/>
      </w:pPr>
      <w:r>
        <w:t xml:space="preserve">Earlier local elections would test whether the 2026 pattern recurs across candidates and turnout conditions. Historical age profiles and direct observations of early-voting movements could also sharpen the sensitivity analysis. For the six contests studied here, the contribution is specific: the paper establishes the geographic reach of the election-day gradient, measures the conditions for its extension across voting modes, and identifies reporting changes that would make that extension less dependent on assumptions.</w:t>
      </w:r>
    </w:p>
    <w:bookmarkEnd w:id="46"/>
    <w:bookmarkStart w:id="47" w:name="data-availability"/>
    <w:p>
      <w:pPr>
        <w:pStyle w:val="Heading1"/>
      </w:pPr>
      <w:r>
        <w:t xml:space="preserve">Data availability</w:t>
      </w:r>
    </w:p>
    <w:p>
      <w:pPr>
        <w:pStyle w:val="FirstParagraph"/>
      </w:pPr>
      <w:r>
        <w:t xml:space="preserve">An anonymized replication package accompanies the submission and provides the analysis inputs, available source snapshots, and code for regenerating the tables and figures and checking the headline calculations. For 2025 prices, it includes the archived summary and a separately documented reconstruction from a new transaction snapshot. The original summary-generation materials are unavailable; Online Appendix B.3 documents this distinction and Table C25 reports the sensitivity comparison.</w:t>
      </w:r>
    </w:p>
    <w:bookmarkEnd w:id="47"/>
    <w:bookmarkStart w:id="101" w:name="references"/>
    <w:p>
      <w:pPr>
        <w:pStyle w:val="Heading1"/>
      </w:pPr>
      <w:r>
        <w:t xml:space="preserve">References</w:t>
      </w:r>
    </w:p>
    <w:p>
      <w:pPr>
        <w:pStyle w:val="FirstParagraph"/>
      </w:pPr>
      <w:r>
        <w:t xml:space="preserve">Abadie, Alberto, Athey, Susan, Imbens, Guido W. and Wooldridge, Jeffrey M. (2020) Sampling-based versus design-based uncertainty in regression analysis.</w:t>
      </w:r>
      <w:r>
        <w:t xml:space="preserve"> </w:t>
      </w:r>
      <w:r>
        <w:rPr>
          <w:iCs/>
          <w:i/>
        </w:rPr>
        <w:t xml:space="preserve">Econometrica</w:t>
      </w:r>
      <w:r>
        <w:t xml:space="preserve"> </w:t>
      </w:r>
      <w:r>
        <w:t xml:space="preserve">88(1), 265-296.</w:t>
      </w:r>
      <w:r>
        <w:t xml:space="preserve"> </w:t>
      </w:r>
      <w:hyperlink r:id="rId48">
        <w:r>
          <w:rPr>
            <w:rStyle w:val="Hyperlink"/>
          </w:rPr>
          <w:t xml:space="preserve">https://doi.org/10.3982/ECTA12675</w:t>
        </w:r>
      </w:hyperlink>
    </w:p>
    <w:p>
      <w:pPr>
        <w:pStyle w:val="BodyText"/>
      </w:pPr>
      <w:r>
        <w:t xml:space="preserve">Adler, David and Ansell, Ben (2020) Housing and populism.</w:t>
      </w:r>
      <w:r>
        <w:t xml:space="preserve"> </w:t>
      </w:r>
      <w:r>
        <w:rPr>
          <w:iCs/>
          <w:i/>
        </w:rPr>
        <w:t xml:space="preserve">West European Politics</w:t>
      </w:r>
      <w:r>
        <w:t xml:space="preserve"> </w:t>
      </w:r>
      <w:r>
        <w:t xml:space="preserve">43(2), 344-365.</w:t>
      </w:r>
      <w:r>
        <w:t xml:space="preserve"> </w:t>
      </w:r>
      <w:hyperlink r:id="rId49">
        <w:r>
          <w:rPr>
            <w:rStyle w:val="Hyperlink"/>
          </w:rPr>
          <w:t xml:space="preserve">https://doi.org/10.1080/01402382.2019.1615322</w:t>
        </w:r>
      </w:hyperlink>
    </w:p>
    <w:p>
      <w:pPr>
        <w:pStyle w:val="BodyText"/>
      </w:pPr>
      <w:r>
        <w:t xml:space="preserve">Amos, Brian, McDonald, Michael P. and Watkins, Russell (2017) When boundaries collide: Constructing a national database of demographic and voting statistics.</w:t>
      </w:r>
      <w:r>
        <w:t xml:space="preserve"> </w:t>
      </w:r>
      <w:r>
        <w:rPr>
          <w:iCs/>
          <w:i/>
        </w:rPr>
        <w:t xml:space="preserve">Public Opinion Quarterly</w:t>
      </w:r>
      <w:r>
        <w:t xml:space="preserve"> </w:t>
      </w:r>
      <w:r>
        <w:t xml:space="preserve">81(S1), 385-400.</w:t>
      </w:r>
      <w:r>
        <w:t xml:space="preserve"> </w:t>
      </w:r>
      <w:hyperlink r:id="rId50">
        <w:r>
          <w:rPr>
            <w:rStyle w:val="Hyperlink"/>
          </w:rPr>
          <w:t xml:space="preserve">https://doi.org/10.1093/poq/nfx001</w:t>
        </w:r>
      </w:hyperlink>
    </w:p>
    <w:p>
      <w:pPr>
        <w:pStyle w:val="BodyText"/>
      </w:pPr>
      <w:r>
        <w:t xml:space="preserve">Ansell, Ben W. (2014) The political economy of ownership: Housing markets and the welfare state.</w:t>
      </w:r>
      <w:r>
        <w:t xml:space="preserve"> </w:t>
      </w:r>
      <w:r>
        <w:rPr>
          <w:iCs/>
          <w:i/>
        </w:rPr>
        <w:t xml:space="preserve">American Political Science Review</w:t>
      </w:r>
      <w:r>
        <w:t xml:space="preserve"> </w:t>
      </w:r>
      <w:r>
        <w:t xml:space="preserve">108(2), 383-402.</w:t>
      </w:r>
      <w:r>
        <w:t xml:space="preserve"> </w:t>
      </w:r>
      <w:hyperlink r:id="rId51">
        <w:r>
          <w:rPr>
            <w:rStyle w:val="Hyperlink"/>
          </w:rPr>
          <w:t xml:space="preserve">https://doi.org/10.1017/S0003055414000045</w:t>
        </w:r>
      </w:hyperlink>
    </w:p>
    <w:p>
      <w:pPr>
        <w:pStyle w:val="BodyText"/>
      </w:pPr>
      <w:r>
        <w:t xml:space="preserve">Ansell, Ben W. (2019) The politics of housing.</w:t>
      </w:r>
      <w:r>
        <w:t xml:space="preserve"> </w:t>
      </w:r>
      <w:r>
        <w:rPr>
          <w:iCs/>
          <w:i/>
        </w:rPr>
        <w:t xml:space="preserve">Annual Review of Political Science</w:t>
      </w:r>
      <w:r>
        <w:t xml:space="preserve"> </w:t>
      </w:r>
      <w:r>
        <w:t xml:space="preserve">22, 165-185.</w:t>
      </w:r>
      <w:r>
        <w:t xml:space="preserve"> </w:t>
      </w:r>
      <w:hyperlink r:id="rId52">
        <w:r>
          <w:rPr>
            <w:rStyle w:val="Hyperlink"/>
          </w:rPr>
          <w:t xml:space="preserve">https://doi.org/10.1146/annurev-polisci-050317-071146</w:t>
        </w:r>
      </w:hyperlink>
    </w:p>
    <w:p>
      <w:pPr>
        <w:pStyle w:val="BodyText"/>
      </w:pPr>
      <w:r>
        <w:t xml:space="preserve">Ansell, Ben W., Hjorth, Frederik, Nyrup, Jacob and Larsen, Martin Vinæs (2022) Sheltering populists? House prices and the support for populist parties.</w:t>
      </w:r>
      <w:r>
        <w:t xml:space="preserve"> </w:t>
      </w:r>
      <w:r>
        <w:rPr>
          <w:iCs/>
          <w:i/>
        </w:rPr>
        <w:t xml:space="preserve">Journal of Politics</w:t>
      </w:r>
      <w:r>
        <w:t xml:space="preserve"> </w:t>
      </w:r>
      <w:r>
        <w:t xml:space="preserve">84(3), 1420-1436.</w:t>
      </w:r>
      <w:r>
        <w:t xml:space="preserve"> </w:t>
      </w:r>
      <w:hyperlink r:id="rId53">
        <w:r>
          <w:rPr>
            <w:rStyle w:val="Hyperlink"/>
          </w:rPr>
          <w:t xml:space="preserve">https://doi.org/10.1086/718354</w:t>
        </w:r>
      </w:hyperlink>
    </w:p>
    <w:p>
      <w:pPr>
        <w:pStyle w:val="BodyText"/>
      </w:pPr>
      <w:r>
        <w:t xml:space="preserve">Bae, Yooil and Joo, Yu-Min (2020) The making of Gangnam: Social construction and identity of urban place in South Korea.</w:t>
      </w:r>
      <w:r>
        <w:t xml:space="preserve"> </w:t>
      </w:r>
      <w:r>
        <w:rPr>
          <w:iCs/>
          <w:i/>
        </w:rPr>
        <w:t xml:space="preserve">Urban Affairs Review</w:t>
      </w:r>
      <w:r>
        <w:t xml:space="preserve"> </w:t>
      </w:r>
      <w:r>
        <w:t xml:space="preserve">56(3), 726-757.</w:t>
      </w:r>
      <w:r>
        <w:t xml:space="preserve"> </w:t>
      </w:r>
      <w:hyperlink r:id="rId54">
        <w:r>
          <w:rPr>
            <w:rStyle w:val="Hyperlink"/>
          </w:rPr>
          <w:t xml:space="preserve">https://doi.org/10.1177/1078087419827645</w:t>
        </w:r>
      </w:hyperlink>
    </w:p>
    <w:p>
      <w:pPr>
        <w:pStyle w:val="BodyText"/>
      </w:pPr>
      <w:r>
        <w:t xml:space="preserve">Baltz, Samuel, Agadjanian, Alexander, Chin, Declan, Curiel, John, DeLuca, Kevin, Dunham, James, Miranda, Jennifer, Phillips, Connor Halloran, Uhlman, Annabel, Wimpy, Cameron, Zárate, Marcos and Stewart III, Charles (2022) American election results at the precinct level.</w:t>
      </w:r>
      <w:r>
        <w:t xml:space="preserve"> </w:t>
      </w:r>
      <w:r>
        <w:rPr>
          <w:iCs/>
          <w:i/>
        </w:rPr>
        <w:t xml:space="preserve">Scientific Data</w:t>
      </w:r>
      <w:r>
        <w:t xml:space="preserve"> </w:t>
      </w:r>
      <w:r>
        <w:t xml:space="preserve">9, 651.</w:t>
      </w:r>
      <w:r>
        <w:t xml:space="preserve"> </w:t>
      </w:r>
      <w:hyperlink r:id="rId55">
        <w:r>
          <w:rPr>
            <w:rStyle w:val="Hyperlink"/>
          </w:rPr>
          <w:t xml:space="preserve">https://doi.org/10.1038/s41597-022-01745-0</w:t>
        </w:r>
      </w:hyperlink>
    </w:p>
    <w:p>
      <w:pPr>
        <w:pStyle w:val="BodyText"/>
      </w:pPr>
      <w:r>
        <w:t xml:space="preserve">Cho, Wendy Tam and Manski, Charles F. (2008) Cross-level/ecological inference. In Box-Steffensmeier, Janet M., Brady, Henry E. and Collier, David (eds),</w:t>
      </w:r>
      <w:r>
        <w:t xml:space="preserve"> </w:t>
      </w:r>
      <w:r>
        <w:rPr>
          <w:iCs/>
          <w:i/>
        </w:rPr>
        <w:t xml:space="preserve">The Oxford Handbook of Political Methodology</w:t>
      </w:r>
      <w:r>
        <w:t xml:space="preserve">. Oxford: Oxford University Press, pp. 547-569.</w:t>
      </w:r>
      <w:r>
        <w:t xml:space="preserve"> </w:t>
      </w:r>
      <w:hyperlink r:id="rId56">
        <w:r>
          <w:rPr>
            <w:rStyle w:val="Hyperlink"/>
          </w:rPr>
          <w:t xml:space="preserve">https://doi.org/10.1093/oxfordhb/9780199286546.003.0024</w:t>
        </w:r>
      </w:hyperlink>
    </w:p>
    <w:p>
      <w:pPr>
        <w:pStyle w:val="BodyText"/>
      </w:pPr>
      <w:r>
        <w:t xml:space="preserve">Cross, Philip J. and Manski, Charles F. (2002) Regressions, short and long.</w:t>
      </w:r>
      <w:r>
        <w:t xml:space="preserve"> </w:t>
      </w:r>
      <w:r>
        <w:rPr>
          <w:iCs/>
          <w:i/>
        </w:rPr>
        <w:t xml:space="preserve">Econometrica</w:t>
      </w:r>
      <w:r>
        <w:t xml:space="preserve"> </w:t>
      </w:r>
      <w:r>
        <w:t xml:space="preserve">70(1), 357-368.</w:t>
      </w:r>
      <w:r>
        <w:t xml:space="preserve"> </w:t>
      </w:r>
      <w:hyperlink r:id="rId57">
        <w:r>
          <w:rPr>
            <w:rStyle w:val="Hyperlink"/>
          </w:rPr>
          <w:t xml:space="preserve">https://doi.org/10.1111/1468-0262.00279</w:t>
        </w:r>
      </w:hyperlink>
    </w:p>
    <w:p>
      <w:pPr>
        <w:pStyle w:val="BodyText"/>
      </w:pPr>
      <w:r>
        <w:t xml:space="preserve">Duncan, Otis Dudley and Davis, Beverly (1953) An alternative to ecological correlation.</w:t>
      </w:r>
      <w:r>
        <w:t xml:space="preserve"> </w:t>
      </w:r>
      <w:r>
        <w:rPr>
          <w:iCs/>
          <w:i/>
        </w:rPr>
        <w:t xml:space="preserve">American Sociological Review</w:t>
      </w:r>
      <w:r>
        <w:t xml:space="preserve"> </w:t>
      </w:r>
      <w:r>
        <w:t xml:space="preserve">18(6), 665-666.</w:t>
      </w:r>
      <w:r>
        <w:t xml:space="preserve"> </w:t>
      </w:r>
      <w:hyperlink r:id="rId58">
        <w:r>
          <w:rPr>
            <w:rStyle w:val="Hyperlink"/>
          </w:rPr>
          <w:t xml:space="preserve">https://doi.org/10.2307/2088122</w:t>
        </w:r>
      </w:hyperlink>
    </w:p>
    <w:p>
      <w:pPr>
        <w:pStyle w:val="BodyText"/>
      </w:pPr>
      <w:r>
        <w:t xml:space="preserve">Elzayn, Hadi, Goldin, Jacob, Guage, Cameron, Ho, Daniel and Morton, Claire (2026) Monotone ecological inference.</w:t>
      </w:r>
      <w:r>
        <w:t xml:space="preserve"> </w:t>
      </w:r>
      <w:r>
        <w:rPr>
          <w:iCs/>
          <w:i/>
        </w:rPr>
        <w:t xml:space="preserve">Political Analysis</w:t>
      </w:r>
      <w:r>
        <w:t xml:space="preserve">, published online 10 July 2026.</w:t>
      </w:r>
      <w:r>
        <w:t xml:space="preserve"> </w:t>
      </w:r>
      <w:hyperlink r:id="rId59">
        <w:r>
          <w:rPr>
            <w:rStyle w:val="Hyperlink"/>
          </w:rPr>
          <w:t xml:space="preserve">https://doi.org/10.1017/pan.2026.10048</w:t>
        </w:r>
      </w:hyperlink>
    </w:p>
    <w:p>
      <w:pPr>
        <w:pStyle w:val="BodyText"/>
      </w:pPr>
      <w:r>
        <w:t xml:space="preserve">Fang, Zheng and Santos, Andres (2019) Inference on directionally differentiable functions.</w:t>
      </w:r>
      <w:r>
        <w:t xml:space="preserve"> </w:t>
      </w:r>
      <w:r>
        <w:rPr>
          <w:iCs/>
          <w:i/>
        </w:rPr>
        <w:t xml:space="preserve">Review of Economic Studies</w:t>
      </w:r>
      <w:r>
        <w:t xml:space="preserve"> </w:t>
      </w:r>
      <w:r>
        <w:t xml:space="preserve">86(1), 377-412.</w:t>
      </w:r>
      <w:r>
        <w:t xml:space="preserve"> </w:t>
      </w:r>
      <w:hyperlink r:id="rId60">
        <w:r>
          <w:rPr>
            <w:rStyle w:val="Hyperlink"/>
          </w:rPr>
          <w:t xml:space="preserve">https://doi.org/10.1093/restud/rdy049</w:t>
        </w:r>
      </w:hyperlink>
    </w:p>
    <w:p>
      <w:pPr>
        <w:pStyle w:val="BodyText"/>
      </w:pPr>
      <w:r>
        <w:t xml:space="preserve">Fang, Zheng, Santos, Andres, Shaikh, Azeem M. and Torgovitsky, Alexander (2023) Inference for large-scale linear systems with known coefficients.</w:t>
      </w:r>
      <w:r>
        <w:t xml:space="preserve"> </w:t>
      </w:r>
      <w:r>
        <w:rPr>
          <w:iCs/>
          <w:i/>
        </w:rPr>
        <w:t xml:space="preserve">Econometrica</w:t>
      </w:r>
      <w:r>
        <w:t xml:space="preserve"> </w:t>
      </w:r>
      <w:r>
        <w:t xml:space="preserve">91(1), 299-327.</w:t>
      </w:r>
      <w:r>
        <w:t xml:space="preserve"> </w:t>
      </w:r>
      <w:hyperlink r:id="rId61">
        <w:r>
          <w:rPr>
            <w:rStyle w:val="Hyperlink"/>
          </w:rPr>
          <w:t xml:space="preserve">https://doi.org/10.3982/ECTA18979</w:t>
        </w:r>
      </w:hyperlink>
    </w:p>
    <w:p>
      <w:pPr>
        <w:pStyle w:val="BodyText"/>
      </w:pPr>
      <w:r>
        <w:t xml:space="preserve">Fischel, William A. (2001)</w:t>
      </w:r>
      <w:r>
        <w:t xml:space="preserve"> </w:t>
      </w:r>
      <w:r>
        <w:rPr>
          <w:iCs/>
          <w:i/>
        </w:rPr>
        <w:t xml:space="preserve">The Homevoter Hypothesis: How Home Values Influence Local Government Taxation, School Finance, and Land-Use Policies</w:t>
      </w:r>
      <w:r>
        <w:t xml:space="preserve">. Cambridge, MA: Harvard University Press.</w:t>
      </w:r>
    </w:p>
    <w:p>
      <w:pPr>
        <w:pStyle w:val="BodyText"/>
      </w:pPr>
      <w:r>
        <w:t xml:space="preserve">Greiner, D. James and Quinn, Kevin M. (2009) R×C ecological inference: Bounds, correlations, flexibility and transparency of assumptions.</w:t>
      </w:r>
      <w:r>
        <w:t xml:space="preserve"> </w:t>
      </w:r>
      <w:r>
        <w:rPr>
          <w:iCs/>
          <w:i/>
        </w:rPr>
        <w:t xml:space="preserve">Journal of the Royal Statistical Society: Series A</w:t>
      </w:r>
      <w:r>
        <w:t xml:space="preserve"> </w:t>
      </w:r>
      <w:r>
        <w:t xml:space="preserve">172(1), 67-81.</w:t>
      </w:r>
      <w:r>
        <w:t xml:space="preserve"> </w:t>
      </w:r>
      <w:hyperlink r:id="rId62">
        <w:r>
          <w:rPr>
            <w:rStyle w:val="Hyperlink"/>
          </w:rPr>
          <w:t xml:space="preserve">https://doi.org/10.1111/j.1467-985X.2008.00551.x</w:t>
        </w:r>
      </w:hyperlink>
    </w:p>
    <w:p>
      <w:pPr>
        <w:pStyle w:val="BodyText"/>
      </w:pPr>
      <w:r>
        <w:t xml:space="preserve">Gronke, Paul, Galanes-Rosenbaum, Eva, Miller, Peter A. and Toffey, Daniel (2008) Convenience voting.</w:t>
      </w:r>
      <w:r>
        <w:t xml:space="preserve"> </w:t>
      </w:r>
      <w:r>
        <w:rPr>
          <w:iCs/>
          <w:i/>
        </w:rPr>
        <w:t xml:space="preserve">Annual Review of Political Science</w:t>
      </w:r>
      <w:r>
        <w:t xml:space="preserve"> </w:t>
      </w:r>
      <w:r>
        <w:t xml:space="preserve">11, 437-455.</w:t>
      </w:r>
      <w:r>
        <w:t xml:space="preserve"> </w:t>
      </w:r>
      <w:hyperlink r:id="rId63">
        <w:r>
          <w:rPr>
            <w:rStyle w:val="Hyperlink"/>
          </w:rPr>
          <w:t xml:space="preserve">https://doi.org/10.1146/annurev.polisci.11.053006.190912</w:t>
        </w:r>
      </w:hyperlink>
    </w:p>
    <w:p>
      <w:pPr>
        <w:pStyle w:val="BodyText"/>
      </w:pPr>
      <w:r>
        <w:t xml:space="preserve">Hall, Andrew B. and Yoder, Jesse (2022) Does homeownership influence political behavior? Evidence from administrative data.</w:t>
      </w:r>
      <w:r>
        <w:t xml:space="preserve"> </w:t>
      </w:r>
      <w:r>
        <w:rPr>
          <w:iCs/>
          <w:i/>
        </w:rPr>
        <w:t xml:space="preserve">Journal of Politics</w:t>
      </w:r>
      <w:r>
        <w:t xml:space="preserve"> </w:t>
      </w:r>
      <w:r>
        <w:t xml:space="preserve">84(1), 351-366.</w:t>
      </w:r>
      <w:r>
        <w:t xml:space="preserve"> </w:t>
      </w:r>
      <w:hyperlink r:id="rId64">
        <w:r>
          <w:rPr>
            <w:rStyle w:val="Hyperlink"/>
          </w:rPr>
          <w:t xml:space="preserve">https://doi.org/10.1086/714932</w:t>
        </w:r>
      </w:hyperlink>
    </w:p>
    <w:p>
      <w:pPr>
        <w:pStyle w:val="BodyText"/>
      </w:pPr>
      <w:r>
        <w:t xml:space="preserve">Han, Seungwoo (2024) Housing wealth and political outcomes: A multi-dimensional analysis at the local level in South Korea.</w:t>
      </w:r>
      <w:r>
        <w:t xml:space="preserve"> </w:t>
      </w:r>
      <w:r>
        <w:rPr>
          <w:iCs/>
          <w:i/>
        </w:rPr>
        <w:t xml:space="preserve">Japanese Journal of Political Science</w:t>
      </w:r>
      <w:r>
        <w:t xml:space="preserve"> </w:t>
      </w:r>
      <w:r>
        <w:t xml:space="preserve">25(2), 75-101.</w:t>
      </w:r>
      <w:r>
        <w:t xml:space="preserve"> </w:t>
      </w:r>
      <w:hyperlink r:id="rId65">
        <w:r>
          <w:rPr>
            <w:rStyle w:val="Hyperlink"/>
          </w:rPr>
          <w:t xml:space="preserve">https://doi.org/10.1017/S146810992400001X</w:t>
        </w:r>
      </w:hyperlink>
    </w:p>
    <w:p>
      <w:pPr>
        <w:pStyle w:val="BodyText"/>
      </w:pPr>
      <w:r>
        <w:t xml:space="preserve">Han, Seungwoo (2026) Between the ladder and the mirror: Subjective class consciousness and voting under inequality in South Korea.</w:t>
      </w:r>
      <w:r>
        <w:t xml:space="preserve"> </w:t>
      </w:r>
      <w:r>
        <w:rPr>
          <w:iCs/>
          <w:i/>
        </w:rPr>
        <w:t xml:space="preserve">Japanese Journal of Political Science</w:t>
      </w:r>
      <w:r>
        <w:t xml:space="preserve"> </w:t>
      </w:r>
      <w:r>
        <w:t xml:space="preserve">27(1), 79-98.</w:t>
      </w:r>
      <w:r>
        <w:t xml:space="preserve"> </w:t>
      </w:r>
      <w:hyperlink r:id="rId66">
        <w:r>
          <w:rPr>
            <w:rStyle w:val="Hyperlink"/>
          </w:rPr>
          <w:t xml:space="preserve">https://doi.org/10.1017/S1468109925100224</w:t>
        </w:r>
      </w:hyperlink>
    </w:p>
    <w:p>
      <w:pPr>
        <w:pStyle w:val="BodyText"/>
      </w:pPr>
      <w:r>
        <w:t xml:space="preserve">Hankinson, Michael (2018) When do renters behave like homeowners? High rent, price anxiety, and NIMBYism.</w:t>
      </w:r>
      <w:r>
        <w:t xml:space="preserve"> </w:t>
      </w:r>
      <w:r>
        <w:rPr>
          <w:iCs/>
          <w:i/>
        </w:rPr>
        <w:t xml:space="preserve">American Political Science Review</w:t>
      </w:r>
      <w:r>
        <w:t xml:space="preserve"> </w:t>
      </w:r>
      <w:r>
        <w:t xml:space="preserve">112(3), 473-493.</w:t>
      </w:r>
      <w:r>
        <w:t xml:space="preserve"> </w:t>
      </w:r>
      <w:hyperlink r:id="rId67">
        <w:r>
          <w:rPr>
            <w:rStyle w:val="Hyperlink"/>
          </w:rPr>
          <w:t xml:space="preserve">https://doi.org/10.1017/S0003055418000035</w:t>
        </w:r>
      </w:hyperlink>
    </w:p>
    <w:p>
      <w:pPr>
        <w:pStyle w:val="BodyText"/>
      </w:pPr>
      <w:r>
        <w:t xml:space="preserve">Harada, Masataka, Ito, Gaku and Smith, Daniel M. (2025) Using cell-phone mobility data to study voter turnout.</w:t>
      </w:r>
      <w:r>
        <w:t xml:space="preserve"> </w:t>
      </w:r>
      <w:r>
        <w:rPr>
          <w:iCs/>
          <w:i/>
        </w:rPr>
        <w:t xml:space="preserve">Political Behavior</w:t>
      </w:r>
      <w:r>
        <w:t xml:space="preserve"> </w:t>
      </w:r>
      <w:r>
        <w:t xml:space="preserve">47(3), 991-1014.</w:t>
      </w:r>
      <w:r>
        <w:t xml:space="preserve"> </w:t>
      </w:r>
      <w:hyperlink r:id="rId68">
        <w:r>
          <w:rPr>
            <w:rStyle w:val="Hyperlink"/>
          </w:rPr>
          <w:t xml:space="preserve">https://doi.org/10.1007/s11109-024-09975-1</w:t>
        </w:r>
      </w:hyperlink>
    </w:p>
    <w:p>
      <w:pPr>
        <w:pStyle w:val="BodyText"/>
      </w:pPr>
      <w:r>
        <w:t xml:space="preserve">Imai, Kosuke, Lu, Ying and Strauss, Aaron (2008) Bayesian and likelihood inference for 2 × 2 ecological tables: An incomplete-data approach.</w:t>
      </w:r>
      <w:r>
        <w:t xml:space="preserve"> </w:t>
      </w:r>
      <w:r>
        <w:rPr>
          <w:iCs/>
          <w:i/>
        </w:rPr>
        <w:t xml:space="preserve">Political Analysis</w:t>
      </w:r>
      <w:r>
        <w:t xml:space="preserve"> </w:t>
      </w:r>
      <w:r>
        <w:t xml:space="preserve">16(1), 41-69.</w:t>
      </w:r>
      <w:r>
        <w:t xml:space="preserve"> </w:t>
      </w:r>
      <w:hyperlink r:id="rId69">
        <w:r>
          <w:rPr>
            <w:rStyle w:val="Hyperlink"/>
          </w:rPr>
          <w:t xml:space="preserve">https://doi.org/10.1093/pan/mpm017</w:t>
        </w:r>
      </w:hyperlink>
    </w:p>
    <w:p>
      <w:pPr>
        <w:pStyle w:val="BodyText"/>
      </w:pPr>
      <w:r>
        <w:t xml:space="preserve">Imbens, Guido W. and Manski, Charles F. (2004) Confidence intervals for partially identified parameters.</w:t>
      </w:r>
      <w:r>
        <w:t xml:space="preserve"> </w:t>
      </w:r>
      <w:r>
        <w:rPr>
          <w:iCs/>
          <w:i/>
        </w:rPr>
        <w:t xml:space="preserve">Econometrica</w:t>
      </w:r>
      <w:r>
        <w:t xml:space="preserve"> </w:t>
      </w:r>
      <w:r>
        <w:t xml:space="preserve">72(6), 1845-1857.</w:t>
      </w:r>
      <w:r>
        <w:t xml:space="preserve"> </w:t>
      </w:r>
      <w:hyperlink r:id="rId70">
        <w:r>
          <w:rPr>
            <w:rStyle w:val="Hyperlink"/>
          </w:rPr>
          <w:t xml:space="preserve">https://doi.org/10.1111/j.1468-0262.2004.00555.x</w:t>
        </w:r>
      </w:hyperlink>
    </w:p>
    <w:p>
      <w:pPr>
        <w:pStyle w:val="BodyText"/>
      </w:pPr>
      <w:r>
        <w:t xml:space="preserve">Jiang, Wenxin, King, Gary, Schmaltz, Allen and Tanner, Martin A. (2020) Ecological regression with partial identification.</w:t>
      </w:r>
      <w:r>
        <w:t xml:space="preserve"> </w:t>
      </w:r>
      <w:r>
        <w:rPr>
          <w:iCs/>
          <w:i/>
        </w:rPr>
        <w:t xml:space="preserve">Political Analysis</w:t>
      </w:r>
      <w:r>
        <w:t xml:space="preserve"> </w:t>
      </w:r>
      <w:r>
        <w:t xml:space="preserve">28(1), 65-86.</w:t>
      </w:r>
      <w:r>
        <w:t xml:space="preserve"> </w:t>
      </w:r>
      <w:hyperlink r:id="rId71">
        <w:r>
          <w:rPr>
            <w:rStyle w:val="Hyperlink"/>
          </w:rPr>
          <w:t xml:space="preserve">https://doi.org/10.1017/pan.2019.19</w:t>
        </w:r>
      </w:hyperlink>
    </w:p>
    <w:p>
      <w:pPr>
        <w:pStyle w:val="BodyText"/>
      </w:pPr>
      <w:r>
        <w:t xml:space="preserve">Ka, Sangjoon (2021) 2020nyeon gukhoeuiwonseongeoeseo sajeontupyo yugwonjaui teukjinggwa tupyoseontaek (Characteristics of early voters and their voting choices in the 2020 general election).</w:t>
      </w:r>
      <w:r>
        <w:t xml:space="preserve"> </w:t>
      </w:r>
      <w:r>
        <w:rPr>
          <w:iCs/>
          <w:i/>
        </w:rPr>
        <w:t xml:space="preserve">Korean Political Science Review</w:t>
      </w:r>
      <w:r>
        <w:t xml:space="preserve"> </w:t>
      </w:r>
      <w:r>
        <w:t xml:space="preserve">55(2), 89-108 [in Korean].</w:t>
      </w:r>
      <w:r>
        <w:t xml:space="preserve"> </w:t>
      </w:r>
      <w:hyperlink r:id="rId72">
        <w:r>
          <w:rPr>
            <w:rStyle w:val="Hyperlink"/>
          </w:rPr>
          <w:t xml:space="preserve">https://doi.org/10.18854/kpsr.2021.55.2.004</w:t>
        </w:r>
      </w:hyperlink>
    </w:p>
    <w:p>
      <w:pPr>
        <w:pStyle w:val="BodyText"/>
      </w:pPr>
      <w:r>
        <w:t xml:space="preserve">Kaplan, Ethan and Yuan, Haishan (2020) Early voting laws, voter turnout, and partisan vote composition: Evidence from Ohio.</w:t>
      </w:r>
      <w:r>
        <w:t xml:space="preserve"> </w:t>
      </w:r>
      <w:r>
        <w:rPr>
          <w:iCs/>
          <w:i/>
        </w:rPr>
        <w:t xml:space="preserve">American Economic Journal: Applied Economics</w:t>
      </w:r>
      <w:r>
        <w:t xml:space="preserve"> </w:t>
      </w:r>
      <w:r>
        <w:t xml:space="preserve">12(1), 32-60.</w:t>
      </w:r>
      <w:r>
        <w:t xml:space="preserve"> </w:t>
      </w:r>
      <w:hyperlink r:id="rId73">
        <w:r>
          <w:rPr>
            <w:rStyle w:val="Hyperlink"/>
          </w:rPr>
          <w:t xml:space="preserve">https://doi.org/10.1257/app.20180192</w:t>
        </w:r>
      </w:hyperlink>
    </w:p>
    <w:p>
      <w:pPr>
        <w:pStyle w:val="BodyText"/>
      </w:pPr>
      <w:r>
        <w:t xml:space="preserve">Kim, Suin and Kang, Won-Taek (2022) Jasangwa tupyo seontaek: sudogwon jiyeok yugwonjareul jungsimeuro (Wealth and voting in South Korea: Analyzing voting choices in Seoul and the metropolitan areas).</w:t>
      </w:r>
      <w:r>
        <w:t xml:space="preserve"> </w:t>
      </w:r>
      <w:r>
        <w:rPr>
          <w:iCs/>
          <w:i/>
        </w:rPr>
        <w:t xml:space="preserve">Korean Political Science Review</w:t>
      </w:r>
      <w:r>
        <w:t xml:space="preserve"> </w:t>
      </w:r>
      <w:r>
        <w:t xml:space="preserve">56(1), 187-215 [in Korean].</w:t>
      </w:r>
      <w:r>
        <w:t xml:space="preserve"> </w:t>
      </w:r>
      <w:hyperlink r:id="rId74">
        <w:r>
          <w:rPr>
            <w:rStyle w:val="Hyperlink"/>
          </w:rPr>
          <w:t xml:space="preserve">https://doi.org/10.18854/kpsr.2022.56.1.007</w:t>
        </w:r>
      </w:hyperlink>
    </w:p>
    <w:p>
      <w:pPr>
        <w:pStyle w:val="BodyText"/>
      </w:pPr>
      <w:r>
        <w:t xml:space="preserve">King, Gary (1997)</w:t>
      </w:r>
      <w:r>
        <w:t xml:space="preserve"> </w:t>
      </w:r>
      <w:r>
        <w:rPr>
          <w:iCs/>
          <w:i/>
        </w:rPr>
        <w:t xml:space="preserve">A Solution to the Ecological Inference Problem: Reconstructing Individual Behavior from Aggregate Data</w:t>
      </w:r>
      <w:r>
        <w:t xml:space="preserve">. Princeton, NJ: Princeton University Press.</w:t>
      </w:r>
    </w:p>
    <w:p>
      <w:pPr>
        <w:pStyle w:val="BodyText"/>
      </w:pPr>
      <w:r>
        <w:t xml:space="preserve">Knox, Dean, Lowe, Will and Mummolo, Jonathan (2020) Administrative records mask racially biased policing.</w:t>
      </w:r>
      <w:r>
        <w:t xml:space="preserve"> </w:t>
      </w:r>
      <w:r>
        <w:rPr>
          <w:iCs/>
          <w:i/>
        </w:rPr>
        <w:t xml:space="preserve">American Political Science Review</w:t>
      </w:r>
      <w:r>
        <w:t xml:space="preserve"> </w:t>
      </w:r>
      <w:r>
        <w:t xml:space="preserve">114(3), 619-637.</w:t>
      </w:r>
      <w:r>
        <w:t xml:space="preserve"> </w:t>
      </w:r>
      <w:hyperlink r:id="rId75">
        <w:r>
          <w:rPr>
            <w:rStyle w:val="Hyperlink"/>
          </w:rPr>
          <w:t xml:space="preserve">https://doi.org/10.1017/S0003055420000039</w:t>
        </w:r>
      </w:hyperlink>
    </w:p>
    <w:p>
      <w:pPr>
        <w:pStyle w:val="BodyText"/>
      </w:pPr>
      <w:r>
        <w:t xml:space="preserve">Korea (n.d.) Public Official Election Act, Articles 158, 176 and 178, in the versions in force at each election studied. Korean Law Information Center [in Korean]. Available at:</w:t>
      </w:r>
      <w:r>
        <w:t xml:space="preserve"> </w:t>
      </w:r>
      <w:hyperlink r:id="rId76">
        <w:r>
          <w:rPr>
            <w:rStyle w:val="Hyperlink"/>
          </w:rPr>
          <w:t xml:space="preserve">https://www.law.go.kr/%EB%B2%95%EB%A0%B9/%EA%B3%B5%EC%A7%81%EC%84%A0%EA%B1%B0%EB%B2%95</w:t>
        </w:r>
      </w:hyperlink>
      <w:r>
        <w:t xml:space="preserve"> </w:t>
      </w:r>
      <w:r>
        <w:t xml:space="preserve">(accessed 12 October 2026).</w:t>
      </w:r>
    </w:p>
    <w:p>
      <w:pPr>
        <w:pStyle w:val="BodyText"/>
      </w:pPr>
      <w:r>
        <w:t xml:space="preserve">Larsen, Martin Vinæs, Hjorth, Frederik, Dinesen, Peter Thisted and Sønderskov, Kim Mannemar (2019) When do citizens respond politically to the local economy? Evidence from registry data on local housing markets.</w:t>
      </w:r>
      <w:r>
        <w:t xml:space="preserve"> </w:t>
      </w:r>
      <w:r>
        <w:rPr>
          <w:iCs/>
          <w:i/>
        </w:rPr>
        <w:t xml:space="preserve">American Political Science Review</w:t>
      </w:r>
      <w:r>
        <w:t xml:space="preserve"> </w:t>
      </w:r>
      <w:r>
        <w:t xml:space="preserve">113(2), 499-516.</w:t>
      </w:r>
      <w:r>
        <w:t xml:space="preserve"> </w:t>
      </w:r>
      <w:hyperlink r:id="rId77">
        <w:r>
          <w:rPr>
            <w:rStyle w:val="Hyperlink"/>
          </w:rPr>
          <w:t xml:space="preserve">https://doi.org/10.1017/S0003055419000029</w:t>
        </w:r>
      </w:hyperlink>
    </w:p>
    <w:p>
      <w:pPr>
        <w:pStyle w:val="BodyText"/>
      </w:pPr>
      <w:r>
        <w:t xml:space="preserve">Lee, Dong-han (2026) [9hoe jiseon teukjip] budongsangwa sudogwon eummyeondong pyosim bunseok (Ninth local elections: Real estate and voting patterns in the capital region’s eups, myeons and dongs).</w:t>
      </w:r>
      <w:r>
        <w:t xml:space="preserve"> </w:t>
      </w:r>
      <w:r>
        <w:rPr>
          <w:iCs/>
          <w:i/>
        </w:rPr>
        <w:t xml:space="preserve">Hankook Research: Public Opinion within Public Opinion</w:t>
      </w:r>
      <w:r>
        <w:t xml:space="preserve">, 10 June. Research note [in Korean]. Available at:</w:t>
      </w:r>
      <w:r>
        <w:t xml:space="preserve"> </w:t>
      </w:r>
      <w:hyperlink r:id="rId78">
        <w:r>
          <w:rPr>
            <w:rStyle w:val="Hyperlink"/>
          </w:rPr>
          <w:t xml:space="preserve">https://hrcopinion.co.kr/archives/36779</w:t>
        </w:r>
      </w:hyperlink>
      <w:r>
        <w:t xml:space="preserve"> </w:t>
      </w:r>
      <w:r>
        <w:t xml:space="preserve">(accessed 10 October 2026).</w:t>
      </w:r>
    </w:p>
    <w:p>
      <w:pPr>
        <w:pStyle w:val="BodyText"/>
      </w:pPr>
      <w:r>
        <w:t xml:space="preserve">Lee, Dong Wook, Rogers, Melissa and Soifer, Hillel David (2025) The modifiable areal unit problem in political science.</w:t>
      </w:r>
      <w:r>
        <w:t xml:space="preserve"> </w:t>
      </w:r>
      <w:r>
        <w:rPr>
          <w:iCs/>
          <w:i/>
        </w:rPr>
        <w:t xml:space="preserve">Political Analysis</w:t>
      </w:r>
      <w:r>
        <w:t xml:space="preserve"> </w:t>
      </w:r>
      <w:r>
        <w:t xml:space="preserve">33(4), 412-424.</w:t>
      </w:r>
      <w:r>
        <w:t xml:space="preserve"> </w:t>
      </w:r>
      <w:hyperlink r:id="rId79">
        <w:r>
          <w:rPr>
            <w:rStyle w:val="Hyperlink"/>
          </w:rPr>
          <w:t xml:space="preserve">https://doi.org/10.1017/pan.2025.2</w:t>
        </w:r>
      </w:hyperlink>
    </w:p>
    <w:p>
      <w:pPr>
        <w:pStyle w:val="BodyText"/>
      </w:pPr>
      <w:r>
        <w:t xml:space="preserve">Lee, Jaewook and Kwon, Hyeok Yong (2019) Jutaek soyuwa tupyoseontaek: hangugui seongeo, 2007-2012 (House ownership and voting behavior in South Korea, 2007-2012).</w:t>
      </w:r>
      <w:r>
        <w:t xml:space="preserve"> </w:t>
      </w:r>
      <w:r>
        <w:rPr>
          <w:iCs/>
          <w:i/>
        </w:rPr>
        <w:t xml:space="preserve">Oughtopia</w:t>
      </w:r>
      <w:r>
        <w:t xml:space="preserve"> </w:t>
      </w:r>
      <w:r>
        <w:t xml:space="preserve">34(2), 121-155 [in Korean].</w:t>
      </w:r>
      <w:r>
        <w:t xml:space="preserve"> </w:t>
      </w:r>
      <w:hyperlink r:id="rId80">
        <w:r>
          <w:rPr>
            <w:rStyle w:val="Hyperlink"/>
          </w:rPr>
          <w:t xml:space="preserve">https://doi.org/10.32355/OUGHTOPIA.2019.08.34.2.121</w:t>
        </w:r>
      </w:hyperlink>
    </w:p>
    <w:p>
      <w:pPr>
        <w:pStyle w:val="BodyText"/>
      </w:pPr>
      <w:r>
        <w:t xml:space="preserve">Manski, Charles F. (2003)</w:t>
      </w:r>
      <w:r>
        <w:t xml:space="preserve"> </w:t>
      </w:r>
      <w:r>
        <w:rPr>
          <w:iCs/>
          <w:i/>
        </w:rPr>
        <w:t xml:space="preserve">Partial Identification of Probability Distributions</w:t>
      </w:r>
      <w:r>
        <w:t xml:space="preserve">. New York: Springer.</w:t>
      </w:r>
    </w:p>
    <w:p>
      <w:pPr>
        <w:pStyle w:val="BodyText"/>
      </w:pPr>
      <w:r>
        <w:t xml:space="preserve">Manski, Charles F. and Pepper, John V. (2018) How do right-to-carry laws affect crime rates? Coping with ambiguity using bounded-variation assumptions.</w:t>
      </w:r>
      <w:r>
        <w:t xml:space="preserve"> </w:t>
      </w:r>
      <w:r>
        <w:rPr>
          <w:iCs/>
          <w:i/>
        </w:rPr>
        <w:t xml:space="preserve">Review of Economics and Statistics</w:t>
      </w:r>
      <w:r>
        <w:t xml:space="preserve"> </w:t>
      </w:r>
      <w:r>
        <w:t xml:space="preserve">100(2), 232-244.</w:t>
      </w:r>
      <w:r>
        <w:t xml:space="preserve"> </w:t>
      </w:r>
      <w:hyperlink r:id="rId81">
        <w:r>
          <w:rPr>
            <w:rStyle w:val="Hyperlink"/>
          </w:rPr>
          <w:t xml:space="preserve">https://doi.org/10.1162/REST_a_00689</w:t>
        </w:r>
      </w:hyperlink>
    </w:p>
    <w:p>
      <w:pPr>
        <w:pStyle w:val="BodyText"/>
      </w:pPr>
      <w:r>
        <w:t xml:space="preserve">Marble, William and Nall, Clayton (2021) Where self-interest trumps ideology: Liberal homeowners and local opposition to housing development.</w:t>
      </w:r>
      <w:r>
        <w:t xml:space="preserve"> </w:t>
      </w:r>
      <w:r>
        <w:rPr>
          <w:iCs/>
          <w:i/>
        </w:rPr>
        <w:t xml:space="preserve">Journal of Politics</w:t>
      </w:r>
      <w:r>
        <w:t xml:space="preserve"> </w:t>
      </w:r>
      <w:r>
        <w:t xml:space="preserve">83(4), 1747-1763.</w:t>
      </w:r>
      <w:r>
        <w:t xml:space="preserve"> </w:t>
      </w:r>
      <w:hyperlink r:id="rId82">
        <w:r>
          <w:rPr>
            <w:rStyle w:val="Hyperlink"/>
          </w:rPr>
          <w:t xml:space="preserve">https://doi.org/10.1086/711717</w:t>
        </w:r>
      </w:hyperlink>
    </w:p>
    <w:p>
      <w:pPr>
        <w:pStyle w:val="BodyText"/>
      </w:pPr>
      <w:r>
        <w:t xml:space="preserve">Masten, Matthew A. and Poirier, Alexandre (2020) Inference on breakdown frontiers.</w:t>
      </w:r>
      <w:r>
        <w:t xml:space="preserve"> </w:t>
      </w:r>
      <w:r>
        <w:rPr>
          <w:iCs/>
          <w:i/>
        </w:rPr>
        <w:t xml:space="preserve">Quantitative Economics</w:t>
      </w:r>
      <w:r>
        <w:t xml:space="preserve"> </w:t>
      </w:r>
      <w:r>
        <w:t xml:space="preserve">11(1), 41-111.</w:t>
      </w:r>
      <w:r>
        <w:t xml:space="preserve"> </w:t>
      </w:r>
      <w:hyperlink r:id="rId83">
        <w:r>
          <w:rPr>
            <w:rStyle w:val="Hyperlink"/>
          </w:rPr>
          <w:t xml:space="preserve">https://doi.org/10.3982/QE1288</w:t>
        </w:r>
      </w:hyperlink>
    </w:p>
    <w:p>
      <w:pPr>
        <w:pStyle w:val="BodyText"/>
      </w:pPr>
      <w:r>
        <w:t xml:space="preserve">Ministry of Land, Infrastructure and Transport (2026) Apartment sale transactions, detailed records (RTMSDataSvcAptTradeDev), monthly records for Seoul in the twelve months before each election studied (December 2011 to May 2026). Public Data Portal [in Korean]. Available at:</w:t>
      </w:r>
      <w:r>
        <w:t xml:space="preserve"> </w:t>
      </w:r>
      <w:hyperlink r:id="rId84">
        <w:r>
          <w:rPr>
            <w:rStyle w:val="Hyperlink"/>
          </w:rPr>
          <w:t xml:space="preserve">https://www.data.go.kr/</w:t>
        </w:r>
      </w:hyperlink>
      <w:r>
        <w:t xml:space="preserve"> </w:t>
      </w:r>
      <w:r>
        <w:t xml:space="preserve">(accessed 10 October 2026).</w:t>
      </w:r>
    </w:p>
    <w:p>
      <w:pPr>
        <w:pStyle w:val="BodyText"/>
      </w:pPr>
      <w:r>
        <w:t xml:space="preserve">Molinari, Francesca and Peski, Marcin (2006) Generalization of a result on</w:t>
      </w:r>
      <w:r>
        <w:t xml:space="preserve"> </w:t>
      </w:r>
      <w:r>
        <w:t xml:space="preserve">“</w:t>
      </w:r>
      <w:r>
        <w:t xml:space="preserve">Regressions, short and long</w:t>
      </w:r>
      <w:r>
        <w:t xml:space="preserve">”</w:t>
      </w:r>
      <w:r>
        <w:t xml:space="preserve">.</w:t>
      </w:r>
      <w:r>
        <w:t xml:space="preserve"> </w:t>
      </w:r>
      <w:r>
        <w:rPr>
          <w:iCs/>
          <w:i/>
        </w:rPr>
        <w:t xml:space="preserve">Econometric Theory</w:t>
      </w:r>
      <w:r>
        <w:t xml:space="preserve"> </w:t>
      </w:r>
      <w:r>
        <w:t xml:space="preserve">22(1), 159-163.</w:t>
      </w:r>
      <w:r>
        <w:t xml:space="preserve"> </w:t>
      </w:r>
      <w:hyperlink r:id="rId85">
        <w:r>
          <w:rPr>
            <w:rStyle w:val="Hyperlink"/>
          </w:rPr>
          <w:t xml:space="preserve">https://doi.org/10.1017/S0266466606060063</w:t>
        </w:r>
      </w:hyperlink>
    </w:p>
    <w:p>
      <w:pPr>
        <w:pStyle w:val="BodyText"/>
      </w:pPr>
      <w:r>
        <w:t xml:space="preserve">National Election Commission (2022a) Questions and answers on voting in the 8th nationwide local elections (web page) [in Korean], 29 April. Available at:</w:t>
      </w:r>
      <w:r>
        <w:t xml:space="preserve"> </w:t>
      </w:r>
      <w:hyperlink r:id="rId86">
        <w:r>
          <w:rPr>
            <w:rStyle w:val="Hyperlink"/>
          </w:rPr>
          <w:t xml:space="preserve">https://www.nec.go.kr/site/lvt/ex/bbs/View.do?cbIdx=1507&amp;bcIdx=178093</w:t>
        </w:r>
      </w:hyperlink>
      <w:r>
        <w:t xml:space="preserve"> </w:t>
      </w:r>
      <w:r>
        <w:t xml:space="preserve">(accessed 11 October 2026).</w:t>
      </w:r>
    </w:p>
    <w:p>
      <w:pPr>
        <w:pStyle w:val="BodyText"/>
      </w:pPr>
      <w:r>
        <w:t xml:space="preserve">National Election Commission (2022b) [Sasireun ireoseumnida 10pyeon] gwanoesajeontupyo, gaepyo paekteuchekeu jipjung yoyak (The facts, part 10: Out-of-zone early voting and vote counting, a fact-check summary) (web page) [in Korean], 20 February. Available at:</w:t>
      </w:r>
      <w:r>
        <w:t xml:space="preserve"> </w:t>
      </w:r>
      <w:hyperlink r:id="rId87">
        <w:r>
          <w:rPr>
            <w:rStyle w:val="Hyperlink"/>
          </w:rPr>
          <w:t xml:space="preserve">https://nec.go.kr/site/nec/ex/bbs/View.do?cbIdx=1147&amp;bcIdx=162661</w:t>
        </w:r>
      </w:hyperlink>
      <w:r>
        <w:t xml:space="preserve"> </w:t>
      </w:r>
      <w:r>
        <w:t xml:space="preserve">(accessed 11 October 2026).</w:t>
      </w:r>
    </w:p>
    <w:p>
      <w:pPr>
        <w:pStyle w:val="BodyText"/>
      </w:pPr>
      <w:r>
        <w:t xml:space="preserve">National Election Commission (2026) Official counting-unit returns, certified electorates by dong, and the 2026 table of constituencies and dongs and district-council returns, for the elections of 2012–2026.</w:t>
      </w:r>
      <w:r>
        <w:t xml:space="preserve"> </w:t>
      </w:r>
      <w:r>
        <w:rPr>
          <w:iCs/>
          <w:i/>
        </w:rPr>
        <w:t xml:space="preserve">Election Statistics System</w:t>
      </w:r>
      <w:r>
        <w:t xml:space="preserve"> </w:t>
      </w:r>
      <w:r>
        <w:t xml:space="preserve">and</w:t>
      </w:r>
      <w:r>
        <w:t xml:space="preserve"> </w:t>
      </w:r>
      <w:r>
        <w:rPr>
          <w:iCs/>
          <w:i/>
        </w:rPr>
        <w:t xml:space="preserve">Public Data Portal</w:t>
      </w:r>
      <w:r>
        <w:t xml:space="preserve"> </w:t>
      </w:r>
      <w:r>
        <w:t xml:space="preserve">(files listed in Online Appendix B.1). Available at:</w:t>
      </w:r>
      <w:r>
        <w:t xml:space="preserve"> </w:t>
      </w:r>
      <w:hyperlink r:id="rId88">
        <w:r>
          <w:rPr>
            <w:rStyle w:val="Hyperlink"/>
          </w:rPr>
          <w:t xml:space="preserve">https://info.nec.go.kr/</w:t>
        </w:r>
      </w:hyperlink>
      <w:r>
        <w:t xml:space="preserve"> </w:t>
      </w:r>
      <w:r>
        <w:t xml:space="preserve">and</w:t>
      </w:r>
      <w:r>
        <w:t xml:space="preserve"> </w:t>
      </w:r>
      <w:hyperlink r:id="rId84">
        <w:r>
          <w:rPr>
            <w:rStyle w:val="Hyperlink"/>
          </w:rPr>
          <w:t xml:space="preserve">https://www.data.go.kr/</w:t>
        </w:r>
      </w:hyperlink>
      <w:r>
        <w:t xml:space="preserve"> </w:t>
      </w:r>
      <w:r>
        <w:t xml:space="preserve">(accessed 11 October 2026).</w:t>
      </w:r>
    </w:p>
    <w:p>
      <w:pPr>
        <w:pStyle w:val="BodyText"/>
      </w:pPr>
      <w:r>
        <w:t xml:space="preserve">National Election Commission (n.d.) Regulations on Public Official Elections, Articles 16-2, 86(3) and 133(3), in the versions in force at each election studied; Article 86(3) as amended 24 December 2015 and Article 133(3) as amended 9 March 2018. Korean Law Information Center [in Korean]. Available at:</w:t>
      </w:r>
      <w:r>
        <w:t xml:space="preserve"> </w:t>
      </w:r>
      <w:hyperlink r:id="rId89">
        <w:r>
          <w:rPr>
            <w:rStyle w:val="Hyperlink"/>
          </w:rPr>
          <w:t xml:space="preserve">https://www.law.go.kr/%EB%B2%95%EB%A0%B9/%EA%B3%B5%EC%A7%81%EC%84%A0%EA%B1%B0%EA%B4%80%EB%A6%AC%EA%B7%9C%EC%B9%99</w:t>
        </w:r>
      </w:hyperlink>
      <w:r>
        <w:t xml:space="preserve"> </w:t>
      </w:r>
      <w:r>
        <w:t xml:space="preserve">(accessed 12 October 2026).</w:t>
      </w:r>
    </w:p>
    <w:p>
      <w:pPr>
        <w:pStyle w:val="BodyText"/>
      </w:pPr>
      <w:r>
        <w:t xml:space="preserve">Oh, Seongtaek and Park, Iseok (2013) Yugwonjaui jaesansangtae(apateusise)ga huboja deukpyoe michineun yeonghyange gwanhan yeongu: je19dae gukhoeuiwonseongeo seoulteukbyeolsireul jungsimeuro (A study on the influence of voters’ financial status (the market price of apartments) to the votes received of candidates: Focused on the 19th National Assembly election of Seoul district).</w:t>
      </w:r>
      <w:r>
        <w:t xml:space="preserve"> </w:t>
      </w:r>
      <w:r>
        <w:rPr>
          <w:iCs/>
          <w:i/>
        </w:rPr>
        <w:t xml:space="preserve">Journal of Policy Development</w:t>
      </w:r>
      <w:r>
        <w:t xml:space="preserve"> </w:t>
      </w:r>
      <w:r>
        <w:t xml:space="preserve">13(1), 171-193 [in Korean].</w:t>
      </w:r>
      <w:r>
        <w:t xml:space="preserve"> </w:t>
      </w:r>
      <w:hyperlink r:id="rId90">
        <w:r>
          <w:rPr>
            <w:rStyle w:val="Hyperlink"/>
          </w:rPr>
          <w:t xml:space="preserve">https://doi.org/10.35224/kapd.2013.13.1.007</w:t>
        </w:r>
      </w:hyperlink>
    </w:p>
    <w:p>
      <w:pPr>
        <w:pStyle w:val="BodyText"/>
      </w:pPr>
      <w:r>
        <w:t xml:space="preserve">Rambachan, Ashesh and Roth, Jonathan (2023) A more credible approach to parallel trends.</w:t>
      </w:r>
      <w:r>
        <w:t xml:space="preserve"> </w:t>
      </w:r>
      <w:r>
        <w:rPr>
          <w:iCs/>
          <w:i/>
        </w:rPr>
        <w:t xml:space="preserve">Review of Economic Studies</w:t>
      </w:r>
      <w:r>
        <w:t xml:space="preserve"> </w:t>
      </w:r>
      <w:r>
        <w:t xml:space="preserve">90(5), 2555-2591.</w:t>
      </w:r>
      <w:r>
        <w:t xml:space="preserve"> </w:t>
      </w:r>
      <w:hyperlink r:id="rId91">
        <w:r>
          <w:rPr>
            <w:rStyle w:val="Hyperlink"/>
          </w:rPr>
          <w:t xml:space="preserve">https://doi.org/10.1093/restud/rdad018</w:t>
        </w:r>
      </w:hyperlink>
    </w:p>
    <w:p>
      <w:pPr>
        <w:pStyle w:val="BodyText"/>
      </w:pPr>
      <w:r>
        <w:t xml:space="preserve">Ridder, Geert and Moffitt, Robert (2007) The econometrics of data combination. In Heckman, James J. and Leamer, Edward E. (eds),</w:t>
      </w:r>
      <w:r>
        <w:t xml:space="preserve"> </w:t>
      </w:r>
      <w:r>
        <w:rPr>
          <w:iCs/>
          <w:i/>
        </w:rPr>
        <w:t xml:space="preserve">Handbook of Econometrics</w:t>
      </w:r>
      <w:r>
        <w:t xml:space="preserve">, vol. 6B. Amsterdam: Elsevier, pp. 5469-5547.</w:t>
      </w:r>
      <w:r>
        <w:t xml:space="preserve"> </w:t>
      </w:r>
      <w:hyperlink r:id="rId92">
        <w:r>
          <w:rPr>
            <w:rStyle w:val="Hyperlink"/>
          </w:rPr>
          <w:t xml:space="preserve">https://doi.org/10.1016/S1573-4412(07)06075-8</w:t>
        </w:r>
      </w:hyperlink>
    </w:p>
    <w:p>
      <w:pPr>
        <w:pStyle w:val="BodyText"/>
      </w:pPr>
      <w:r>
        <w:t xml:space="preserve">Rodden, Jonathan A. (2019)</w:t>
      </w:r>
      <w:r>
        <w:t xml:space="preserve"> </w:t>
      </w:r>
      <w:r>
        <w:rPr>
          <w:iCs/>
          <w:i/>
        </w:rPr>
        <w:t xml:space="preserve">Why Cities Lose: The Deep Roots of the Urban-Rural Political Divide</w:t>
      </w:r>
      <w:r>
        <w:t xml:space="preserve">. New York: Basic Books.</w:t>
      </w:r>
    </w:p>
    <w:p>
      <w:pPr>
        <w:pStyle w:val="BodyText"/>
      </w:pPr>
      <w:r>
        <w:t xml:space="preserve">Seoul Metropolitan Government and KT (2026)</w:t>
      </w:r>
      <w:r>
        <w:t xml:space="preserve"> </w:t>
      </w:r>
      <w:r>
        <w:rPr>
          <w:iCs/>
          <w:i/>
        </w:rPr>
        <w:t xml:space="preserve">Seoul Living Mobility: Administrative-dong data</w:t>
      </w:r>
      <w:r>
        <w:t xml:space="preserve">. Monthly files for March 2022, April 2024, May 2025 and May 2026. Seoul Open Data Plaza [in Korean]. Available at:</w:t>
      </w:r>
      <w:r>
        <w:t xml:space="preserve"> </w:t>
      </w:r>
      <w:hyperlink r:id="rId93">
        <w:r>
          <w:rPr>
            <w:rStyle w:val="Hyperlink"/>
          </w:rPr>
          <w:t xml:space="preserve">https://data.seoul.go.kr/dataVisual/seoul/seoulLivingMigration.do</w:t>
        </w:r>
      </w:hyperlink>
      <w:r>
        <w:t xml:space="preserve"> </w:t>
      </w:r>
      <w:r>
        <w:t xml:space="preserve">(accessed 10 October 2026).</w:t>
      </w:r>
    </w:p>
    <w:p>
      <w:pPr>
        <w:pStyle w:val="BodyText"/>
      </w:pPr>
      <w:r>
        <w:t xml:space="preserve">Shin, Jungsub (2022) Je20dae daetongnyeong seongeoeseo natanan jutaeksoyuwa tupyoseontaek: hoegotupyo vs. jasantupyo (The effects of homeownership on vote choice in the 20th Korean presidential election: Retrospective voting vs. patrimonial voting).</w:t>
      </w:r>
      <w:r>
        <w:t xml:space="preserve"> </w:t>
      </w:r>
      <w:r>
        <w:rPr>
          <w:iCs/>
          <w:i/>
        </w:rPr>
        <w:t xml:space="preserve">Journal of Contemporary Politics</w:t>
      </w:r>
      <w:r>
        <w:t xml:space="preserve"> </w:t>
      </w:r>
      <w:r>
        <w:t xml:space="preserve">15(3), 5-33 [in Korean].</w:t>
      </w:r>
      <w:r>
        <w:t xml:space="preserve"> </w:t>
      </w:r>
      <w:hyperlink r:id="rId94">
        <w:r>
          <w:rPr>
            <w:rStyle w:val="Hyperlink"/>
          </w:rPr>
          <w:t xml:space="preserve">https://doi.org/10.52594/jcp.2022.12.15.3.5</w:t>
        </w:r>
      </w:hyperlink>
    </w:p>
    <w:p>
      <w:pPr>
        <w:pStyle w:val="BodyText"/>
      </w:pPr>
      <w:r>
        <w:t xml:space="preserve">Son, Nakgu (2008)</w:t>
      </w:r>
      <w:r>
        <w:t xml:space="preserve"> </w:t>
      </w:r>
      <w:r>
        <w:rPr>
          <w:iCs/>
          <w:i/>
        </w:rPr>
        <w:t xml:space="preserve">Budongsan gyegeupsahoe (Real Estate Class Society)</w:t>
      </w:r>
      <w:r>
        <w:t xml:space="preserve">. Seoul: Humanitas [in Korean].</w:t>
      </w:r>
    </w:p>
    <w:p>
      <w:pPr>
        <w:pStyle w:val="BodyText"/>
      </w:pPr>
      <w:r>
        <w:t xml:space="preserve">Son, Nakgu (2010)</w:t>
      </w:r>
      <w:r>
        <w:t xml:space="preserve"> </w:t>
      </w:r>
      <w:r>
        <w:rPr>
          <w:iCs/>
          <w:i/>
        </w:rPr>
        <w:t xml:space="preserve">Daehanminguk jeongchisahoejido: sudogwonpyeon (A Political-Social Atlas of Korea: The Capital Region)</w:t>
      </w:r>
      <w:r>
        <w:t xml:space="preserve">. Seoul: Humanitas [in Korean].</w:t>
      </w:r>
    </w:p>
    <w:p>
      <w:pPr>
        <w:pStyle w:val="BodyText"/>
      </w:pPr>
      <w:r>
        <w:t xml:space="preserve">Song, B. K. and Kang, Woo Chang (2025) Inequality, local wealth, and electoral politics.</w:t>
      </w:r>
      <w:r>
        <w:t xml:space="preserve"> </w:t>
      </w:r>
      <w:r>
        <w:rPr>
          <w:iCs/>
          <w:i/>
        </w:rPr>
        <w:t xml:space="preserve">European Journal of Political Economy</w:t>
      </w:r>
      <w:r>
        <w:t xml:space="preserve"> </w:t>
      </w:r>
      <w:r>
        <w:t xml:space="preserve">86, 102617.</w:t>
      </w:r>
      <w:r>
        <w:t xml:space="preserve"> </w:t>
      </w:r>
      <w:hyperlink r:id="rId95">
        <w:r>
          <w:rPr>
            <w:rStyle w:val="Hyperlink"/>
          </w:rPr>
          <w:t xml:space="preserve">https://doi.org/10.1016/j.ejpoleco.2024.102617</w:t>
        </w:r>
      </w:hyperlink>
    </w:p>
    <w:p>
      <w:pPr>
        <w:pStyle w:val="BodyText"/>
      </w:pPr>
      <w:r>
        <w:t xml:space="preserve">Stoye, Jörg (2009) More on confidence intervals for partially identified parameters.</w:t>
      </w:r>
      <w:r>
        <w:t xml:space="preserve"> </w:t>
      </w:r>
      <w:r>
        <w:rPr>
          <w:iCs/>
          <w:i/>
        </w:rPr>
        <w:t xml:space="preserve">Econometrica</w:t>
      </w:r>
      <w:r>
        <w:t xml:space="preserve"> </w:t>
      </w:r>
      <w:r>
        <w:t xml:space="preserve">77(4), 1299-1315.</w:t>
      </w:r>
      <w:r>
        <w:t xml:space="preserve"> </w:t>
      </w:r>
      <w:hyperlink r:id="rId96">
        <w:r>
          <w:rPr>
            <w:rStyle w:val="Hyperlink"/>
          </w:rPr>
          <w:t xml:space="preserve">https://doi.org/10.3982/ECTA7347</w:t>
        </w:r>
      </w:hyperlink>
    </w:p>
    <w:p>
      <w:pPr>
        <w:pStyle w:val="BodyText"/>
      </w:pPr>
      <w:r>
        <w:t xml:space="preserve">Tamer, Elie (2010) Partial identification in econometrics.</w:t>
      </w:r>
      <w:r>
        <w:t xml:space="preserve"> </w:t>
      </w:r>
      <w:r>
        <w:rPr>
          <w:iCs/>
          <w:i/>
        </w:rPr>
        <w:t xml:space="preserve">Annual Review of Economics</w:t>
      </w:r>
      <w:r>
        <w:t xml:space="preserve"> </w:t>
      </w:r>
      <w:r>
        <w:t xml:space="preserve">2, 167-195.</w:t>
      </w:r>
      <w:r>
        <w:t xml:space="preserve"> </w:t>
      </w:r>
      <w:hyperlink r:id="rId97">
        <w:r>
          <w:rPr>
            <w:rStyle w:val="Hyperlink"/>
          </w:rPr>
          <w:t xml:space="preserve">https://doi.org/10.1146/annurev.economics.050708.143401</w:t>
        </w:r>
      </w:hyperlink>
    </w:p>
    <w:p>
      <w:pPr>
        <w:pStyle w:val="BodyText"/>
      </w:pPr>
      <w:r>
        <w:t xml:space="preserve">vuski (2026)</w:t>
      </w:r>
      <w:r>
        <w:t xml:space="preserve"> </w:t>
      </w:r>
      <w:r>
        <w:rPr>
          <w:iCs/>
          <w:i/>
        </w:rPr>
        <w:t xml:space="preserve">admdongkor: Administrative-dong boundaries of the Republic of Korea</w:t>
      </w:r>
      <w:r>
        <w:t xml:space="preserve">, version 20260401. Available at:</w:t>
      </w:r>
      <w:r>
        <w:t xml:space="preserve"> </w:t>
      </w:r>
      <w:hyperlink r:id="rId98">
        <w:r>
          <w:rPr>
            <w:rStyle w:val="Hyperlink"/>
          </w:rPr>
          <w:t xml:space="preserve">https://github.com/vuski/admdongkor</w:t>
        </w:r>
      </w:hyperlink>
      <w:r>
        <w:t xml:space="preserve"> </w:t>
      </w:r>
      <w:r>
        <w:t xml:space="preserve">(accessed 10 October 2026).</w:t>
      </w:r>
    </w:p>
    <w:p>
      <w:pPr>
        <w:pStyle w:val="BodyText"/>
      </w:pPr>
      <w:r>
        <w:t xml:space="preserve">Wakefield, Jon (2004) Ecological inference for 2 × 2 tables.</w:t>
      </w:r>
      <w:r>
        <w:t xml:space="preserve"> </w:t>
      </w:r>
      <w:r>
        <w:rPr>
          <w:iCs/>
          <w:i/>
        </w:rPr>
        <w:t xml:space="preserve">Journal of the Royal Statistical Society: Series A</w:t>
      </w:r>
      <w:r>
        <w:t xml:space="preserve"> </w:t>
      </w:r>
      <w:r>
        <w:t xml:space="preserve">167(3), 385-425.</w:t>
      </w:r>
      <w:r>
        <w:t xml:space="preserve"> </w:t>
      </w:r>
      <w:hyperlink r:id="rId99">
        <w:r>
          <w:rPr>
            <w:rStyle w:val="Hyperlink"/>
          </w:rPr>
          <w:t xml:space="preserve">https://doi.org/10.1111/j.1467-985x.2004.02046_1.x</w:t>
        </w:r>
      </w:hyperlink>
    </w:p>
    <w:p>
      <w:pPr>
        <w:pStyle w:val="BodyText"/>
      </w:pPr>
      <w:r>
        <w:t xml:space="preserve">Yun, Miyoung and Jun, Myung-Jin (2024) Jutaekgagyeok byeondongi 20dae daetongnyeong seongeo jiji jeongdang hubo byeonhwae michineun yeonghyang bunseok: jeonguk haengjeongdong danwi tupyogyeolgwareul jungsimeuro (The impact of housing price changes on swing voters in the 20th presidential election: Focused on national voting results by administrative districts).</w:t>
      </w:r>
      <w:r>
        <w:t xml:space="preserve"> </w:t>
      </w:r>
      <w:r>
        <w:rPr>
          <w:iCs/>
          <w:i/>
        </w:rPr>
        <w:t xml:space="preserve">Journal of Korea Planning Association</w:t>
      </w:r>
      <w:r>
        <w:t xml:space="preserve"> </w:t>
      </w:r>
      <w:r>
        <w:t xml:space="preserve">59(2), 121-132 [in Korean].</w:t>
      </w:r>
      <w:r>
        <w:t xml:space="preserve"> </w:t>
      </w:r>
      <w:hyperlink r:id="rId100">
        <w:r>
          <w:rPr>
            <w:rStyle w:val="Hyperlink"/>
          </w:rPr>
          <w:t xml:space="preserve">https://doi.org/10.17208/jkpa.2024.04.59.2.121</w:t>
        </w:r>
      </w:hyperlink>
    </w:p>
    <w:bookmarkEnd w:id="101"/>
    <w:sectPr>
      <w:pgMar w:top="1417" w:bottom="1417" w:left="1417" w:right="1417"/>
      <w:pgSz w:w="11906" w:h="16838" w:orient="portrait"/>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Batang" w:hAnsi="Times New Roman"/>
        <w:sz w:val="22"/>
        <w:szCs w:val="22"/>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57"/>
        <w:bottom w:type="dxa" w:w="0"/>
        <w:right w:type="dxa" w:w="57"/>
      </w:tblCellMar>
    </w:tblPr>
    <w:rPr>
      <w:sz w:val="18"/>
      <w:szCs w:val="18"/>
    </w:r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30" Type="http://schemas.openxmlformats.org/officeDocument/2006/relationships/image" Target="media/rId30.png"/><Relationship Id="rId34" Type="http://schemas.openxmlformats.org/officeDocument/2006/relationships/image" Target="media/rId34.png"/><Relationship Id="rId40" Type="http://schemas.openxmlformats.org/officeDocument/2006/relationships/image" Target="media/rId40.png"/><Relationship Id="rId93" Type="http://schemas.openxmlformats.org/officeDocument/2006/relationships/hyperlink" Target="https://data.seoul.go.kr/dataVisual/seoul/seoulLivingMigration.do" TargetMode="External"/><Relationship Id="rId68" Type="http://schemas.openxmlformats.org/officeDocument/2006/relationships/hyperlink" Target="https://doi.org/10.1007/s11109-024-09975-1" TargetMode="External"/><Relationship Id="rId92" Type="http://schemas.openxmlformats.org/officeDocument/2006/relationships/hyperlink" Target="https://doi.org/10.1016/S1573-4412(07)06075-8" TargetMode="External"/><Relationship Id="rId95" Type="http://schemas.openxmlformats.org/officeDocument/2006/relationships/hyperlink" Target="https://doi.org/10.1016/j.ejpoleco.2024.102617" TargetMode="External"/><Relationship Id="rId51" Type="http://schemas.openxmlformats.org/officeDocument/2006/relationships/hyperlink" Target="https://doi.org/10.1017/S0003055414000045" TargetMode="External"/><Relationship Id="rId67" Type="http://schemas.openxmlformats.org/officeDocument/2006/relationships/hyperlink" Target="https://doi.org/10.1017/S0003055418000035" TargetMode="External"/><Relationship Id="rId77" Type="http://schemas.openxmlformats.org/officeDocument/2006/relationships/hyperlink" Target="https://doi.org/10.1017/S0003055419000029" TargetMode="External"/><Relationship Id="rId75" Type="http://schemas.openxmlformats.org/officeDocument/2006/relationships/hyperlink" Target="https://doi.org/10.1017/S0003055420000039" TargetMode="External"/><Relationship Id="rId85" Type="http://schemas.openxmlformats.org/officeDocument/2006/relationships/hyperlink" Target="https://doi.org/10.1017/S0266466606060063" TargetMode="External"/><Relationship Id="rId65" Type="http://schemas.openxmlformats.org/officeDocument/2006/relationships/hyperlink" Target="https://doi.org/10.1017/S146810992400001X" TargetMode="External"/><Relationship Id="rId66" Type="http://schemas.openxmlformats.org/officeDocument/2006/relationships/hyperlink" Target="https://doi.org/10.1017/S1468109925100224" TargetMode="External"/><Relationship Id="rId71" Type="http://schemas.openxmlformats.org/officeDocument/2006/relationships/hyperlink" Target="https://doi.org/10.1017/pan.2019.19" TargetMode="External"/><Relationship Id="rId79" Type="http://schemas.openxmlformats.org/officeDocument/2006/relationships/hyperlink" Target="https://doi.org/10.1017/pan.2025.2" TargetMode="External"/><Relationship Id="rId59" Type="http://schemas.openxmlformats.org/officeDocument/2006/relationships/hyperlink" Target="https://doi.org/10.1017/pan.2026.10048" TargetMode="External"/><Relationship Id="rId55" Type="http://schemas.openxmlformats.org/officeDocument/2006/relationships/hyperlink" Target="https://doi.org/10.1038/s41597-022-01745-0" TargetMode="External"/><Relationship Id="rId49" Type="http://schemas.openxmlformats.org/officeDocument/2006/relationships/hyperlink" Target="https://doi.org/10.1080/01402382.2019.1615322" TargetMode="External"/><Relationship Id="rId82" Type="http://schemas.openxmlformats.org/officeDocument/2006/relationships/hyperlink" Target="https://doi.org/10.1086/711717" TargetMode="External"/><Relationship Id="rId64" Type="http://schemas.openxmlformats.org/officeDocument/2006/relationships/hyperlink" Target="https://doi.org/10.1086/714932" TargetMode="External"/><Relationship Id="rId53" Type="http://schemas.openxmlformats.org/officeDocument/2006/relationships/hyperlink" Target="https://doi.org/10.1086/718354" TargetMode="External"/><Relationship Id="rId56" Type="http://schemas.openxmlformats.org/officeDocument/2006/relationships/hyperlink" Target="https://doi.org/10.1093/oxfordhb/9780199286546.003.0024" TargetMode="External"/><Relationship Id="rId69" Type="http://schemas.openxmlformats.org/officeDocument/2006/relationships/hyperlink" Target="https://doi.org/10.1093/pan/mpm017" TargetMode="External"/><Relationship Id="rId50" Type="http://schemas.openxmlformats.org/officeDocument/2006/relationships/hyperlink" Target="https://doi.org/10.1093/poq/nfx001" TargetMode="External"/><Relationship Id="rId91" Type="http://schemas.openxmlformats.org/officeDocument/2006/relationships/hyperlink" Target="https://doi.org/10.1093/restud/rdad018" TargetMode="External"/><Relationship Id="rId60" Type="http://schemas.openxmlformats.org/officeDocument/2006/relationships/hyperlink" Target="https://doi.org/10.1093/restud/rdy049" TargetMode="External"/><Relationship Id="rId57" Type="http://schemas.openxmlformats.org/officeDocument/2006/relationships/hyperlink" Target="https://doi.org/10.1111/1468-0262.00279" TargetMode="External"/><Relationship Id="rId62" Type="http://schemas.openxmlformats.org/officeDocument/2006/relationships/hyperlink" Target="https://doi.org/10.1111/j.1467-985X.2008.00551.x" TargetMode="External"/><Relationship Id="rId99" Type="http://schemas.openxmlformats.org/officeDocument/2006/relationships/hyperlink" Target="https://doi.org/10.1111/j.1467-985x.2004.02046_1.x" TargetMode="External"/><Relationship Id="rId70" Type="http://schemas.openxmlformats.org/officeDocument/2006/relationships/hyperlink" Target="https://doi.org/10.1111/j.1468-0262.2004.00555.x" TargetMode="External"/><Relationship Id="rId52" Type="http://schemas.openxmlformats.org/officeDocument/2006/relationships/hyperlink" Target="https://doi.org/10.1146/annurev-polisci-050317-071146" TargetMode="External"/><Relationship Id="rId97" Type="http://schemas.openxmlformats.org/officeDocument/2006/relationships/hyperlink" Target="https://doi.org/10.1146/annurev.economics.050708.143401" TargetMode="External"/><Relationship Id="rId63" Type="http://schemas.openxmlformats.org/officeDocument/2006/relationships/hyperlink" Target="https://doi.org/10.1146/annurev.polisci.11.053006.190912" TargetMode="External"/><Relationship Id="rId81" Type="http://schemas.openxmlformats.org/officeDocument/2006/relationships/hyperlink" Target="https://doi.org/10.1162/REST_a_00689" TargetMode="External"/><Relationship Id="rId54" Type="http://schemas.openxmlformats.org/officeDocument/2006/relationships/hyperlink" Target="https://doi.org/10.1177/1078087419827645" TargetMode="External"/><Relationship Id="rId73" Type="http://schemas.openxmlformats.org/officeDocument/2006/relationships/hyperlink" Target="https://doi.org/10.1257/app.20180192" TargetMode="External"/><Relationship Id="rId100" Type="http://schemas.openxmlformats.org/officeDocument/2006/relationships/hyperlink" Target="https://doi.org/10.17208/jkpa.2024.04.59.2.121" TargetMode="External"/><Relationship Id="rId72" Type="http://schemas.openxmlformats.org/officeDocument/2006/relationships/hyperlink" Target="https://doi.org/10.18854/kpsr.2021.55.2.004" TargetMode="External"/><Relationship Id="rId74" Type="http://schemas.openxmlformats.org/officeDocument/2006/relationships/hyperlink" Target="https://doi.org/10.18854/kpsr.2022.56.1.007" TargetMode="External"/><Relationship Id="rId58" Type="http://schemas.openxmlformats.org/officeDocument/2006/relationships/hyperlink" Target="https://doi.org/10.2307/2088122" TargetMode="External"/><Relationship Id="rId80" Type="http://schemas.openxmlformats.org/officeDocument/2006/relationships/hyperlink" Target="https://doi.org/10.32355/OUGHTOPIA.2019.08.34.2.121" TargetMode="External"/><Relationship Id="rId90" Type="http://schemas.openxmlformats.org/officeDocument/2006/relationships/hyperlink" Target="https://doi.org/10.35224/kapd.2013.13.1.007" TargetMode="External"/><Relationship Id="rId48" Type="http://schemas.openxmlformats.org/officeDocument/2006/relationships/hyperlink" Target="https://doi.org/10.3982/ECTA12675" TargetMode="External"/><Relationship Id="rId61" Type="http://schemas.openxmlformats.org/officeDocument/2006/relationships/hyperlink" Target="https://doi.org/10.3982/ECTA18979" TargetMode="External"/><Relationship Id="rId96" Type="http://schemas.openxmlformats.org/officeDocument/2006/relationships/hyperlink" Target="https://doi.org/10.3982/ECTA7347" TargetMode="External"/><Relationship Id="rId83" Type="http://schemas.openxmlformats.org/officeDocument/2006/relationships/hyperlink" Target="https://doi.org/10.3982/QE1288" TargetMode="External"/><Relationship Id="rId94" Type="http://schemas.openxmlformats.org/officeDocument/2006/relationships/hyperlink" Target="https://doi.org/10.52594/jcp.2022.12.15.3.5" TargetMode="External"/><Relationship Id="rId98" Type="http://schemas.openxmlformats.org/officeDocument/2006/relationships/hyperlink" Target="https://github.com/vuski/admdongkor" TargetMode="External"/><Relationship Id="rId78" Type="http://schemas.openxmlformats.org/officeDocument/2006/relationships/hyperlink" Target="https://hrcopinion.co.kr/archives/36779" TargetMode="External"/><Relationship Id="rId88" Type="http://schemas.openxmlformats.org/officeDocument/2006/relationships/hyperlink" Target="https://info.nec.go.kr/" TargetMode="External"/><Relationship Id="rId87" Type="http://schemas.openxmlformats.org/officeDocument/2006/relationships/hyperlink" Target="https://nec.go.kr/site/nec/ex/bbs/View.do?cbIdx=1147&amp;bcIdx=162661" TargetMode="External"/><Relationship Id="rId84" Type="http://schemas.openxmlformats.org/officeDocument/2006/relationships/hyperlink" Target="https://www.data.go.kr/" TargetMode="External"/><Relationship Id="rId89" Type="http://schemas.openxmlformats.org/officeDocument/2006/relationships/hyperlink" Target="https://www.law.go.kr/%EB%B2%95%EB%A0%B9/%EA%B3%B5%EC%A7%81%EC%84%A0%EA%B1%B0%EA%B4%80%EB%A6%AC%EA%B7%9C%EC%B9%99" TargetMode="External"/><Relationship Id="rId76" Type="http://schemas.openxmlformats.org/officeDocument/2006/relationships/hyperlink" Target="https://www.law.go.kr/%EB%B2%95%EB%A0%B9/%EA%B3%B5%EC%A7%81%EC%84%A0%EA%B1%B0%EB%B2%95" TargetMode="External"/><Relationship Id="rId86" Type="http://schemas.openxmlformats.org/officeDocument/2006/relationships/hyperlink" Target="https://www.nec.go.kr/site/lvt/ex/bbs/View.do?cbIdx=1507&amp;bcIdx=178093" TargetMode="External"/></Relationships>
</file>

<file path=word/_rels/footnotes.xml.rels><?xml version='1.0' encoding='UTF-8' standalone='yes'?>
<Relationships xmlns="http://schemas.openxmlformats.org/package/2006/relationships"><Relationship Id="rId93" Type="http://schemas.openxmlformats.org/officeDocument/2006/relationships/hyperlink" Target="https://data.seoul.go.kr/dataVisual/seoul/seoulLivingMigration.do" TargetMode="External"/><Relationship Id="rId68" Type="http://schemas.openxmlformats.org/officeDocument/2006/relationships/hyperlink" Target="https://doi.org/10.1007/s11109-024-09975-1" TargetMode="External"/><Relationship Id="rId92" Type="http://schemas.openxmlformats.org/officeDocument/2006/relationships/hyperlink" Target="https://doi.org/10.1016/S1573-4412(07)06075-8" TargetMode="External"/><Relationship Id="rId95" Type="http://schemas.openxmlformats.org/officeDocument/2006/relationships/hyperlink" Target="https://doi.org/10.1016/j.ejpoleco.2024.102617" TargetMode="External"/><Relationship Id="rId51" Type="http://schemas.openxmlformats.org/officeDocument/2006/relationships/hyperlink" Target="https://doi.org/10.1017/S0003055414000045" TargetMode="External"/><Relationship Id="rId67" Type="http://schemas.openxmlformats.org/officeDocument/2006/relationships/hyperlink" Target="https://doi.org/10.1017/S0003055418000035" TargetMode="External"/><Relationship Id="rId77" Type="http://schemas.openxmlformats.org/officeDocument/2006/relationships/hyperlink" Target="https://doi.org/10.1017/S0003055419000029" TargetMode="External"/><Relationship Id="rId75" Type="http://schemas.openxmlformats.org/officeDocument/2006/relationships/hyperlink" Target="https://doi.org/10.1017/S0003055420000039" TargetMode="External"/><Relationship Id="rId85" Type="http://schemas.openxmlformats.org/officeDocument/2006/relationships/hyperlink" Target="https://doi.org/10.1017/S0266466606060063" TargetMode="External"/><Relationship Id="rId65" Type="http://schemas.openxmlformats.org/officeDocument/2006/relationships/hyperlink" Target="https://doi.org/10.1017/S146810992400001X" TargetMode="External"/><Relationship Id="rId66" Type="http://schemas.openxmlformats.org/officeDocument/2006/relationships/hyperlink" Target="https://doi.org/10.1017/S1468109925100224" TargetMode="External"/><Relationship Id="rId71" Type="http://schemas.openxmlformats.org/officeDocument/2006/relationships/hyperlink" Target="https://doi.org/10.1017/pan.2019.19" TargetMode="External"/><Relationship Id="rId79" Type="http://schemas.openxmlformats.org/officeDocument/2006/relationships/hyperlink" Target="https://doi.org/10.1017/pan.2025.2" TargetMode="External"/><Relationship Id="rId59" Type="http://schemas.openxmlformats.org/officeDocument/2006/relationships/hyperlink" Target="https://doi.org/10.1017/pan.2026.10048" TargetMode="External"/><Relationship Id="rId55" Type="http://schemas.openxmlformats.org/officeDocument/2006/relationships/hyperlink" Target="https://doi.org/10.1038/s41597-022-01745-0" TargetMode="External"/><Relationship Id="rId49" Type="http://schemas.openxmlformats.org/officeDocument/2006/relationships/hyperlink" Target="https://doi.org/10.1080/01402382.2019.1615322" TargetMode="External"/><Relationship Id="rId82" Type="http://schemas.openxmlformats.org/officeDocument/2006/relationships/hyperlink" Target="https://doi.org/10.1086/711717" TargetMode="External"/><Relationship Id="rId64" Type="http://schemas.openxmlformats.org/officeDocument/2006/relationships/hyperlink" Target="https://doi.org/10.1086/714932" TargetMode="External"/><Relationship Id="rId53" Type="http://schemas.openxmlformats.org/officeDocument/2006/relationships/hyperlink" Target="https://doi.org/10.1086/718354" TargetMode="External"/><Relationship Id="rId56" Type="http://schemas.openxmlformats.org/officeDocument/2006/relationships/hyperlink" Target="https://doi.org/10.1093/oxfordhb/9780199286546.003.0024" TargetMode="External"/><Relationship Id="rId69" Type="http://schemas.openxmlformats.org/officeDocument/2006/relationships/hyperlink" Target="https://doi.org/10.1093/pan/mpm017" TargetMode="External"/><Relationship Id="rId50" Type="http://schemas.openxmlformats.org/officeDocument/2006/relationships/hyperlink" Target="https://doi.org/10.1093/poq/nfx001" TargetMode="External"/><Relationship Id="rId91" Type="http://schemas.openxmlformats.org/officeDocument/2006/relationships/hyperlink" Target="https://doi.org/10.1093/restud/rdad018" TargetMode="External"/><Relationship Id="rId60" Type="http://schemas.openxmlformats.org/officeDocument/2006/relationships/hyperlink" Target="https://doi.org/10.1093/restud/rdy049" TargetMode="External"/><Relationship Id="rId57" Type="http://schemas.openxmlformats.org/officeDocument/2006/relationships/hyperlink" Target="https://doi.org/10.1111/1468-0262.00279" TargetMode="External"/><Relationship Id="rId62" Type="http://schemas.openxmlformats.org/officeDocument/2006/relationships/hyperlink" Target="https://doi.org/10.1111/j.1467-985X.2008.00551.x" TargetMode="External"/><Relationship Id="rId99" Type="http://schemas.openxmlformats.org/officeDocument/2006/relationships/hyperlink" Target="https://doi.org/10.1111/j.1467-985x.2004.02046_1.x" TargetMode="External"/><Relationship Id="rId70" Type="http://schemas.openxmlformats.org/officeDocument/2006/relationships/hyperlink" Target="https://doi.org/10.1111/j.1468-0262.2004.00555.x" TargetMode="External"/><Relationship Id="rId52" Type="http://schemas.openxmlformats.org/officeDocument/2006/relationships/hyperlink" Target="https://doi.org/10.1146/annurev-polisci-050317-071146" TargetMode="External"/><Relationship Id="rId97" Type="http://schemas.openxmlformats.org/officeDocument/2006/relationships/hyperlink" Target="https://doi.org/10.1146/annurev.economics.050708.143401" TargetMode="External"/><Relationship Id="rId63" Type="http://schemas.openxmlformats.org/officeDocument/2006/relationships/hyperlink" Target="https://doi.org/10.1146/annurev.polisci.11.053006.190912" TargetMode="External"/><Relationship Id="rId81" Type="http://schemas.openxmlformats.org/officeDocument/2006/relationships/hyperlink" Target="https://doi.org/10.1162/REST_a_00689" TargetMode="External"/><Relationship Id="rId54" Type="http://schemas.openxmlformats.org/officeDocument/2006/relationships/hyperlink" Target="https://doi.org/10.1177/1078087419827645" TargetMode="External"/><Relationship Id="rId73" Type="http://schemas.openxmlformats.org/officeDocument/2006/relationships/hyperlink" Target="https://doi.org/10.1257/app.20180192" TargetMode="External"/><Relationship Id="rId100" Type="http://schemas.openxmlformats.org/officeDocument/2006/relationships/hyperlink" Target="https://doi.org/10.17208/jkpa.2024.04.59.2.121" TargetMode="External"/><Relationship Id="rId72" Type="http://schemas.openxmlformats.org/officeDocument/2006/relationships/hyperlink" Target="https://doi.org/10.18854/kpsr.2021.55.2.004" TargetMode="External"/><Relationship Id="rId74" Type="http://schemas.openxmlformats.org/officeDocument/2006/relationships/hyperlink" Target="https://doi.org/10.18854/kpsr.2022.56.1.007" TargetMode="External"/><Relationship Id="rId58" Type="http://schemas.openxmlformats.org/officeDocument/2006/relationships/hyperlink" Target="https://doi.org/10.2307/2088122" TargetMode="External"/><Relationship Id="rId80" Type="http://schemas.openxmlformats.org/officeDocument/2006/relationships/hyperlink" Target="https://doi.org/10.32355/OUGHTOPIA.2019.08.34.2.121" TargetMode="External"/><Relationship Id="rId90" Type="http://schemas.openxmlformats.org/officeDocument/2006/relationships/hyperlink" Target="https://doi.org/10.35224/kapd.2013.13.1.007" TargetMode="External"/><Relationship Id="rId48" Type="http://schemas.openxmlformats.org/officeDocument/2006/relationships/hyperlink" Target="https://doi.org/10.3982/ECTA12675" TargetMode="External"/><Relationship Id="rId61" Type="http://schemas.openxmlformats.org/officeDocument/2006/relationships/hyperlink" Target="https://doi.org/10.3982/ECTA18979" TargetMode="External"/><Relationship Id="rId96" Type="http://schemas.openxmlformats.org/officeDocument/2006/relationships/hyperlink" Target="https://doi.org/10.3982/ECTA7347" TargetMode="External"/><Relationship Id="rId83" Type="http://schemas.openxmlformats.org/officeDocument/2006/relationships/hyperlink" Target="https://doi.org/10.3982/QE1288" TargetMode="External"/><Relationship Id="rId94" Type="http://schemas.openxmlformats.org/officeDocument/2006/relationships/hyperlink" Target="https://doi.org/10.52594/jcp.2022.12.15.3.5" TargetMode="External"/><Relationship Id="rId98" Type="http://schemas.openxmlformats.org/officeDocument/2006/relationships/hyperlink" Target="https://github.com/vuski/admdongkor" TargetMode="External"/><Relationship Id="rId78" Type="http://schemas.openxmlformats.org/officeDocument/2006/relationships/hyperlink" Target="https://hrcopinion.co.kr/archives/36779" TargetMode="External"/><Relationship Id="rId88" Type="http://schemas.openxmlformats.org/officeDocument/2006/relationships/hyperlink" Target="https://info.nec.go.kr/" TargetMode="External"/><Relationship Id="rId87" Type="http://schemas.openxmlformats.org/officeDocument/2006/relationships/hyperlink" Target="https://nec.go.kr/site/nec/ex/bbs/View.do?cbIdx=1147&amp;bcIdx=162661" TargetMode="External"/><Relationship Id="rId84" Type="http://schemas.openxmlformats.org/officeDocument/2006/relationships/hyperlink" Target="https://www.data.go.kr/" TargetMode="External"/><Relationship Id="rId89" Type="http://schemas.openxmlformats.org/officeDocument/2006/relationships/hyperlink" Target="https://www.law.go.kr/%EB%B2%95%EB%A0%B9/%EA%B3%B5%EC%A7%81%EC%84%A0%EA%B1%B0%EA%B4%80%EB%A6%AC%EA%B7%9C%EC%B9%99" TargetMode="External"/><Relationship Id="rId76" Type="http://schemas.openxmlformats.org/officeDocument/2006/relationships/hyperlink" Target="https://www.law.go.kr/%EB%B2%95%EB%A0%B9/%EA%B3%B5%EC%A7%81%EC%84%A0%EA%B1%B0%EB%B2%95" TargetMode="External"/><Relationship Id="rId86" Type="http://schemas.openxmlformats.org/officeDocument/2006/relationships/hyperlink" Target="https://www.nec.go.kr/site/lvt/ex/bbs/View.do?cbIdx=1507&amp;bcIdx=17809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Votes Without Neighborhoods: Housing Prices and the Geography of Conservative Voting in Seoul</dc:title>
  <dc:creator/>
  <cp:keywords/>
  <dcterms:created xsi:type="dcterms:W3CDTF">2026-10-14T09:51:16Z</dcterms:created>
  <dcterms:modified xsi:type="dcterms:W3CDTF">2026-10-14T09:51:16Z</dcterms:modified>
  <cp:lastModifiedBy/>
</cp:coreProperties>
</file>

<file path=docProps/custom.xml><?xml version="1.0" encoding="utf-8"?>
<Properties xmlns="http://schemas.openxmlformats.org/officeDocument/2006/custom-properties" xmlns:vt="http://schemas.openxmlformats.org/officeDocument/2006/docPropsVTypes"/>
</file>