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E0397" w14:textId="0524BA54" w:rsidR="00FC3EAF" w:rsidRPr="00FC3EAF" w:rsidRDefault="00FC3EAF" w:rsidP="00FC3EAF">
      <w:r w:rsidRPr="00FC3EAF">
        <w:t xml:space="preserve">Associate Editor Comments to Author: </w:t>
      </w:r>
      <w:r w:rsidRPr="00FC3EAF">
        <w:br/>
      </w:r>
      <w:r w:rsidRPr="00FC3EAF">
        <w:br/>
        <w:t xml:space="preserve">Associate Editor </w:t>
      </w:r>
      <w:r w:rsidRPr="00FC3EAF">
        <w:br/>
        <w:t xml:space="preserve">Comments to the Author: </w:t>
      </w:r>
      <w:r w:rsidRPr="00FC3EAF">
        <w:br/>
        <w:t>This manuscript presents “Sentinel,” a governance</w:t>
      </w:r>
      <w:r w:rsidRPr="00FC3EAF">
        <w:noBreakHyphen/>
        <w:t>oriented multi</w:t>
      </w:r>
      <w:r w:rsidRPr="00FC3EAF">
        <w:noBreakHyphen/>
        <w:t>agent RAG architecture for enterprise policy compliance. In my view, the work is timely and relevant for JAIKE’s readership: it addresses the real and growing need for traceable, policy</w:t>
      </w:r>
      <w:r w:rsidRPr="00FC3EAF">
        <w:noBreakHyphen/>
        <w:t>constrained generative AI systems in regulated environments rather than proposing yet another generic RAG configuration. The emphasis on responsibility</w:t>
      </w:r>
      <w:r w:rsidRPr="00FC3EAF">
        <w:noBreakHyphen/>
        <w:t xml:space="preserve">scoped agents (retrieval, reranking, fact verification, compliance enforcement, answer generation), explicit governance boundaries, and integrated observability infrastructure is a genuine strength. </w:t>
      </w:r>
      <w:r w:rsidRPr="00FC3EAF">
        <w:br/>
      </w:r>
      <w:r w:rsidRPr="00FC3EAF">
        <w:br/>
        <w:t>My main reservations are: (i) the evaluation, while competent, leans heavily on RAGAS</w:t>
      </w:r>
      <w:r w:rsidRPr="00FC3EAF">
        <w:noBreakHyphen/>
        <w:t xml:space="preserve">type metrics that are proxies for governance properties (faithfulness, context precision) and only partially capture compliance correctness and risk reduction; and (ii) the alignment to external AI governance and regulatory frameworks is present but could be made more concrete and prominent. These issues seem addressable in a revision. I do not see fundamental methodological flaws or ethical concerns. The architecture is plausibly implementable and appears consistent with best practices in enterprise AI and MLOps. </w:t>
      </w:r>
      <w:r w:rsidRPr="00FC3EAF">
        <w:br/>
      </w:r>
      <w:r w:rsidRPr="00FC3EAF">
        <w:br/>
        <w:t>On balance, I recommend major revision. I believe the paper has the potential to become a useful reference for practitioners and researchers working on governance</w:t>
      </w:r>
      <w:r w:rsidRPr="00FC3EAF">
        <w:noBreakHyphen/>
        <w:t>oriented AI systems, but it would benefit from a clearer, more consolidated contribution framing and stronger visibility of governance</w:t>
      </w:r>
      <w:r w:rsidRPr="00FC3EAF">
        <w:noBreakHyphen/>
        <w:t xml:space="preserve">specific evaluation results. </w:t>
      </w:r>
      <w:r w:rsidRPr="00FC3EAF">
        <w:br/>
      </w:r>
      <w:r w:rsidRPr="00FC3EAF">
        <w:br/>
        <w:t xml:space="preserve">If the author can tighten the narrative around governance alignment and more clearly demonstrate Sentinel’s advantages over simpler baselines in terms of traceability, uncertainty signaling, and policy adherence (even at a moderate scale), I would be supportive of publication in JAIKE. </w:t>
      </w:r>
      <w:r w:rsidRPr="00FC3EAF">
        <w:br/>
      </w:r>
      <w:r w:rsidRPr="00FC3EAF">
        <w:br/>
      </w:r>
      <w:r w:rsidRPr="00FC3EAF">
        <w:br/>
        <w:t xml:space="preserve">================== </w:t>
      </w:r>
      <w:r w:rsidRPr="00FC3EAF">
        <w:br/>
        <w:t xml:space="preserve">Reviewer(s)' Comments to Author: </w:t>
      </w:r>
      <w:r w:rsidRPr="00FC3EAF">
        <w:br/>
      </w:r>
      <w:r w:rsidRPr="00FC3EAF">
        <w:br/>
        <w:t xml:space="preserve">Reviewer: 1 </w:t>
      </w:r>
      <w:r w:rsidRPr="00FC3EAF">
        <w:br/>
      </w:r>
      <w:r w:rsidRPr="00FC3EAF">
        <w:br/>
        <w:t xml:space="preserve">Comments to the Author </w:t>
      </w:r>
      <w:r w:rsidRPr="00FC3EAF">
        <w:br/>
        <w:t xml:space="preserve">Thank you for the opportunity to review this manuscript. </w:t>
      </w:r>
      <w:r w:rsidRPr="00FC3EAF">
        <w:br/>
      </w:r>
      <w:r w:rsidRPr="00FC3EAF">
        <w:br/>
      </w:r>
      <w:r w:rsidRPr="00FC3EAF">
        <w:lastRenderedPageBreak/>
        <w:t xml:space="preserve">This paper addresses an important and timely topic at the intersection of Generative AI, Retrieval-Augmented Generation (RAG), multi-agent systems, and AI governance. The proposed Sentinel framework presents a well-conceived governance-oriented architecture for enterprise policy compliance and regulated-domain reasoning. The manuscript successfully demonstrates how retrieval, reranking, fact verification, compliance enforcement, answer generation, and observability can be integrated into a coherent multi-agent framework that prioritizes traceability, accountability, and policy alignment. </w:t>
      </w:r>
      <w:r w:rsidRPr="00FC3EAF">
        <w:br/>
      </w:r>
      <w:r w:rsidRPr="00FC3EAF">
        <w:br/>
        <w:t xml:space="preserve">One of the major strengths of the paper is its practical orientation. While many studies focus primarily on improving model performance, this work addresses the operational and governance challenges associated with deploying generative AI systems in enterprise and compliance-sensitive environments. The emphasis on auditability, controlled reasoning, uncertainty handling, and observability significantly enhances the practical value of the proposed approach. </w:t>
      </w:r>
      <w:r w:rsidRPr="00FC3EAF">
        <w:br/>
      </w:r>
      <w:r w:rsidRPr="00FC3EAF">
        <w:br/>
        <w:t xml:space="preserve">The manuscript is well organized and clearly written. The system architecture is logically presented, and the figures effectively illustrate the relationships among the various components. The evaluation framework is comprehensive and includes quantitative benchmarking, governance-focused assessments, ablation studies, latency and cost analyses, and qualitative examples that collectively provide convincing support for the authors’ conclusions. </w:t>
      </w:r>
      <w:r w:rsidRPr="00FC3EAF">
        <w:br/>
      </w:r>
      <w:r w:rsidRPr="00FC3EAF">
        <w:br/>
        <w:t xml:space="preserve">I particularly appreciate the authors' clear positioning of the contribution as a governance-oriented reference architecture and implementation framework rather than a novel machine learning algorithm. This distinction strengthens the work's credibility and appropriately frames its contribution to the literature. </w:t>
      </w:r>
      <w:r w:rsidRPr="00FC3EAF">
        <w:br/>
      </w:r>
      <w:r w:rsidRPr="00FC3EAF">
        <w:br/>
        <w:t xml:space="preserve">Overall, I find the manuscript to be technically sound, well-motivated, and relevant to both researchers and practitioners working in AI governance, enterprise AI systems, and responsible deployment of generative AI technologies. I believe the paper makes a meaningful contribution to the field and is suitable for publication in its current form. </w:t>
      </w:r>
      <w:r w:rsidRPr="00FC3EAF">
        <w:br/>
      </w:r>
      <w:r w:rsidRPr="00FC3EAF">
        <w:br/>
        <w:t xml:space="preserve">I congratulate the authors on this valuable contribution and wish them success with its publication. </w:t>
      </w:r>
      <w:r w:rsidRPr="00FC3EAF">
        <w:br/>
      </w:r>
      <w:r w:rsidRPr="00FC3EAF">
        <w:br/>
        <w:t xml:space="preserve">======================== </w:t>
      </w:r>
      <w:r w:rsidRPr="00FC3EAF">
        <w:br/>
        <w:t xml:space="preserve">Reviewer: 2 </w:t>
      </w:r>
      <w:r w:rsidRPr="00FC3EAF">
        <w:br/>
      </w:r>
      <w:r w:rsidRPr="00FC3EAF">
        <w:br/>
        <w:t xml:space="preserve">Comments to the Author </w:t>
      </w:r>
      <w:r w:rsidRPr="00FC3EAF">
        <w:br/>
        <w:t>This manuscript presents Sentinel, a governance</w:t>
      </w:r>
      <w:r w:rsidRPr="00FC3EAF">
        <w:noBreakHyphen/>
        <w:t>oriented multi</w:t>
      </w:r>
      <w:r w:rsidRPr="00FC3EAF">
        <w:noBreakHyphen/>
        <w:t xml:space="preserve">agent RAG architecture </w:t>
      </w:r>
      <w:r w:rsidRPr="00FC3EAF">
        <w:lastRenderedPageBreak/>
        <w:t>for enterprise policy compliance. The paper is well written and clearly motivated: it addresses a pressing practical problem using generative AI in compliance</w:t>
      </w:r>
      <w:r w:rsidRPr="00FC3EAF">
        <w:noBreakHyphen/>
        <w:t>critical environments where correctness, traceability, and policy alignment are essential. The core idea of structuring the system around responsibility</w:t>
      </w:r>
      <w:r w:rsidRPr="00FC3EAF">
        <w:noBreakHyphen/>
        <w:t xml:space="preserve">scoped agents (retrieval, reranking, fact verification, compliance enforcement, and answer generation) and integrating observability is timely and relevant for the journal’s audience. </w:t>
      </w:r>
      <w:r w:rsidRPr="00FC3EAF">
        <w:br/>
      </w:r>
      <w:r w:rsidRPr="00FC3EAF">
        <w:br/>
        <w:t>The strongest aspects of the work are: (i) the clear architectural decomposition and design rationale, (ii) the explicit focus on governance, including traceability of intermediate states and conditional governance pathways for abstention and policy</w:t>
      </w:r>
      <w:r w:rsidRPr="00FC3EAF">
        <w:noBreakHyphen/>
        <w:t xml:space="preserve">violation handling, and (iii) the mixed evaluation strategy that combines RAGAS metrics, ablation studies, and qualitative case studies. These elements together make Sentinel a valuable reference architecture for practitioners designing enterprise RAG systems in regulated domains. </w:t>
      </w:r>
      <w:r w:rsidRPr="00FC3EAF">
        <w:br/>
      </w:r>
      <w:r w:rsidRPr="00FC3EAF">
        <w:br/>
        <w:t xml:space="preserve">At the same time, there are several areas where the manuscript could be strengthened: </w:t>
      </w:r>
      <w:r w:rsidRPr="00FC3EAF">
        <w:br/>
      </w:r>
      <w:r w:rsidRPr="00FC3EAF">
        <w:br/>
        <w:t>Governance framing and alignment. The paper already discusses alignment with major AI governance and regulatory frameworks (e.g., NIST AI RMF, EU AI Act, ISO/IEC 42001), but this material is not elevated. I would suggest to include governance alignment in the abstract and introduction, and if the tables and sections that map Sentinel to these frameworks included slightly more concrete explanations of which architectural features support each governance principle. This would sharpen the distinction between Sentinel as a “governance</w:t>
      </w:r>
      <w:r w:rsidRPr="00FC3EAF">
        <w:noBreakHyphen/>
        <w:t>oriented” system versus a well</w:t>
      </w:r>
      <w:r w:rsidRPr="00FC3EAF">
        <w:noBreakHyphen/>
        <w:t xml:space="preserve">engineered RAG pipeline. </w:t>
      </w:r>
      <w:r w:rsidRPr="00FC3EAF">
        <w:br/>
      </w:r>
      <w:r w:rsidRPr="00FC3EAF">
        <w:br/>
        <w:t xml:space="preserve">Contribution clarity and focus. The manuscript lists multiple contributions across sections, and there is some overlap. I suggest consolidating these into a single, clear numbered list early in the paper and ensuring that all subsequent discussion consistently supports those specific claims. It would help maintain focus and avoid any perception of redundancy. </w:t>
      </w:r>
      <w:r w:rsidRPr="00FC3EAF">
        <w:br/>
      </w:r>
      <w:r w:rsidRPr="00FC3EAF">
        <w:br/>
        <w:t>Evaluation and governance metrics. The RAGAS</w:t>
      </w:r>
      <w:r w:rsidRPr="00FC3EAF">
        <w:noBreakHyphen/>
        <w:t>based evaluation and ablations are informative, and the results appear favorable for Sentinel versus monolithic LLM and single</w:t>
      </w:r>
      <w:r w:rsidRPr="00FC3EAF">
        <w:noBreakHyphen/>
        <w:t>stage RAG baselines. To fully substantiate the governance claims for example, uncertainty signaling rates, refusal of non</w:t>
      </w:r>
      <w:r w:rsidRPr="00FC3EAF">
        <w:noBreakHyphen/>
        <w:t>compliant or poorly</w:t>
      </w:r>
      <w:r w:rsidRPr="00FC3EAF">
        <w:noBreakHyphen/>
        <w:t xml:space="preserve">grounded requests, or citation completeness, a brief summary of such metrics drawn from the governance evaluation dataset would make the governance benefits more tangible. </w:t>
      </w:r>
      <w:r w:rsidRPr="00FC3EAF">
        <w:br/>
      </w:r>
      <w:r w:rsidRPr="00FC3EAF">
        <w:br/>
        <w:t xml:space="preserve">Scope and limitations in enterprise deployment. The limitations section appropriately notes the constraints of current metrics and datasets. I encourage the author to more </w:t>
      </w:r>
      <w:r w:rsidRPr="00FC3EAF">
        <w:lastRenderedPageBreak/>
        <w:t>explicitly discuss assumptions and risks in real</w:t>
      </w:r>
      <w:r w:rsidRPr="00FC3EAF">
        <w:noBreakHyphen/>
        <w:t>world enterprise settings: dependence on high</w:t>
      </w:r>
      <w:r w:rsidRPr="00FC3EAF">
        <w:noBreakHyphen/>
        <w:t>quality policy and metadata; the need for organizational processes to configure thresholds for abstention and evidence sufficiency; and trade</w:t>
      </w:r>
      <w:r w:rsidRPr="00FC3EAF">
        <w:noBreakHyphen/>
        <w:t xml:space="preserve">offs between increased orchestration/latency and governance guarantees. This will help practitioners assess where Sentinel fits within broader enterprise risk management and compliance workflows. </w:t>
      </w:r>
      <w:r w:rsidRPr="00FC3EAF">
        <w:br/>
      </w:r>
      <w:r w:rsidRPr="00FC3EAF">
        <w:br/>
        <w:t>Minor style and presentation issues. There are a few places where terminology (e.g., “governance</w:t>
      </w:r>
      <w:r w:rsidRPr="00FC3EAF">
        <w:noBreakHyphen/>
        <w:t>oriented,” “compliance</w:t>
      </w:r>
      <w:r w:rsidRPr="00FC3EAF">
        <w:noBreakHyphen/>
        <w:t>aware,” “traceability</w:t>
      </w:r>
      <w:r w:rsidRPr="00FC3EAF">
        <w:noBreakHyphen/>
        <w:t>focused”) is used somewhat interchangeably; standardizing key terms would improve clarity. Some paragraphs in the architecture and multi</w:t>
      </w:r>
      <w:r w:rsidRPr="00FC3EAF">
        <w:noBreakHyphen/>
        <w:t xml:space="preserve">agent design sections are quite long and repeat similar governance phrases; modest tightening could improve readability without sacrificing nuance. Finally, figure captions and table headings could more explicitly highlight the governance aspects (e.g., by referencing “governance boundaries,” “conditional control flows,” or “auditability”) so that their role is immediately evident. </w:t>
      </w:r>
      <w:r w:rsidRPr="00FC3EAF">
        <w:br/>
      </w:r>
      <w:r w:rsidRPr="00FC3EAF">
        <w:br/>
        <w:t>Overall, I find the manuscript promising and relevant, with a strong architectural contribution and a clear focus on governance and control in enterprise RAG systems. Addressing the points above, especially clarifying the contribution framing and making governance</w:t>
      </w:r>
      <w:r w:rsidRPr="00FC3EAF">
        <w:noBreakHyphen/>
        <w:t xml:space="preserve">specific evaluation results more visible, in my view, substantially strengthen the paper and its value to both researchers and practitioners. </w:t>
      </w:r>
      <w:r w:rsidRPr="00FC3EAF">
        <w:br/>
      </w:r>
      <w:r w:rsidRPr="00FC3EAF">
        <w:br/>
        <w:t xml:space="preserve">==================== </w:t>
      </w:r>
      <w:r w:rsidRPr="00FC3EAF">
        <w:br/>
      </w:r>
      <w:r w:rsidRPr="00FC3EAF">
        <w:br/>
        <w:t xml:space="preserve">Reviewer: 3 </w:t>
      </w:r>
      <w:r w:rsidRPr="00FC3EAF">
        <w:br/>
      </w:r>
      <w:r w:rsidRPr="00FC3EAF">
        <w:br/>
        <w:t xml:space="preserve">Comments to the Author </w:t>
      </w:r>
      <w:r w:rsidRPr="00FC3EAF">
        <w:br/>
        <w:t xml:space="preserve">This manuscript presents a well-organized and technically solid reference architecture for governance-oriented multi-agent RAG systems in enterprise compliance scenarios. The paper is clearly written, logically structured, and addresses a practically important problem. The inclusion of quantitative evaluation, qualitative case studies, latency analysis, and ablation experiments strengthens the overall contribution. </w:t>
      </w:r>
      <w:r w:rsidRPr="00FC3EAF">
        <w:br/>
      </w:r>
      <w:r w:rsidRPr="00FC3EAF">
        <w:br/>
        <w:t xml:space="preserve">I have several suggestions that could further improve the manuscript: </w:t>
      </w:r>
      <w:r w:rsidRPr="00FC3EAF">
        <w:br/>
      </w:r>
      <w:r w:rsidRPr="00FC3EAF">
        <w:br/>
        <w:t xml:space="preserve">The scientific novelty should be stated more explicitly. The manuscript correctly acknowledges that it does not introduce a new learning algorithm but rather integrates existing techniques into a governance-oriented reference architecture. It would strengthen the paper to more clearly explain which architectural principles distinguish Sentinel from existing multi-agent RAG systems. </w:t>
      </w:r>
      <w:r w:rsidRPr="00FC3EAF">
        <w:br/>
      </w:r>
      <w:r w:rsidRPr="00FC3EAF">
        <w:br/>
      </w:r>
      <w:r w:rsidRPr="00FC3EAF">
        <w:lastRenderedPageBreak/>
        <w:t xml:space="preserve">The evaluation methodology could be strengthened. RAGAS is an appropriate framework for evaluating retrieval-grounded generation quality, but it does not directly measure governance or compliance properties. The governance-specific evaluation dataset is a valuable addition; however, its construction, annotation methodology, and validation should be described in greater detail. </w:t>
      </w:r>
      <w:r w:rsidRPr="00FC3EAF">
        <w:br/>
      </w:r>
      <w:r w:rsidRPr="00FC3EAF">
        <w:br/>
        <w:t xml:space="preserve">Consider including component-specific evaluation metrics where appropriate. For example, retrieval and reranking stages could be evaluated using established information retrieval metrics in addition to end-to-end RAGAS scores. </w:t>
      </w:r>
      <w:r w:rsidRPr="00FC3EAF">
        <w:br/>
        <w:t xml:space="preserve">The observability section currently focuses primarily on the technologies used (Prometheus, Grafana, OpenTelemetry). It would be beneficial to emphasize the scientific contribution of observability to governance and auditability rather than the implementation tools themselves. </w:t>
      </w:r>
      <w:r w:rsidRPr="00FC3EAF">
        <w:br/>
      </w:r>
      <w:r w:rsidRPr="00FC3EAF">
        <w:br/>
        <w:t>Overall, I believe this is a valuable contribution that will be of interest to researchers and practitioners working on trustworthy enterprise AI systems. After addressing the above points, the manuscript would be suitable for publication.</w:t>
      </w:r>
    </w:p>
    <w:p w14:paraId="031C9C7D" w14:textId="77777777" w:rsidR="00FC3EAF" w:rsidRPr="00FC3EAF" w:rsidRDefault="00FC3EAF" w:rsidP="00FC3EAF">
      <w:pPr>
        <w:jc w:val="both"/>
      </w:pPr>
      <w:r w:rsidRPr="00FC3EAF">
        <w:pict w14:anchorId="304AD0EE">
          <v:rect id="_x0000_i1031" style="width:0;height:1.5pt" o:hralign="center" o:hrstd="t" o:hr="t" fillcolor="#a0a0a0" stroked="f"/>
        </w:pict>
      </w:r>
    </w:p>
    <w:p w14:paraId="7BAC18B6" w14:textId="78CC9D4A" w:rsidR="00FC3EAF" w:rsidRPr="00FC3EAF" w:rsidRDefault="00FC3EAF" w:rsidP="00FC3EAF">
      <w:pPr>
        <w:jc w:val="both"/>
        <w:rPr>
          <w:b/>
          <w:bCs/>
        </w:rPr>
      </w:pPr>
    </w:p>
    <w:p w14:paraId="143CEBE4" w14:textId="77777777" w:rsidR="00FC3EAF" w:rsidRPr="00FC3EAF" w:rsidRDefault="00FC3EAF" w:rsidP="00FC3EAF">
      <w:pPr>
        <w:jc w:val="both"/>
      </w:pPr>
      <w:r w:rsidRPr="00FC3EAF">
        <w:t xml:space="preserve">  </w:t>
      </w:r>
    </w:p>
    <w:p w14:paraId="0C5CA06F" w14:textId="77777777" w:rsidR="00D73780" w:rsidRDefault="00D73780" w:rsidP="00FC3EAF">
      <w:pPr>
        <w:jc w:val="both"/>
      </w:pPr>
    </w:p>
    <w:sectPr w:rsidR="00D737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EAF"/>
    <w:rsid w:val="004204ED"/>
    <w:rsid w:val="00AD4B2D"/>
    <w:rsid w:val="00B65E22"/>
    <w:rsid w:val="00D73780"/>
    <w:rsid w:val="00FC3EAF"/>
  </w:rsids>
  <m:mathPr>
    <m:mathFont m:val="Cambria Math"/>
    <m:brkBin m:val="before"/>
    <m:brkBinSub m:val="--"/>
    <m:smallFrac m:val="0"/>
    <m:dispDef/>
    <m:lMargin m:val="0"/>
    <m:rMargin m:val="0"/>
    <m:defJc m:val="centerGroup"/>
    <m:wrapIndent m:val="1440"/>
    <m:intLim m:val="subSup"/>
    <m:naryLim m:val="undOvr"/>
  </m:mathPr>
  <w:themeFontLang w:val="yo-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2DD1F"/>
  <w15:chartTrackingRefBased/>
  <w15:docId w15:val="{6B52C998-8750-46F9-ACC2-7801DD1A4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yo-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EAF"/>
    <w:rPr>
      <w:rFonts w:eastAsiaTheme="majorEastAsia" w:cstheme="majorBidi"/>
      <w:color w:val="272727" w:themeColor="text1" w:themeTint="D8"/>
    </w:rPr>
  </w:style>
  <w:style w:type="paragraph" w:styleId="Title">
    <w:name w:val="Title"/>
    <w:basedOn w:val="Normal"/>
    <w:next w:val="Normal"/>
    <w:link w:val="TitleChar"/>
    <w:uiPriority w:val="10"/>
    <w:qFormat/>
    <w:rsid w:val="00FC3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EAF"/>
    <w:pPr>
      <w:spacing w:before="160"/>
      <w:jc w:val="center"/>
    </w:pPr>
    <w:rPr>
      <w:i/>
      <w:iCs/>
      <w:color w:val="404040" w:themeColor="text1" w:themeTint="BF"/>
    </w:rPr>
  </w:style>
  <w:style w:type="character" w:customStyle="1" w:styleId="QuoteChar">
    <w:name w:val="Quote Char"/>
    <w:basedOn w:val="DefaultParagraphFont"/>
    <w:link w:val="Quote"/>
    <w:uiPriority w:val="29"/>
    <w:rsid w:val="00FC3EAF"/>
    <w:rPr>
      <w:i/>
      <w:iCs/>
      <w:color w:val="404040" w:themeColor="text1" w:themeTint="BF"/>
    </w:rPr>
  </w:style>
  <w:style w:type="paragraph" w:styleId="ListParagraph">
    <w:name w:val="List Paragraph"/>
    <w:basedOn w:val="Normal"/>
    <w:uiPriority w:val="34"/>
    <w:qFormat/>
    <w:rsid w:val="00FC3EAF"/>
    <w:pPr>
      <w:ind w:left="720"/>
      <w:contextualSpacing/>
    </w:pPr>
  </w:style>
  <w:style w:type="character" w:styleId="IntenseEmphasis">
    <w:name w:val="Intense Emphasis"/>
    <w:basedOn w:val="DefaultParagraphFont"/>
    <w:uiPriority w:val="21"/>
    <w:qFormat/>
    <w:rsid w:val="00FC3EAF"/>
    <w:rPr>
      <w:i/>
      <w:iCs/>
      <w:color w:val="0F4761" w:themeColor="accent1" w:themeShade="BF"/>
    </w:rPr>
  </w:style>
  <w:style w:type="paragraph" w:styleId="IntenseQuote">
    <w:name w:val="Intense Quote"/>
    <w:basedOn w:val="Normal"/>
    <w:next w:val="Normal"/>
    <w:link w:val="IntenseQuoteChar"/>
    <w:uiPriority w:val="30"/>
    <w:qFormat/>
    <w:rsid w:val="00FC3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EAF"/>
    <w:rPr>
      <w:i/>
      <w:iCs/>
      <w:color w:val="0F4761" w:themeColor="accent1" w:themeShade="BF"/>
    </w:rPr>
  </w:style>
  <w:style w:type="character" w:styleId="IntenseReference">
    <w:name w:val="Intense Reference"/>
    <w:basedOn w:val="DefaultParagraphFont"/>
    <w:uiPriority w:val="32"/>
    <w:qFormat/>
    <w:rsid w:val="00FC3E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1615</Words>
  <Characters>9207</Characters>
  <Application>Microsoft Office Word</Application>
  <DocSecurity>0</DocSecurity>
  <Lines>76</Lines>
  <Paragraphs>21</Paragraphs>
  <ScaleCrop>false</ScaleCrop>
  <Company/>
  <LinksUpToDate>false</LinksUpToDate>
  <CharactersWithSpaces>10801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Asiru Akeem Adekinle</dc:creator>
  <cp:keywords/>
  <dc:description/>
  <cp:lastModifiedBy>Asiru Akeem Adekinle</cp:lastModifiedBy>
  <cp:revision>1</cp:revision>
  <dcterms:created xsi:type="dcterms:W3CDTF">2026-07-07T12:05:00Z</dcterms:created>
  <dcterms:modified xsi:type="dcterms:W3CDTF">2026-07-07T12:07:00Z</dcterms:modified>
</cp:coreProperties>
</file>